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7"/>
        <w:framePr w:w="0" w:hRule="auto" w:wrap="auto" w:vAnchor="margin" w:hAnchor="text" w:xAlign="left" w:yAlign="inline"/>
        <w:spacing w:line="500" w:lineRule="exact"/>
        <w:ind w:firstLine="0"/>
        <w:jc w:val="center"/>
        <w:rPr>
          <w:rFonts w:ascii="宋体" w:hAnsi="宋体" w:eastAsia="宋体" w:cs="宋体"/>
          <w:b/>
          <w:bCs/>
          <w:color w:val="auto"/>
          <w:sz w:val="44"/>
          <w:szCs w:val="44"/>
        </w:rPr>
      </w:pPr>
    </w:p>
    <w:p>
      <w:pPr>
        <w:wordWrap/>
        <w:spacing w:line="800" w:lineRule="exact"/>
        <w:ind w:firstLine="0" w:firstLineChars="0"/>
        <w:jc w:val="center"/>
        <w:rPr>
          <w:rFonts w:ascii="宋体"/>
          <w:b w:val="0"/>
          <w:bCs w:val="0"/>
          <w:color w:val="auto"/>
          <w:kern w:val="0"/>
          <w:sz w:val="44"/>
          <w:szCs w:val="44"/>
        </w:rPr>
      </w:pPr>
      <w:bookmarkStart w:id="0" w:name="_Toc27401"/>
      <w:bookmarkStart w:id="1" w:name="_Toc28561"/>
      <w:bookmarkStart w:id="2" w:name="_Toc27063"/>
      <w:bookmarkStart w:id="3" w:name="_Toc15924"/>
      <w:bookmarkStart w:id="4" w:name="_Toc2862"/>
      <w:bookmarkStart w:id="5" w:name="_Toc30403"/>
      <w:r>
        <w:rPr>
          <w:rFonts w:hint="eastAsia" w:ascii="宋体"/>
          <w:b w:val="0"/>
          <w:bCs w:val="0"/>
          <w:color w:val="auto"/>
          <w:kern w:val="0"/>
          <w:sz w:val="44"/>
          <w:szCs w:val="44"/>
        </w:rPr>
        <w:t>万安县顺祥矿业有限公司</w:t>
      </w:r>
    </w:p>
    <w:p>
      <w:pPr>
        <w:wordWrap/>
        <w:spacing w:line="800" w:lineRule="exact"/>
        <w:ind w:firstLine="0" w:firstLineChars="0"/>
        <w:jc w:val="center"/>
        <w:rPr>
          <w:rFonts w:ascii="宋体"/>
          <w:b w:val="0"/>
          <w:bCs w:val="0"/>
          <w:color w:val="auto"/>
          <w:kern w:val="0"/>
          <w:sz w:val="44"/>
          <w:szCs w:val="44"/>
        </w:rPr>
      </w:pPr>
      <w:r>
        <w:rPr>
          <w:rFonts w:hint="eastAsia" w:ascii="宋体"/>
          <w:b w:val="0"/>
          <w:bCs w:val="0"/>
          <w:color w:val="auto"/>
          <w:kern w:val="0"/>
          <w:sz w:val="44"/>
          <w:szCs w:val="44"/>
        </w:rPr>
        <w:t>江西省万安县大坪矿区瓷土矿</w:t>
      </w:r>
    </w:p>
    <w:p>
      <w:pPr>
        <w:wordWrap/>
        <w:spacing w:line="800" w:lineRule="exact"/>
        <w:ind w:firstLine="0" w:firstLineChars="0"/>
        <w:jc w:val="center"/>
        <w:rPr>
          <w:rFonts w:ascii="宋体"/>
          <w:b w:val="0"/>
          <w:bCs w:val="0"/>
          <w:color w:val="auto"/>
          <w:kern w:val="0"/>
          <w:sz w:val="44"/>
          <w:szCs w:val="44"/>
        </w:rPr>
      </w:pPr>
      <w:r>
        <w:rPr>
          <w:rFonts w:hint="eastAsia" w:ascii="宋体"/>
          <w:b w:val="0"/>
          <w:bCs w:val="0"/>
          <w:color w:val="auto"/>
          <w:kern w:val="0"/>
          <w:sz w:val="44"/>
          <w:szCs w:val="44"/>
        </w:rPr>
        <w:t>15万吨/年露天开采新建项目</w:t>
      </w:r>
    </w:p>
    <w:p>
      <w:pPr>
        <w:pStyle w:val="13"/>
        <w:wordWrap/>
        <w:spacing w:after="120" w:line="800" w:lineRule="exact"/>
        <w:ind w:firstLine="3092" w:firstLineChars="700"/>
        <w:jc w:val="both"/>
        <w:rPr>
          <w:rFonts w:ascii="黑体" w:eastAsia="黑体"/>
          <w:b/>
          <w:bCs/>
          <w:color w:val="auto"/>
          <w:kern w:val="0"/>
          <w:sz w:val="52"/>
          <w:szCs w:val="52"/>
        </w:rPr>
      </w:pPr>
      <w:r>
        <w:rPr>
          <w:rFonts w:hint="eastAsia" w:ascii="黑体" w:eastAsia="黑体"/>
          <w:b/>
          <w:bCs/>
          <w:color w:val="auto"/>
          <w:kern w:val="0"/>
          <w:sz w:val="44"/>
          <w:szCs w:val="44"/>
        </w:rPr>
        <w:t>安全预评价报告</w:t>
      </w:r>
    </w:p>
    <w:p>
      <w:pPr>
        <w:pStyle w:val="13"/>
        <w:spacing w:line="800" w:lineRule="exact"/>
        <w:ind w:firstLine="0" w:firstLineChars="0"/>
        <w:jc w:val="center"/>
        <w:rPr>
          <w:rFonts w:ascii="黑体" w:eastAsia="黑体"/>
          <w:b/>
          <w:bCs/>
          <w:color w:val="auto"/>
          <w:sz w:val="52"/>
          <w:szCs w:val="52"/>
        </w:rPr>
      </w:pPr>
    </w:p>
    <w:p>
      <w:pPr>
        <w:ind w:firstLine="723"/>
        <w:jc w:val="center"/>
        <w:rPr>
          <w:rFonts w:ascii="宋体" w:hAnsi="宋体"/>
          <w:b/>
          <w:bCs/>
          <w:color w:val="auto"/>
          <w:sz w:val="36"/>
          <w:szCs w:val="36"/>
        </w:rPr>
      </w:pPr>
    </w:p>
    <w:p>
      <w:pPr>
        <w:ind w:firstLine="560"/>
        <w:rPr>
          <w:rFonts w:ascii="宋体" w:hAnsi="宋体"/>
          <w:color w:val="auto"/>
        </w:rPr>
      </w:pPr>
    </w:p>
    <w:p>
      <w:pPr>
        <w:spacing w:beforeLines="100" w:line="500" w:lineRule="exact"/>
        <w:ind w:firstLine="560"/>
        <w:jc w:val="center"/>
        <w:rPr>
          <w:rFonts w:ascii="宋体" w:hAnsi="宋体"/>
          <w:color w:val="auto"/>
        </w:rPr>
      </w:pPr>
      <w:r>
        <w:rPr>
          <w:rFonts w:ascii="宋体" w:hAnsi="宋体"/>
          <w:color w:val="auto"/>
        </w:rPr>
        <w:tab/>
      </w:r>
    </w:p>
    <w:p>
      <w:pPr>
        <w:spacing w:beforeLines="100" w:line="500" w:lineRule="exact"/>
        <w:ind w:firstLine="560"/>
        <w:jc w:val="center"/>
        <w:rPr>
          <w:rFonts w:ascii="宋体" w:hAnsi="宋体"/>
          <w:color w:val="auto"/>
        </w:rPr>
      </w:pPr>
    </w:p>
    <w:p>
      <w:pPr>
        <w:spacing w:beforeLines="100" w:line="500" w:lineRule="exact"/>
        <w:ind w:firstLine="560"/>
        <w:jc w:val="center"/>
        <w:rPr>
          <w:rFonts w:ascii="宋体" w:hAnsi="宋体"/>
          <w:color w:val="auto"/>
        </w:rPr>
      </w:pPr>
    </w:p>
    <w:p>
      <w:pPr>
        <w:spacing w:beforeLines="100" w:line="500" w:lineRule="exact"/>
        <w:ind w:firstLine="560"/>
        <w:jc w:val="center"/>
        <w:rPr>
          <w:rFonts w:ascii="宋体" w:hAnsi="宋体"/>
          <w:color w:val="auto"/>
        </w:rPr>
      </w:pPr>
    </w:p>
    <w:p>
      <w:pPr>
        <w:spacing w:beforeLines="100" w:line="500" w:lineRule="exact"/>
        <w:ind w:firstLine="560"/>
        <w:rPr>
          <w:rFonts w:ascii="宋体" w:hAnsi="宋体"/>
          <w:color w:val="auto"/>
        </w:rPr>
      </w:pPr>
    </w:p>
    <w:p>
      <w:pPr>
        <w:spacing w:line="560" w:lineRule="exact"/>
        <w:ind w:firstLine="883"/>
        <w:jc w:val="center"/>
        <w:rPr>
          <w:rFonts w:ascii="宋体" w:hAnsi="宋体" w:cs="宋体"/>
          <w:b w:val="0"/>
          <w:bCs/>
          <w:color w:val="auto"/>
          <w:sz w:val="44"/>
          <w:szCs w:val="44"/>
        </w:rPr>
      </w:pPr>
      <w:r>
        <w:rPr>
          <w:rFonts w:hint="eastAsia" w:ascii="宋体" w:hAnsi="宋体" w:cs="宋体"/>
          <w:b w:val="0"/>
          <w:bCs/>
          <w:color w:val="auto"/>
          <w:sz w:val="44"/>
          <w:szCs w:val="44"/>
        </w:rPr>
        <w:t>江西赣安安全生产科学技术咨询服务中心</w:t>
      </w:r>
    </w:p>
    <w:p>
      <w:pPr>
        <w:spacing w:line="560" w:lineRule="exact"/>
        <w:ind w:firstLine="3680" w:firstLineChars="1150"/>
        <w:rPr>
          <w:rFonts w:ascii="宋体" w:hAnsi="宋体" w:cs="宋体"/>
          <w:b w:val="0"/>
          <w:bCs/>
          <w:color w:val="auto"/>
          <w:sz w:val="32"/>
          <w:szCs w:val="32"/>
        </w:rPr>
      </w:pPr>
      <w:r>
        <w:rPr>
          <w:rFonts w:hint="eastAsia" w:ascii="宋体" w:hAnsi="宋体" w:cs="宋体"/>
          <w:b w:val="0"/>
          <w:bCs/>
          <w:color w:val="auto"/>
          <w:sz w:val="32"/>
          <w:szCs w:val="32"/>
        </w:rPr>
        <w:t>APJ-（赣）-002</w:t>
      </w:r>
    </w:p>
    <w:p>
      <w:pPr>
        <w:spacing w:line="560" w:lineRule="exact"/>
        <w:ind w:firstLine="3068" w:firstLineChars="959"/>
        <w:rPr>
          <w:rFonts w:ascii="宋体" w:hAnsi="宋体" w:cs="宋体"/>
          <w:b w:val="0"/>
          <w:bCs/>
          <w:color w:val="auto"/>
          <w:sz w:val="44"/>
          <w:szCs w:val="44"/>
        </w:rPr>
      </w:pPr>
      <w:r>
        <w:rPr>
          <w:rFonts w:hint="eastAsia" w:ascii="宋体" w:hAnsi="宋体" w:cs="宋体"/>
          <w:b w:val="0"/>
          <w:bCs/>
          <w:color w:val="auto"/>
          <w:sz w:val="32"/>
          <w:szCs w:val="32"/>
        </w:rPr>
        <w:t>二〇二</w:t>
      </w:r>
      <w:r>
        <w:rPr>
          <w:rFonts w:hint="eastAsia" w:hAnsi="宋体" w:cs="宋体"/>
          <w:b w:val="0"/>
          <w:bCs/>
          <w:color w:val="auto"/>
          <w:sz w:val="32"/>
          <w:szCs w:val="32"/>
        </w:rPr>
        <w:t>三</w:t>
      </w:r>
      <w:r>
        <w:rPr>
          <w:rFonts w:hint="eastAsia" w:ascii="宋体" w:hAnsi="宋体" w:cs="宋体"/>
          <w:b w:val="0"/>
          <w:bCs/>
          <w:color w:val="auto"/>
          <w:sz w:val="32"/>
          <w:szCs w:val="32"/>
        </w:rPr>
        <w:t>年</w:t>
      </w:r>
      <w:r>
        <w:rPr>
          <w:rFonts w:hint="eastAsia" w:hAnsi="宋体" w:cs="宋体"/>
          <w:b w:val="0"/>
          <w:bCs/>
          <w:color w:val="auto"/>
          <w:sz w:val="32"/>
          <w:szCs w:val="32"/>
        </w:rPr>
        <w:t>四</w:t>
      </w:r>
      <w:r>
        <w:rPr>
          <w:rFonts w:hint="eastAsia" w:ascii="宋体" w:hAnsi="宋体" w:cs="宋体"/>
          <w:b w:val="0"/>
          <w:bCs/>
          <w:color w:val="auto"/>
          <w:sz w:val="32"/>
          <w:szCs w:val="32"/>
        </w:rPr>
        <w:t>月十一日</w:t>
      </w:r>
    </w:p>
    <w:p>
      <w:pPr>
        <w:ind w:firstLine="0" w:firstLineChars="0"/>
        <w:rPr>
          <w:rFonts w:ascii="宋体" w:hAnsi="宋体"/>
          <w:b w:val="0"/>
          <w:bCs/>
          <w:color w:val="auto"/>
          <w:sz w:val="44"/>
          <w:szCs w:val="44"/>
        </w:rPr>
        <w:sectPr>
          <w:headerReference r:id="rId5" w:type="first"/>
          <w:headerReference r:id="rId3" w:type="default"/>
          <w:footerReference r:id="rId6" w:type="default"/>
          <w:headerReference r:id="rId4" w:type="even"/>
          <w:footerReference r:id="rId7" w:type="even"/>
          <w:pgSz w:w="11906" w:h="16838"/>
          <w:pgMar w:top="1418" w:right="1418" w:bottom="1418" w:left="1531" w:header="851" w:footer="992" w:gutter="0"/>
          <w:pgNumType w:fmt="upperRoman" w:start="1"/>
          <w:cols w:space="720" w:num="1"/>
          <w:titlePg/>
          <w:docGrid w:type="lines" w:linePitch="381" w:charSpace="0"/>
        </w:sectPr>
      </w:pPr>
    </w:p>
    <w:p>
      <w:pPr>
        <w:ind w:firstLine="2891" w:firstLineChars="900"/>
        <w:jc w:val="both"/>
        <w:rPr>
          <w:rFonts w:ascii="宋体" w:hAnsi="宋体"/>
          <w:b/>
          <w:bCs/>
          <w:color w:val="auto"/>
          <w:sz w:val="32"/>
          <w:szCs w:val="32"/>
        </w:rPr>
      </w:pPr>
      <w:bookmarkStart w:id="6" w:name="_Toc29407"/>
    </w:p>
    <w:p>
      <w:pPr>
        <w:ind w:firstLine="2891" w:firstLineChars="900"/>
        <w:jc w:val="both"/>
        <w:rPr>
          <w:rFonts w:ascii="宋体" w:hAnsi="宋体"/>
          <w:b/>
          <w:bCs/>
          <w:color w:val="auto"/>
          <w:sz w:val="32"/>
          <w:szCs w:val="32"/>
        </w:rPr>
      </w:pPr>
    </w:p>
    <w:p>
      <w:pPr>
        <w:ind w:firstLine="2891" w:firstLineChars="800"/>
        <w:jc w:val="both"/>
        <w:rPr>
          <w:rFonts w:ascii="宋体" w:hAnsi="宋体"/>
          <w:b/>
          <w:bCs/>
          <w:color w:val="auto"/>
          <w:sz w:val="36"/>
          <w:szCs w:val="36"/>
        </w:rPr>
      </w:pPr>
      <w:r>
        <w:rPr>
          <w:rFonts w:hint="eastAsia" w:ascii="宋体" w:hAnsi="宋体"/>
          <w:b/>
          <w:bCs/>
          <w:color w:val="auto"/>
          <w:sz w:val="36"/>
          <w:szCs w:val="36"/>
        </w:rPr>
        <w:t>万安县顺祥矿业有限公司</w:t>
      </w:r>
    </w:p>
    <w:p>
      <w:pPr>
        <w:ind w:firstLine="2530" w:firstLineChars="700"/>
        <w:jc w:val="both"/>
        <w:rPr>
          <w:rFonts w:ascii="宋体" w:hAnsi="宋体"/>
          <w:b/>
          <w:bCs/>
          <w:color w:val="auto"/>
          <w:sz w:val="36"/>
          <w:szCs w:val="36"/>
        </w:rPr>
      </w:pPr>
      <w:r>
        <w:rPr>
          <w:rFonts w:hint="eastAsia" w:ascii="宋体" w:hAnsi="宋体"/>
          <w:b/>
          <w:bCs/>
          <w:color w:val="auto"/>
          <w:sz w:val="36"/>
          <w:szCs w:val="36"/>
        </w:rPr>
        <w:t>江西省万安县大坪矿区瓷土矿</w:t>
      </w:r>
    </w:p>
    <w:p>
      <w:pPr>
        <w:ind w:firstLine="2530" w:firstLineChars="700"/>
        <w:jc w:val="both"/>
        <w:rPr>
          <w:rFonts w:ascii="宋体" w:hAnsi="宋体"/>
          <w:b/>
          <w:bCs/>
          <w:color w:val="auto"/>
          <w:sz w:val="32"/>
          <w:szCs w:val="32"/>
        </w:rPr>
      </w:pPr>
      <w:r>
        <w:rPr>
          <w:rFonts w:hint="eastAsia" w:ascii="宋体" w:hAnsi="宋体"/>
          <w:b/>
          <w:bCs/>
          <w:color w:val="auto"/>
          <w:sz w:val="36"/>
          <w:szCs w:val="36"/>
        </w:rPr>
        <w:t>15万吨/年露天开采新建项目</w:t>
      </w:r>
    </w:p>
    <w:bookmarkEnd w:id="6"/>
    <w:p>
      <w:pPr>
        <w:pStyle w:val="78"/>
        <w:ind w:firstLine="3614" w:firstLineChars="900"/>
        <w:jc w:val="both"/>
        <w:rPr>
          <w:rFonts w:asciiTheme="minorEastAsia" w:hAnsiTheme="minorEastAsia" w:eastAsiaTheme="minorEastAsia"/>
          <w:b/>
          <w:bCs/>
          <w:color w:val="auto"/>
          <w:sz w:val="32"/>
          <w:szCs w:val="32"/>
        </w:rPr>
      </w:pPr>
      <w:r>
        <w:rPr>
          <w:rFonts w:hint="eastAsia" w:asciiTheme="minorEastAsia" w:hAnsiTheme="minorEastAsia" w:eastAsiaTheme="minorEastAsia"/>
          <w:b/>
          <w:bCs/>
          <w:color w:val="auto"/>
          <w:sz w:val="40"/>
          <w:szCs w:val="40"/>
        </w:rPr>
        <w:t>安全预评价报告</w:t>
      </w:r>
    </w:p>
    <w:p>
      <w:pPr>
        <w:ind w:firstLine="3520" w:firstLineChars="800"/>
        <w:jc w:val="both"/>
        <w:rPr>
          <w:rFonts w:ascii="宋体" w:hAnsi="宋体"/>
          <w:color w:val="auto"/>
          <w:sz w:val="44"/>
          <w:szCs w:val="44"/>
        </w:rPr>
      </w:pPr>
    </w:p>
    <w:p>
      <w:pPr>
        <w:ind w:firstLine="883"/>
        <w:jc w:val="both"/>
        <w:rPr>
          <w:rFonts w:ascii="宋体" w:hAnsi="宋体"/>
          <w:b/>
          <w:bCs/>
          <w:color w:val="auto"/>
          <w:sz w:val="44"/>
          <w:szCs w:val="44"/>
        </w:rPr>
      </w:pPr>
    </w:p>
    <w:p>
      <w:pPr>
        <w:ind w:firstLine="562"/>
        <w:jc w:val="both"/>
        <w:rPr>
          <w:rFonts w:ascii="宋体" w:hAnsi="宋体"/>
          <w:b/>
          <w:bCs/>
          <w:color w:val="auto"/>
        </w:rPr>
      </w:pPr>
    </w:p>
    <w:p>
      <w:pPr>
        <w:ind w:firstLine="562"/>
        <w:rPr>
          <w:rFonts w:ascii="宋体" w:hAnsi="宋体"/>
          <w:b/>
          <w:bCs/>
          <w:color w:val="auto"/>
        </w:rPr>
      </w:pPr>
    </w:p>
    <w:p>
      <w:pPr>
        <w:ind w:firstLine="562"/>
        <w:rPr>
          <w:rFonts w:ascii="宋体" w:hAnsi="宋体"/>
          <w:b/>
          <w:bCs/>
          <w:color w:val="auto"/>
        </w:rPr>
      </w:pPr>
    </w:p>
    <w:p>
      <w:pPr>
        <w:ind w:firstLine="562"/>
        <w:rPr>
          <w:rFonts w:ascii="宋体" w:hAnsi="宋体"/>
          <w:b/>
          <w:bCs/>
          <w:color w:val="auto"/>
        </w:rPr>
      </w:pPr>
    </w:p>
    <w:p>
      <w:pPr>
        <w:ind w:firstLine="562"/>
        <w:rPr>
          <w:rFonts w:ascii="宋体" w:hAnsi="宋体"/>
          <w:b/>
          <w:bCs/>
          <w:color w:val="auto"/>
        </w:rPr>
      </w:pPr>
    </w:p>
    <w:p>
      <w:pPr>
        <w:pStyle w:val="4"/>
        <w:rPr>
          <w:color w:val="auto"/>
        </w:rPr>
      </w:pPr>
    </w:p>
    <w:p>
      <w:pPr>
        <w:ind w:firstLine="562"/>
        <w:rPr>
          <w:rFonts w:ascii="宋体" w:hAnsi="宋体"/>
          <w:b/>
          <w:bCs/>
          <w:color w:val="auto"/>
        </w:rPr>
      </w:pPr>
    </w:p>
    <w:p>
      <w:pPr>
        <w:spacing w:line="400" w:lineRule="exact"/>
        <w:ind w:firstLine="3640" w:firstLineChars="1300"/>
        <w:rPr>
          <w:rFonts w:ascii="宋体" w:hAnsi="宋体" w:cs="宋体"/>
          <w:color w:val="auto"/>
          <w:szCs w:val="28"/>
        </w:rPr>
      </w:pPr>
      <w:r>
        <w:rPr>
          <w:rFonts w:hint="eastAsia" w:ascii="宋体" w:hAnsi="宋体" w:cs="宋体"/>
          <w:color w:val="auto"/>
          <w:szCs w:val="28"/>
        </w:rPr>
        <w:t>法定代表人：</w:t>
      </w:r>
      <w:r>
        <w:rPr>
          <w:rFonts w:hint="eastAsia" w:hAnsi="宋体" w:cs="宋体"/>
          <w:color w:val="auto"/>
          <w:szCs w:val="28"/>
        </w:rPr>
        <w:t xml:space="preserve">应  宏 </w:t>
      </w:r>
    </w:p>
    <w:p>
      <w:pPr>
        <w:spacing w:line="400" w:lineRule="exact"/>
        <w:ind w:firstLine="560"/>
        <w:jc w:val="center"/>
        <w:rPr>
          <w:rFonts w:ascii="宋体" w:hAnsi="宋体" w:cs="宋体"/>
          <w:color w:val="auto"/>
          <w:szCs w:val="28"/>
        </w:rPr>
      </w:pPr>
    </w:p>
    <w:p>
      <w:pPr>
        <w:spacing w:line="400" w:lineRule="exact"/>
        <w:ind w:firstLine="560"/>
        <w:jc w:val="center"/>
        <w:rPr>
          <w:rFonts w:ascii="宋体" w:hAnsi="宋体" w:cs="宋体"/>
          <w:bCs/>
          <w:color w:val="auto"/>
          <w:szCs w:val="28"/>
        </w:rPr>
      </w:pPr>
      <w:r>
        <w:rPr>
          <w:rFonts w:hint="eastAsia" w:ascii="宋体" w:hAnsi="宋体" w:cs="宋体"/>
          <w:bCs/>
          <w:color w:val="auto"/>
          <w:szCs w:val="28"/>
        </w:rPr>
        <w:t xml:space="preserve"> 技术负责人：管自强</w:t>
      </w:r>
    </w:p>
    <w:p>
      <w:pPr>
        <w:spacing w:line="400" w:lineRule="exact"/>
        <w:ind w:firstLine="560"/>
        <w:jc w:val="center"/>
        <w:rPr>
          <w:rFonts w:ascii="宋体" w:hAnsi="宋体" w:cs="宋体"/>
          <w:bCs/>
          <w:color w:val="auto"/>
          <w:szCs w:val="28"/>
        </w:rPr>
      </w:pPr>
    </w:p>
    <w:p>
      <w:pPr>
        <w:spacing w:line="400" w:lineRule="exact"/>
        <w:ind w:firstLine="560"/>
        <w:jc w:val="center"/>
        <w:rPr>
          <w:rFonts w:ascii="宋体" w:hAnsi="宋体" w:cs="宋体"/>
          <w:bCs/>
          <w:color w:val="auto"/>
          <w:szCs w:val="28"/>
        </w:rPr>
      </w:pPr>
      <w:r>
        <w:rPr>
          <w:rFonts w:hint="eastAsia" w:ascii="宋体" w:hAnsi="宋体" w:cs="宋体"/>
          <w:bCs/>
          <w:color w:val="auto"/>
          <w:szCs w:val="28"/>
        </w:rPr>
        <w:t xml:space="preserve"> 项目负责人：邓  飞</w:t>
      </w:r>
    </w:p>
    <w:p>
      <w:pPr>
        <w:pStyle w:val="4"/>
        <w:rPr>
          <w:color w:val="auto"/>
        </w:rPr>
      </w:pPr>
    </w:p>
    <w:p/>
    <w:p>
      <w:pPr>
        <w:pStyle w:val="29"/>
        <w:ind w:firstLine="2679" w:firstLineChars="957"/>
        <w:rPr>
          <w:rFonts w:ascii="宋体" w:hAnsi="宋体"/>
          <w:color w:val="auto"/>
          <w:szCs w:val="28"/>
        </w:rPr>
      </w:pPr>
    </w:p>
    <w:p>
      <w:pPr>
        <w:spacing w:before="100" w:afterLines="50" w:line="500" w:lineRule="exact"/>
        <w:ind w:firstLine="2891" w:firstLineChars="1200"/>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报告完成时间：2023年4月11日</w:t>
      </w:r>
    </w:p>
    <w:p>
      <w:pPr>
        <w:pStyle w:val="4"/>
        <w:rPr>
          <w:color w:val="auto"/>
        </w:rPr>
      </w:pPr>
    </w:p>
    <w:p>
      <w:pPr>
        <w:ind w:firstLine="560"/>
        <w:rPr>
          <w:color w:val="auto"/>
        </w:rPr>
      </w:pPr>
    </w:p>
    <w:p>
      <w:pPr>
        <w:ind w:left="0" w:leftChars="0" w:firstLine="0" w:firstLineChars="0"/>
        <w:rPr>
          <w:rFonts w:ascii="宋体" w:hAnsi="宋体" w:cs="宋体"/>
          <w:b/>
          <w:bCs/>
          <w:color w:val="auto"/>
          <w:kern w:val="0"/>
          <w:sz w:val="30"/>
          <w:szCs w:val="30"/>
        </w:rPr>
      </w:pPr>
    </w:p>
    <w:p>
      <w:pPr>
        <w:ind w:firstLine="602"/>
        <w:jc w:val="center"/>
        <w:rPr>
          <w:rFonts w:ascii="宋体" w:hAnsi="宋体" w:cs="宋体"/>
          <w:b/>
          <w:bCs/>
          <w:color w:val="auto"/>
          <w:kern w:val="0"/>
          <w:sz w:val="30"/>
          <w:szCs w:val="30"/>
        </w:rPr>
      </w:pPr>
      <w:r>
        <w:rPr>
          <w:rFonts w:hint="eastAsia" w:ascii="宋体" w:hAnsi="宋体" w:cs="宋体"/>
          <w:b/>
          <w:bCs/>
          <w:color w:val="auto"/>
          <w:kern w:val="0"/>
          <w:sz w:val="30"/>
          <w:szCs w:val="30"/>
        </w:rPr>
        <w:t>万安县顺祥矿业有限公司江西省万安县大坪矿区</w:t>
      </w:r>
    </w:p>
    <w:p>
      <w:pPr>
        <w:ind w:firstLine="602"/>
        <w:jc w:val="center"/>
        <w:rPr>
          <w:rFonts w:ascii="宋体" w:hAnsi="宋体" w:cs="宋体"/>
          <w:b/>
          <w:bCs/>
          <w:color w:val="auto"/>
          <w:kern w:val="0"/>
          <w:sz w:val="30"/>
          <w:szCs w:val="30"/>
        </w:rPr>
      </w:pPr>
      <w:r>
        <w:rPr>
          <w:rFonts w:hint="eastAsia" w:ascii="宋体" w:hAnsi="宋体" w:cs="宋体"/>
          <w:b/>
          <w:bCs/>
          <w:color w:val="auto"/>
          <w:kern w:val="0"/>
          <w:sz w:val="30"/>
          <w:szCs w:val="30"/>
        </w:rPr>
        <w:t>瓷土矿15万吨/年露天开采新建项目</w:t>
      </w:r>
    </w:p>
    <w:p>
      <w:pPr>
        <w:ind w:firstLine="602"/>
        <w:jc w:val="center"/>
        <w:rPr>
          <w:rFonts w:ascii="宋体" w:hAnsi="宋体" w:cs="宋体"/>
          <w:b/>
          <w:bCs/>
          <w:color w:val="auto"/>
          <w:kern w:val="0"/>
          <w:sz w:val="30"/>
          <w:szCs w:val="30"/>
        </w:rPr>
      </w:pPr>
      <w:r>
        <w:rPr>
          <w:rFonts w:hint="eastAsia" w:ascii="宋体" w:hAnsi="宋体" w:cs="宋体"/>
          <w:b/>
          <w:bCs/>
          <w:color w:val="auto"/>
          <w:kern w:val="0"/>
          <w:sz w:val="30"/>
          <w:szCs w:val="30"/>
        </w:rPr>
        <w:t>安全预评价技术服务承诺书</w:t>
      </w:r>
    </w:p>
    <w:p>
      <w:pPr>
        <w:ind w:firstLine="602"/>
        <w:jc w:val="center"/>
        <w:rPr>
          <w:rFonts w:ascii="宋体" w:hAnsi="宋体" w:cs="宋体"/>
          <w:b/>
          <w:bCs/>
          <w:color w:val="auto"/>
          <w:kern w:val="0"/>
          <w:sz w:val="30"/>
          <w:szCs w:val="30"/>
        </w:rPr>
      </w:pPr>
    </w:p>
    <w:p>
      <w:pPr>
        <w:widowControl/>
        <w:spacing w:line="425" w:lineRule="auto"/>
        <w:ind w:firstLine="560"/>
        <w:jc w:val="left"/>
        <w:rPr>
          <w:rFonts w:ascii="宋体" w:hAnsi="宋体" w:cs="宋体"/>
          <w:color w:val="auto"/>
          <w:kern w:val="0"/>
          <w:szCs w:val="28"/>
        </w:rPr>
      </w:pPr>
      <w:r>
        <w:rPr>
          <w:rFonts w:hint="eastAsia" w:ascii="宋体" w:hAnsi="宋体" w:cs="宋体"/>
          <w:color w:val="auto"/>
          <w:kern w:val="0"/>
          <w:szCs w:val="28"/>
        </w:rPr>
        <w:t>一、在本项目安全评价活动过程中，我单位严格遵守《安全生产法》及相关法律、法规和标准的要求。</w:t>
      </w:r>
    </w:p>
    <w:p>
      <w:pPr>
        <w:widowControl/>
        <w:spacing w:line="425" w:lineRule="auto"/>
        <w:ind w:firstLine="560"/>
        <w:jc w:val="left"/>
        <w:rPr>
          <w:rFonts w:ascii="宋体" w:hAnsi="宋体" w:cs="宋体"/>
          <w:color w:val="auto"/>
          <w:kern w:val="0"/>
          <w:szCs w:val="28"/>
        </w:rPr>
      </w:pPr>
      <w:r>
        <w:rPr>
          <w:rFonts w:hint="eastAsia" w:ascii="宋体" w:hAnsi="宋体" w:cs="宋体"/>
          <w:color w:val="auto"/>
          <w:kern w:val="0"/>
          <w:szCs w:val="28"/>
        </w:rPr>
        <w:t>二、在本项目安全评价活动过程中，我单位作为第三方，未受到任何组织和个人的干预和影响，依法独立开展工作，保证了技术服务活动的客观公正性。</w:t>
      </w:r>
    </w:p>
    <w:p>
      <w:pPr>
        <w:widowControl/>
        <w:spacing w:line="425" w:lineRule="auto"/>
        <w:ind w:firstLine="560"/>
        <w:jc w:val="left"/>
        <w:rPr>
          <w:rFonts w:ascii="宋体" w:hAnsi="宋体" w:cs="宋体"/>
          <w:color w:val="auto"/>
          <w:kern w:val="0"/>
          <w:szCs w:val="28"/>
        </w:rPr>
      </w:pPr>
      <w:r>
        <w:rPr>
          <w:rFonts w:hint="eastAsia" w:ascii="宋体" w:hAnsi="宋体" w:cs="宋体"/>
          <w:color w:val="auto"/>
          <w:kern w:val="0"/>
          <w:szCs w:val="28"/>
        </w:rPr>
        <w:t>三、我单位按照实事求是的原则，对本项目进行验收评价，确保出具的报告均真实有效，报告所提出的措施具有针对性、有效性和可行性。</w:t>
      </w:r>
    </w:p>
    <w:p>
      <w:pPr>
        <w:widowControl/>
        <w:spacing w:line="425" w:lineRule="auto"/>
        <w:ind w:firstLine="560"/>
        <w:jc w:val="left"/>
        <w:rPr>
          <w:rFonts w:ascii="宋体" w:hAnsi="宋体" w:cs="宋体"/>
          <w:color w:val="auto"/>
          <w:kern w:val="0"/>
          <w:szCs w:val="28"/>
        </w:rPr>
      </w:pPr>
      <w:r>
        <w:rPr>
          <w:rFonts w:hint="eastAsia" w:ascii="宋体" w:hAnsi="宋体" w:cs="宋体"/>
          <w:color w:val="auto"/>
          <w:kern w:val="0"/>
          <w:szCs w:val="28"/>
        </w:rPr>
        <w:t>四、我单位对本项目验收评价报告中结论性内容承担法律责任。</w:t>
      </w:r>
    </w:p>
    <w:p>
      <w:pPr>
        <w:widowControl/>
        <w:spacing w:line="425" w:lineRule="auto"/>
        <w:ind w:firstLine="560"/>
        <w:jc w:val="left"/>
        <w:rPr>
          <w:rFonts w:ascii="宋体" w:hAnsi="宋体" w:cs="宋体"/>
          <w:color w:val="auto"/>
          <w:kern w:val="0"/>
          <w:szCs w:val="28"/>
        </w:rPr>
      </w:pPr>
    </w:p>
    <w:p>
      <w:pPr>
        <w:widowControl/>
        <w:spacing w:line="425" w:lineRule="auto"/>
        <w:ind w:firstLine="560"/>
        <w:jc w:val="left"/>
        <w:rPr>
          <w:rFonts w:ascii="宋体" w:hAnsi="宋体" w:cs="宋体"/>
          <w:color w:val="auto"/>
          <w:kern w:val="0"/>
          <w:szCs w:val="28"/>
        </w:rPr>
      </w:pPr>
    </w:p>
    <w:p>
      <w:pPr>
        <w:widowControl/>
        <w:spacing w:line="425" w:lineRule="auto"/>
        <w:ind w:firstLine="560"/>
        <w:jc w:val="left"/>
        <w:rPr>
          <w:rFonts w:ascii="宋体" w:hAnsi="宋体" w:cs="宋体"/>
          <w:color w:val="auto"/>
          <w:kern w:val="0"/>
          <w:szCs w:val="28"/>
        </w:rPr>
      </w:pPr>
    </w:p>
    <w:p>
      <w:pPr>
        <w:widowControl/>
        <w:spacing w:line="425" w:lineRule="auto"/>
        <w:ind w:firstLine="3920" w:firstLineChars="1400"/>
        <w:jc w:val="left"/>
        <w:rPr>
          <w:rFonts w:ascii="宋体" w:hAnsi="宋体" w:cs="宋体"/>
          <w:color w:val="auto"/>
          <w:kern w:val="0"/>
          <w:szCs w:val="28"/>
        </w:rPr>
      </w:pPr>
      <w:r>
        <w:rPr>
          <w:rFonts w:hint="eastAsia" w:ascii="宋体" w:hAnsi="宋体" w:cs="宋体"/>
          <w:color w:val="auto"/>
          <w:kern w:val="0"/>
          <w:szCs w:val="28"/>
        </w:rPr>
        <w:t>江西赣安安全生产科学技术咨询服务中心</w:t>
      </w:r>
    </w:p>
    <w:p>
      <w:pPr>
        <w:widowControl/>
        <w:spacing w:line="425" w:lineRule="auto"/>
        <w:ind w:firstLine="5600" w:firstLineChars="2000"/>
        <w:jc w:val="left"/>
        <w:rPr>
          <w:rFonts w:ascii="宋体" w:hAnsi="宋体" w:cs="宋体"/>
          <w:color w:val="auto"/>
          <w:kern w:val="0"/>
          <w:szCs w:val="28"/>
        </w:rPr>
      </w:pPr>
      <w:r>
        <w:rPr>
          <w:rFonts w:hint="eastAsia" w:ascii="宋体" w:hAnsi="宋体" w:cs="宋体"/>
          <w:color w:val="auto"/>
          <w:kern w:val="0"/>
          <w:szCs w:val="28"/>
        </w:rPr>
        <w:t>202</w:t>
      </w:r>
      <w:r>
        <w:rPr>
          <w:rFonts w:hint="eastAsia" w:hAnsi="宋体" w:cs="宋体"/>
          <w:color w:val="auto"/>
          <w:kern w:val="0"/>
          <w:szCs w:val="28"/>
        </w:rPr>
        <w:t>3</w:t>
      </w:r>
      <w:r>
        <w:rPr>
          <w:rFonts w:hint="eastAsia" w:ascii="宋体" w:hAnsi="宋体" w:cs="宋体"/>
          <w:color w:val="auto"/>
          <w:kern w:val="0"/>
          <w:szCs w:val="28"/>
        </w:rPr>
        <w:t>年</w:t>
      </w:r>
      <w:r>
        <w:rPr>
          <w:rFonts w:hint="eastAsia" w:hAnsi="宋体" w:cs="宋体"/>
          <w:color w:val="auto"/>
          <w:kern w:val="0"/>
          <w:szCs w:val="28"/>
        </w:rPr>
        <w:t>4</w:t>
      </w:r>
      <w:r>
        <w:rPr>
          <w:rFonts w:hint="eastAsia" w:ascii="宋体" w:hAnsi="宋体" w:cs="宋体"/>
          <w:color w:val="auto"/>
          <w:kern w:val="0"/>
          <w:szCs w:val="28"/>
        </w:rPr>
        <w:t>月11日</w:t>
      </w:r>
    </w:p>
    <w:p>
      <w:pPr>
        <w:widowControl/>
        <w:ind w:firstLine="562"/>
        <w:jc w:val="center"/>
        <w:rPr>
          <w:b/>
          <w:color w:val="auto"/>
          <w:szCs w:val="28"/>
        </w:rPr>
      </w:pPr>
    </w:p>
    <w:p>
      <w:pPr>
        <w:widowControl/>
        <w:ind w:firstLine="562"/>
        <w:jc w:val="center"/>
        <w:rPr>
          <w:b/>
          <w:color w:val="auto"/>
          <w:szCs w:val="28"/>
        </w:rPr>
      </w:pPr>
    </w:p>
    <w:p>
      <w:pPr>
        <w:widowControl/>
        <w:ind w:firstLine="562"/>
        <w:jc w:val="center"/>
        <w:rPr>
          <w:b/>
          <w:color w:val="auto"/>
          <w:szCs w:val="28"/>
        </w:rPr>
      </w:pPr>
    </w:p>
    <w:p>
      <w:pPr>
        <w:widowControl/>
        <w:ind w:firstLine="562"/>
        <w:rPr>
          <w:b/>
          <w:color w:val="auto"/>
          <w:szCs w:val="28"/>
        </w:rPr>
      </w:pPr>
    </w:p>
    <w:p>
      <w:pPr>
        <w:widowControl/>
        <w:spacing w:before="100" w:beforeAutospacing="1" w:after="100" w:afterAutospacing="1" w:line="425" w:lineRule="auto"/>
        <w:ind w:firstLine="0" w:firstLineChars="0"/>
        <w:rPr>
          <w:rFonts w:ascii="方正小标宋简体" w:hAnsi="微软雅黑" w:eastAsia="方正小标宋简体"/>
          <w:color w:val="auto"/>
          <w:sz w:val="44"/>
          <w:szCs w:val="44"/>
        </w:rPr>
      </w:pPr>
    </w:p>
    <w:p>
      <w:pPr>
        <w:widowControl/>
        <w:spacing w:before="100" w:beforeAutospacing="1" w:after="100" w:afterAutospacing="1" w:line="425" w:lineRule="auto"/>
        <w:ind w:firstLine="1320" w:firstLineChars="300"/>
        <w:rPr>
          <w:rFonts w:ascii="微软雅黑" w:hAnsi="微软雅黑" w:eastAsia="微软雅黑"/>
          <w:color w:val="auto"/>
          <w:sz w:val="18"/>
          <w:szCs w:val="18"/>
        </w:rPr>
      </w:pPr>
      <w:r>
        <w:rPr>
          <w:rFonts w:hint="eastAsia" w:ascii="方正小标宋简体" w:hAnsi="微软雅黑" w:eastAsia="方正小标宋简体"/>
          <w:color w:val="auto"/>
          <w:sz w:val="44"/>
          <w:szCs w:val="44"/>
        </w:rPr>
        <w:t>规范安全生产中介行为的九条禁令</w:t>
      </w:r>
    </w:p>
    <w:p>
      <w:pPr>
        <w:widowControl/>
        <w:spacing w:line="580" w:lineRule="exact"/>
        <w:ind w:firstLine="640"/>
        <w:jc w:val="left"/>
        <w:rPr>
          <w:rFonts w:ascii="宋体" w:hAnsi="宋体" w:cs="宋体"/>
          <w:color w:val="auto"/>
          <w:kern w:val="0"/>
          <w:sz w:val="32"/>
          <w:szCs w:val="32"/>
        </w:rPr>
      </w:pPr>
      <w:r>
        <w:rPr>
          <w:rFonts w:hint="eastAsia" w:ascii="宋体" w:hAnsi="宋体" w:cs="宋体"/>
          <w:color w:val="auto"/>
          <w:kern w:val="0"/>
          <w:sz w:val="32"/>
          <w:szCs w:val="32"/>
        </w:rPr>
        <w:t xml:space="preserve">一、禁止从事安全生产和职业卫生服务的中介服务机构（以下统称中介机构）租借资质证书、非法  挂靠、转包服务项目的行为； </w:t>
      </w:r>
    </w:p>
    <w:p>
      <w:pPr>
        <w:widowControl/>
        <w:spacing w:line="580" w:lineRule="exact"/>
        <w:ind w:firstLine="640"/>
        <w:jc w:val="left"/>
        <w:rPr>
          <w:rFonts w:ascii="宋体" w:hAnsi="宋体" w:cs="宋体"/>
          <w:color w:val="auto"/>
          <w:kern w:val="0"/>
          <w:sz w:val="32"/>
          <w:szCs w:val="32"/>
        </w:rPr>
      </w:pPr>
      <w:r>
        <w:rPr>
          <w:rFonts w:hint="eastAsia" w:ascii="宋体" w:hAnsi="宋体" w:cs="宋体"/>
          <w:color w:val="auto"/>
          <w:kern w:val="0"/>
          <w:sz w:val="32"/>
          <w:szCs w:val="32"/>
        </w:rPr>
        <w:t xml:space="preserve">二、禁止中介机构假借、冒用他人名义要求服务对象接受有偿服务，或者恶意低价竞争以及采取串标、围标等不正当竞争手段，扰乱技术服务市场秩序的行为； </w:t>
      </w:r>
    </w:p>
    <w:p>
      <w:pPr>
        <w:widowControl/>
        <w:spacing w:line="580" w:lineRule="exact"/>
        <w:ind w:firstLine="640"/>
        <w:jc w:val="left"/>
        <w:rPr>
          <w:rFonts w:ascii="宋体" w:hAnsi="宋体" w:cs="宋体"/>
          <w:color w:val="auto"/>
          <w:kern w:val="0"/>
          <w:sz w:val="32"/>
          <w:szCs w:val="32"/>
        </w:rPr>
      </w:pPr>
      <w:r>
        <w:rPr>
          <w:rFonts w:hint="eastAsia" w:ascii="宋体" w:hAnsi="宋体" w:cs="宋体"/>
          <w:color w:val="auto"/>
          <w:kern w:val="0"/>
          <w:sz w:val="32"/>
          <w:szCs w:val="32"/>
        </w:rPr>
        <w:t>三、禁止中介机构出具虚假或漏项、缺项技术报告的行为；</w:t>
      </w:r>
    </w:p>
    <w:p>
      <w:pPr>
        <w:widowControl/>
        <w:spacing w:line="580" w:lineRule="exact"/>
        <w:ind w:firstLine="640"/>
        <w:jc w:val="left"/>
        <w:rPr>
          <w:rFonts w:ascii="宋体" w:hAnsi="宋体" w:cs="宋体"/>
          <w:color w:val="auto"/>
          <w:kern w:val="0"/>
          <w:sz w:val="32"/>
          <w:szCs w:val="32"/>
        </w:rPr>
      </w:pPr>
      <w:r>
        <w:rPr>
          <w:rFonts w:hint="eastAsia" w:ascii="宋体" w:hAnsi="宋体" w:cs="宋体"/>
          <w:color w:val="auto"/>
          <w:kern w:val="0"/>
          <w:sz w:val="32"/>
          <w:szCs w:val="32"/>
        </w:rPr>
        <w:t>四、禁止中介机构出租、出借资格证书、在报告上冒用他人签名的行为；</w:t>
      </w:r>
    </w:p>
    <w:p>
      <w:pPr>
        <w:widowControl/>
        <w:spacing w:line="580" w:lineRule="exact"/>
        <w:ind w:firstLine="640"/>
        <w:jc w:val="left"/>
        <w:rPr>
          <w:rFonts w:ascii="宋体" w:hAnsi="宋体" w:cs="宋体"/>
          <w:color w:val="auto"/>
          <w:kern w:val="0"/>
          <w:sz w:val="32"/>
          <w:szCs w:val="32"/>
        </w:rPr>
      </w:pPr>
      <w:r>
        <w:rPr>
          <w:rFonts w:hint="eastAsia" w:ascii="宋体" w:hAnsi="宋体" w:cs="宋体"/>
          <w:color w:val="auto"/>
          <w:kern w:val="0"/>
          <w:sz w:val="32"/>
          <w:szCs w:val="32"/>
        </w:rPr>
        <w:t>五、禁止中介机构有应到而不到现场开展技术服务的行为；</w:t>
      </w:r>
    </w:p>
    <w:p>
      <w:pPr>
        <w:widowControl/>
        <w:spacing w:line="580" w:lineRule="exact"/>
        <w:ind w:firstLine="640"/>
        <w:jc w:val="left"/>
        <w:rPr>
          <w:rFonts w:ascii="宋体" w:hAnsi="宋体" w:cs="宋体"/>
          <w:color w:val="auto"/>
          <w:kern w:val="0"/>
          <w:sz w:val="32"/>
          <w:szCs w:val="32"/>
        </w:rPr>
      </w:pPr>
      <w:r>
        <w:rPr>
          <w:rFonts w:hint="eastAsia" w:ascii="宋体" w:hAnsi="宋体" w:cs="宋体"/>
          <w:color w:val="auto"/>
          <w:kern w:val="0"/>
          <w:sz w:val="32"/>
          <w:szCs w:val="32"/>
        </w:rPr>
        <w:t xml:space="preserve">六、禁止安全生产监管部门及其工作人员要求生产经营单位接受指定的中介机构开展技术服务的行为； </w:t>
      </w:r>
    </w:p>
    <w:p>
      <w:pPr>
        <w:widowControl/>
        <w:spacing w:line="580" w:lineRule="exact"/>
        <w:ind w:firstLine="640"/>
        <w:jc w:val="left"/>
        <w:rPr>
          <w:rFonts w:ascii="宋体" w:hAnsi="宋体" w:cs="宋体"/>
          <w:color w:val="auto"/>
          <w:kern w:val="0"/>
          <w:sz w:val="32"/>
          <w:szCs w:val="32"/>
        </w:rPr>
      </w:pPr>
      <w:r>
        <w:rPr>
          <w:rFonts w:hint="eastAsia" w:ascii="宋体" w:hAnsi="宋体" w:cs="宋体"/>
          <w:color w:val="auto"/>
          <w:kern w:val="0"/>
          <w:sz w:val="32"/>
          <w:szCs w:val="32"/>
        </w:rPr>
        <w:t>七、禁止安全生产监管部门及其工作人员没有法律依据组织由生产经营单位或机构支付费用的行政性评审的行为；</w:t>
      </w:r>
    </w:p>
    <w:p>
      <w:pPr>
        <w:widowControl/>
        <w:spacing w:line="580" w:lineRule="exact"/>
        <w:ind w:firstLine="640"/>
        <w:jc w:val="left"/>
        <w:rPr>
          <w:rFonts w:ascii="宋体" w:hAnsi="宋体" w:cs="宋体"/>
          <w:color w:val="auto"/>
          <w:kern w:val="0"/>
          <w:sz w:val="32"/>
          <w:szCs w:val="32"/>
        </w:rPr>
      </w:pPr>
      <w:r>
        <w:rPr>
          <w:rFonts w:hint="eastAsia" w:ascii="宋体" w:hAnsi="宋体" w:cs="宋体"/>
          <w:color w:val="auto"/>
          <w:kern w:val="0"/>
          <w:sz w:val="32"/>
          <w:szCs w:val="32"/>
        </w:rPr>
        <w:t xml:space="preserve">八、禁止安全生产监管部门及其工作人员干预市场定价，违规擅自出台技术服务收费标准的行为； </w:t>
      </w:r>
    </w:p>
    <w:p>
      <w:pPr>
        <w:widowControl/>
        <w:spacing w:line="580" w:lineRule="exact"/>
        <w:ind w:firstLine="640"/>
        <w:jc w:val="left"/>
        <w:rPr>
          <w:rFonts w:ascii="宋体" w:hAnsi="宋体" w:cs="宋体"/>
          <w:color w:val="auto"/>
          <w:kern w:val="0"/>
          <w:szCs w:val="28"/>
        </w:rPr>
      </w:pPr>
      <w:r>
        <w:rPr>
          <w:rFonts w:hint="eastAsia" w:ascii="宋体" w:hAnsi="宋体" w:cs="宋体"/>
          <w:color w:val="auto"/>
          <w:kern w:val="0"/>
          <w:sz w:val="32"/>
          <w:szCs w:val="32"/>
        </w:rPr>
        <w:t>九、禁止安全生产监管部门及其工作人员参与、擅自干预中介机构从业活动，或者有获取不正当利益的行为。</w:t>
      </w:r>
    </w:p>
    <w:p>
      <w:pPr>
        <w:widowControl/>
        <w:ind w:firstLine="0" w:firstLineChars="0"/>
        <w:rPr>
          <w:rFonts w:ascii="宋体" w:hAnsi="宋体"/>
          <w:color w:val="auto"/>
        </w:rPr>
      </w:pPr>
    </w:p>
    <w:p>
      <w:pPr>
        <w:pStyle w:val="4"/>
        <w:rPr>
          <w:rFonts w:ascii="宋体" w:hAnsi="宋体"/>
          <w:color w:val="auto"/>
        </w:rPr>
      </w:pPr>
      <w:bookmarkStart w:id="7" w:name="_Toc21531"/>
      <w:bookmarkStart w:id="8" w:name="_Toc28647"/>
      <w:r>
        <w:rPr>
          <w:color w:val="auto"/>
        </w:rPr>
        <w:drawing>
          <wp:inline distT="0" distB="0" distL="0" distR="0">
            <wp:extent cx="5403850" cy="8235950"/>
            <wp:effectExtent l="19050" t="0" r="6350" b="0"/>
            <wp:docPr id="1" name="图片 2" descr="微信图片_2022101810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21018102918"/>
                    <pic:cNvPicPr>
                      <a:picLocks noChangeAspect="1" noChangeArrowheads="1"/>
                    </pic:cNvPicPr>
                  </pic:nvPicPr>
                  <pic:blipFill>
                    <a:blip r:embed="rId20"/>
                    <a:srcRect/>
                    <a:stretch>
                      <a:fillRect/>
                    </a:stretch>
                  </pic:blipFill>
                  <pic:spPr>
                    <a:xfrm>
                      <a:off x="0" y="0"/>
                      <a:ext cx="5403850" cy="8235950"/>
                    </a:xfrm>
                    <a:prstGeom prst="rect">
                      <a:avLst/>
                    </a:prstGeom>
                    <a:noFill/>
                    <a:ln w="9525">
                      <a:noFill/>
                      <a:miter lim="800000"/>
                      <a:headEnd/>
                      <a:tailEnd/>
                    </a:ln>
                  </pic:spPr>
                </pic:pic>
              </a:graphicData>
            </a:graphic>
          </wp:inline>
        </w:drawing>
      </w:r>
      <w:bookmarkEnd w:id="7"/>
      <w:bookmarkEnd w:id="8"/>
    </w:p>
    <w:p>
      <w:pPr>
        <w:ind w:firstLine="3213" w:firstLineChars="1000"/>
        <w:rPr>
          <w:rFonts w:ascii="宋体" w:hAnsi="宋体"/>
          <w:b/>
          <w:color w:val="auto"/>
          <w:sz w:val="32"/>
          <w:szCs w:val="32"/>
        </w:rPr>
      </w:pPr>
    </w:p>
    <w:p>
      <w:pPr>
        <w:ind w:firstLine="3213" w:firstLineChars="1000"/>
        <w:rPr>
          <w:rFonts w:hint="eastAsia" w:ascii="宋体" w:hAnsi="宋体"/>
          <w:b/>
          <w:color w:val="auto"/>
          <w:sz w:val="32"/>
          <w:szCs w:val="32"/>
        </w:rPr>
      </w:pPr>
    </w:p>
    <w:p>
      <w:pPr>
        <w:ind w:firstLine="3213" w:firstLineChars="1000"/>
        <w:rPr>
          <w:rFonts w:ascii="宋体" w:hAnsi="宋体"/>
          <w:b/>
          <w:color w:val="auto"/>
          <w:sz w:val="32"/>
          <w:szCs w:val="32"/>
        </w:rPr>
      </w:pPr>
      <w:r>
        <w:rPr>
          <w:rFonts w:hint="eastAsia" w:ascii="宋体" w:hAnsi="宋体"/>
          <w:b/>
          <w:color w:val="auto"/>
          <w:sz w:val="32"/>
          <w:szCs w:val="32"/>
        </w:rPr>
        <w:t>评 价 人 员</w:t>
      </w:r>
    </w:p>
    <w:p>
      <w:pPr>
        <w:pStyle w:val="4"/>
        <w:rPr>
          <w:color w:val="auto"/>
        </w:rPr>
      </w:pPr>
    </w:p>
    <w:tbl>
      <w:tblPr>
        <w:tblStyle w:val="36"/>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972"/>
        <w:gridCol w:w="2748"/>
        <w:gridCol w:w="1635"/>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5" w:hRule="atLeast"/>
          <w:jc w:val="center"/>
        </w:trPr>
        <w:tc>
          <w:tcPr>
            <w:tcW w:w="1931" w:type="dxa"/>
            <w:tcBorders>
              <w:top w:val="single" w:color="auto" w:sz="4" w:space="0"/>
              <w:left w:val="single" w:color="auto" w:sz="4" w:space="0"/>
              <w:bottom w:val="single" w:color="auto" w:sz="4" w:space="0"/>
              <w:right w:val="single" w:color="auto" w:sz="4" w:space="0"/>
              <w:tl2br w:val="single" w:color="auto" w:sz="4" w:space="0"/>
            </w:tcBorders>
            <w:vAlign w:val="center"/>
          </w:tcPr>
          <w:p>
            <w:pPr>
              <w:spacing w:line="600" w:lineRule="auto"/>
              <w:ind w:firstLine="480"/>
              <w:jc w:val="center"/>
              <w:rPr>
                <w:rFonts w:ascii="宋体" w:hAnsi="宋体"/>
                <w:color w:val="auto"/>
                <w:sz w:val="24"/>
              </w:rPr>
            </w:pPr>
          </w:p>
        </w:tc>
        <w:tc>
          <w:tcPr>
            <w:tcW w:w="97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color w:val="auto"/>
                <w:sz w:val="24"/>
              </w:rPr>
              <w:t>姓名</w:t>
            </w:r>
          </w:p>
        </w:tc>
        <w:tc>
          <w:tcPr>
            <w:tcW w:w="274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840" w:firstLineChars="350"/>
              <w:rPr>
                <w:rFonts w:ascii="宋体" w:hAnsi="宋体"/>
                <w:color w:val="auto"/>
                <w:sz w:val="24"/>
              </w:rPr>
            </w:pPr>
            <w:r>
              <w:rPr>
                <w:rFonts w:hint="eastAsia" w:ascii="宋体" w:hAnsi="宋体"/>
                <w:color w:val="auto"/>
                <w:sz w:val="24"/>
              </w:rPr>
              <w:t>证书编号</w:t>
            </w:r>
          </w:p>
        </w:tc>
        <w:tc>
          <w:tcPr>
            <w:tcW w:w="163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0" w:firstLineChars="0"/>
              <w:jc w:val="center"/>
              <w:rPr>
                <w:rFonts w:ascii="宋体" w:hAnsi="宋体"/>
                <w:color w:val="auto"/>
                <w:sz w:val="24"/>
              </w:rPr>
            </w:pPr>
            <w:r>
              <w:rPr>
                <w:rFonts w:hint="eastAsia" w:ascii="宋体" w:hAnsi="宋体"/>
                <w:color w:val="auto"/>
                <w:sz w:val="24"/>
              </w:rPr>
              <w:t>从业登记号</w:t>
            </w:r>
          </w:p>
        </w:tc>
        <w:tc>
          <w:tcPr>
            <w:tcW w:w="163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0"/>
              <w:rPr>
                <w:color w:val="auto"/>
                <w:sz w:val="24"/>
              </w:rPr>
            </w:pPr>
            <w:r>
              <w:rPr>
                <w:rFonts w:hint="eastAsia"/>
                <w:color w:val="auto"/>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ind w:firstLine="480"/>
              <w:textAlignment w:val="center"/>
              <w:rPr>
                <w:rFonts w:ascii="宋体" w:hAnsi="宋体"/>
                <w:color w:val="auto"/>
                <w:sz w:val="24"/>
              </w:rPr>
            </w:pPr>
            <w:r>
              <w:rPr>
                <w:rFonts w:hint="eastAsia" w:ascii="宋体" w:hAnsi="宋体"/>
                <w:color w:val="auto"/>
                <w:sz w:val="24"/>
              </w:rPr>
              <w:t>项目负责人</w:t>
            </w:r>
          </w:p>
        </w:tc>
        <w:tc>
          <w:tcPr>
            <w:tcW w:w="97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bCs/>
                <w:color w:val="auto"/>
                <w:sz w:val="24"/>
              </w:rPr>
              <w:t>邓  飞</w:t>
            </w:r>
          </w:p>
        </w:tc>
        <w:tc>
          <w:tcPr>
            <w:tcW w:w="2748"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0800000000204003</w:t>
            </w:r>
          </w:p>
        </w:tc>
        <w:tc>
          <w:tcPr>
            <w:tcW w:w="1635"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010587</w:t>
            </w:r>
          </w:p>
        </w:tc>
        <w:tc>
          <w:tcPr>
            <w:tcW w:w="1634" w:type="dxa"/>
            <w:tcBorders>
              <w:top w:val="single" w:color="auto" w:sz="4" w:space="0"/>
              <w:left w:val="single" w:color="auto" w:sz="4" w:space="0"/>
              <w:bottom w:val="single" w:color="auto" w:sz="4" w:space="0"/>
              <w:right w:val="single" w:color="auto" w:sz="4" w:space="0"/>
            </w:tcBorders>
            <w:vAlign w:val="center"/>
          </w:tcPr>
          <w:p>
            <w:pPr>
              <w:spacing w:line="600" w:lineRule="auto"/>
              <w:ind w:firstLine="643"/>
              <w:jc w:val="center"/>
              <w:rPr>
                <w:rFonts w:ascii="宋体" w:hAnsi="宋体"/>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jc w:val="center"/>
        </w:trPr>
        <w:tc>
          <w:tcPr>
            <w:tcW w:w="1931" w:type="dxa"/>
            <w:vMerge w:val="restart"/>
            <w:tcBorders>
              <w:left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项目组成员</w:t>
            </w:r>
          </w:p>
        </w:tc>
        <w:tc>
          <w:tcPr>
            <w:tcW w:w="972" w:type="dxa"/>
            <w:tcBorders>
              <w:top w:val="single" w:color="auto" w:sz="4" w:space="0"/>
              <w:left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bCs/>
                <w:color w:val="auto"/>
                <w:sz w:val="24"/>
              </w:rPr>
              <w:t>邓  飞</w:t>
            </w:r>
          </w:p>
        </w:tc>
        <w:tc>
          <w:tcPr>
            <w:tcW w:w="2748" w:type="dxa"/>
            <w:tcBorders>
              <w:top w:val="single" w:color="auto" w:sz="4" w:space="0"/>
              <w:left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0800000000204003</w:t>
            </w:r>
          </w:p>
        </w:tc>
        <w:tc>
          <w:tcPr>
            <w:tcW w:w="1635" w:type="dxa"/>
            <w:tcBorders>
              <w:top w:val="single" w:color="auto" w:sz="4" w:space="0"/>
              <w:left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010587</w:t>
            </w:r>
          </w:p>
        </w:tc>
        <w:tc>
          <w:tcPr>
            <w:tcW w:w="1634" w:type="dxa"/>
            <w:tcBorders>
              <w:top w:val="single" w:color="auto" w:sz="4" w:space="0"/>
              <w:left w:val="single" w:color="auto" w:sz="4" w:space="0"/>
              <w:right w:val="single" w:color="auto" w:sz="4" w:space="0"/>
            </w:tcBorders>
            <w:vAlign w:val="center"/>
          </w:tcPr>
          <w:p>
            <w:pPr>
              <w:spacing w:line="600" w:lineRule="auto"/>
              <w:ind w:firstLine="643"/>
              <w:jc w:val="center"/>
              <w:rPr>
                <w:rFonts w:ascii="宋体" w:hAnsi="宋体"/>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jc w:val="center"/>
        </w:trPr>
        <w:tc>
          <w:tcPr>
            <w:tcW w:w="1931" w:type="dxa"/>
            <w:vMerge w:val="continue"/>
            <w:tcBorders>
              <w:left w:val="single" w:color="auto" w:sz="4" w:space="0"/>
              <w:right w:val="single" w:color="auto" w:sz="4" w:space="0"/>
            </w:tcBorders>
            <w:vAlign w:val="center"/>
          </w:tcPr>
          <w:p>
            <w:pPr>
              <w:ind w:firstLine="480"/>
              <w:jc w:val="center"/>
              <w:rPr>
                <w:rFonts w:ascii="宋体" w:hAnsi="宋体"/>
                <w:color w:val="auto"/>
                <w:sz w:val="24"/>
              </w:rPr>
            </w:pPr>
          </w:p>
        </w:tc>
        <w:tc>
          <w:tcPr>
            <w:tcW w:w="972" w:type="dxa"/>
            <w:tcBorders>
              <w:top w:val="single" w:color="auto" w:sz="4" w:space="0"/>
              <w:left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bCs/>
                <w:color w:val="auto"/>
                <w:sz w:val="24"/>
              </w:rPr>
              <w:t>陈  浩</w:t>
            </w:r>
          </w:p>
        </w:tc>
        <w:tc>
          <w:tcPr>
            <w:tcW w:w="2748" w:type="dxa"/>
            <w:tcBorders>
              <w:top w:val="single" w:color="auto" w:sz="4" w:space="0"/>
              <w:left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1200000000300428</w:t>
            </w:r>
          </w:p>
        </w:tc>
        <w:tc>
          <w:tcPr>
            <w:tcW w:w="1635" w:type="dxa"/>
            <w:tcBorders>
              <w:top w:val="single" w:color="auto" w:sz="4" w:space="0"/>
              <w:left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024027</w:t>
            </w:r>
          </w:p>
        </w:tc>
        <w:tc>
          <w:tcPr>
            <w:tcW w:w="1634" w:type="dxa"/>
            <w:tcBorders>
              <w:top w:val="single" w:color="auto" w:sz="4" w:space="0"/>
              <w:left w:val="single" w:color="auto" w:sz="4" w:space="0"/>
              <w:right w:val="single" w:color="auto" w:sz="4" w:space="0"/>
            </w:tcBorders>
            <w:vAlign w:val="center"/>
          </w:tcPr>
          <w:p>
            <w:pPr>
              <w:spacing w:line="600" w:lineRule="auto"/>
              <w:ind w:firstLine="643"/>
              <w:jc w:val="center"/>
              <w:rPr>
                <w:rFonts w:ascii="宋体" w:hAnsi="宋体"/>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jc w:val="center"/>
        </w:trPr>
        <w:tc>
          <w:tcPr>
            <w:tcW w:w="1931" w:type="dxa"/>
            <w:vMerge w:val="continue"/>
            <w:tcBorders>
              <w:left w:val="single" w:color="auto" w:sz="4" w:space="0"/>
              <w:right w:val="single" w:color="auto" w:sz="4" w:space="0"/>
            </w:tcBorders>
            <w:vAlign w:val="center"/>
          </w:tcPr>
          <w:p>
            <w:pPr>
              <w:ind w:firstLine="480"/>
              <w:jc w:val="center"/>
              <w:rPr>
                <w:rFonts w:ascii="宋体" w:hAnsi="宋体"/>
                <w:color w:val="auto"/>
                <w:sz w:val="24"/>
              </w:rPr>
            </w:pPr>
          </w:p>
        </w:tc>
        <w:tc>
          <w:tcPr>
            <w:tcW w:w="972" w:type="dxa"/>
            <w:tcBorders>
              <w:top w:val="single" w:color="auto" w:sz="4" w:space="0"/>
              <w:left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color w:val="auto"/>
                <w:sz w:val="24"/>
              </w:rPr>
              <w:t>许玉才</w:t>
            </w:r>
          </w:p>
        </w:tc>
        <w:tc>
          <w:tcPr>
            <w:tcW w:w="2748" w:type="dxa"/>
            <w:tcBorders>
              <w:top w:val="single" w:color="auto" w:sz="4" w:space="0"/>
              <w:left w:val="single" w:color="auto" w:sz="4" w:space="0"/>
              <w:right w:val="single" w:color="auto" w:sz="4" w:space="0"/>
            </w:tcBorders>
            <w:vAlign w:val="center"/>
          </w:tcPr>
          <w:p>
            <w:pPr>
              <w:ind w:firstLine="480"/>
              <w:rPr>
                <w:rFonts w:ascii="宋体" w:hAnsi="宋体"/>
                <w:color w:val="auto"/>
                <w:sz w:val="24"/>
              </w:rPr>
            </w:pPr>
            <w:r>
              <w:rPr>
                <w:rFonts w:hint="eastAsia" w:ascii="宋体" w:hAnsi="宋体"/>
                <w:bCs/>
                <w:color w:val="auto"/>
                <w:sz w:val="24"/>
              </w:rPr>
              <w:t>1800000000200658</w:t>
            </w:r>
          </w:p>
        </w:tc>
        <w:tc>
          <w:tcPr>
            <w:tcW w:w="1635" w:type="dxa"/>
            <w:tcBorders>
              <w:top w:val="single" w:color="auto" w:sz="4" w:space="0"/>
              <w:left w:val="single" w:color="auto" w:sz="4" w:space="0"/>
              <w:right w:val="single" w:color="auto" w:sz="4" w:space="0"/>
            </w:tcBorders>
            <w:vAlign w:val="center"/>
          </w:tcPr>
          <w:p>
            <w:pPr>
              <w:ind w:firstLine="480"/>
              <w:rPr>
                <w:rFonts w:ascii="宋体" w:hAnsi="宋体"/>
                <w:color w:val="auto"/>
                <w:sz w:val="24"/>
              </w:rPr>
            </w:pPr>
            <w:r>
              <w:rPr>
                <w:rFonts w:hint="eastAsia" w:ascii="宋体" w:hAnsi="宋体"/>
                <w:bCs/>
                <w:color w:val="auto"/>
                <w:sz w:val="24"/>
              </w:rPr>
              <w:t>033460</w:t>
            </w:r>
          </w:p>
        </w:tc>
        <w:tc>
          <w:tcPr>
            <w:tcW w:w="1634" w:type="dxa"/>
            <w:tcBorders>
              <w:top w:val="single" w:color="auto" w:sz="4" w:space="0"/>
              <w:left w:val="single" w:color="auto" w:sz="4" w:space="0"/>
              <w:right w:val="single" w:color="auto" w:sz="4" w:space="0"/>
            </w:tcBorders>
            <w:vAlign w:val="center"/>
          </w:tcPr>
          <w:p>
            <w:pPr>
              <w:spacing w:line="600" w:lineRule="auto"/>
              <w:ind w:firstLine="643"/>
              <w:jc w:val="center"/>
              <w:rPr>
                <w:rFonts w:ascii="宋体" w:hAnsi="宋体"/>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jc w:val="center"/>
        </w:trPr>
        <w:tc>
          <w:tcPr>
            <w:tcW w:w="1931" w:type="dxa"/>
            <w:vMerge w:val="continue"/>
            <w:tcBorders>
              <w:left w:val="single" w:color="auto" w:sz="4" w:space="0"/>
              <w:bottom w:val="single" w:color="auto" w:sz="4" w:space="0"/>
              <w:right w:val="single" w:color="auto" w:sz="4" w:space="0"/>
            </w:tcBorders>
            <w:vAlign w:val="center"/>
          </w:tcPr>
          <w:p>
            <w:pPr>
              <w:ind w:firstLine="480"/>
              <w:jc w:val="center"/>
              <w:rPr>
                <w:rFonts w:ascii="宋体" w:hAnsi="宋体"/>
                <w:color w:val="auto"/>
                <w:sz w:val="24"/>
              </w:rPr>
            </w:pPr>
          </w:p>
        </w:tc>
        <w:tc>
          <w:tcPr>
            <w:tcW w:w="972" w:type="dxa"/>
            <w:tcBorders>
              <w:top w:val="single" w:color="auto" w:sz="4" w:space="0"/>
              <w:left w:val="single" w:color="auto" w:sz="4" w:space="0"/>
              <w:right w:val="single" w:color="auto" w:sz="4" w:space="0"/>
            </w:tcBorders>
            <w:vAlign w:val="center"/>
          </w:tcPr>
          <w:p>
            <w:pPr>
              <w:ind w:firstLine="0" w:firstLineChars="0"/>
              <w:rPr>
                <w:rFonts w:ascii="宋体" w:hAnsi="宋体"/>
                <w:color w:val="auto"/>
                <w:sz w:val="24"/>
              </w:rPr>
            </w:pPr>
            <w:r>
              <w:rPr>
                <w:rFonts w:ascii="宋体" w:hAnsi="宋体" w:cs="宋体"/>
                <w:color w:val="auto"/>
                <w:sz w:val="24"/>
              </w:rPr>
              <w:t>黄伯扬</w:t>
            </w:r>
          </w:p>
        </w:tc>
        <w:tc>
          <w:tcPr>
            <w:tcW w:w="2748" w:type="dxa"/>
            <w:tcBorders>
              <w:top w:val="single" w:color="auto" w:sz="4" w:space="0"/>
              <w:left w:val="single" w:color="auto" w:sz="4" w:space="0"/>
              <w:right w:val="single" w:color="auto" w:sz="4" w:space="0"/>
            </w:tcBorders>
            <w:vAlign w:val="center"/>
          </w:tcPr>
          <w:p>
            <w:pPr>
              <w:ind w:firstLine="480"/>
              <w:rPr>
                <w:rFonts w:ascii="宋体" w:hAnsi="宋体"/>
                <w:bCs/>
                <w:color w:val="auto"/>
                <w:sz w:val="24"/>
              </w:rPr>
            </w:pPr>
            <w:r>
              <w:rPr>
                <w:rFonts w:ascii="宋体" w:hAnsi="宋体" w:cs="宋体"/>
                <w:color w:val="auto"/>
                <w:sz w:val="24"/>
              </w:rPr>
              <w:t>1800000000300643</w:t>
            </w:r>
          </w:p>
        </w:tc>
        <w:tc>
          <w:tcPr>
            <w:tcW w:w="1635" w:type="dxa"/>
            <w:tcBorders>
              <w:top w:val="single" w:color="auto" w:sz="4" w:space="0"/>
              <w:left w:val="single" w:color="auto" w:sz="4" w:space="0"/>
              <w:right w:val="single" w:color="auto" w:sz="4" w:space="0"/>
            </w:tcBorders>
            <w:vAlign w:val="center"/>
          </w:tcPr>
          <w:p>
            <w:pPr>
              <w:ind w:firstLine="480"/>
              <w:rPr>
                <w:rFonts w:ascii="宋体" w:hAnsi="宋体"/>
                <w:bCs/>
                <w:color w:val="auto"/>
                <w:sz w:val="24"/>
              </w:rPr>
            </w:pPr>
            <w:r>
              <w:rPr>
                <w:rFonts w:ascii="宋体" w:hAnsi="宋体" w:cs="宋体"/>
                <w:color w:val="auto"/>
                <w:sz w:val="24"/>
              </w:rPr>
              <w:t>032737</w:t>
            </w:r>
          </w:p>
        </w:tc>
        <w:tc>
          <w:tcPr>
            <w:tcW w:w="1634" w:type="dxa"/>
            <w:tcBorders>
              <w:top w:val="single" w:color="auto" w:sz="4" w:space="0"/>
              <w:left w:val="single" w:color="auto" w:sz="4" w:space="0"/>
              <w:right w:val="single" w:color="auto" w:sz="4" w:space="0"/>
            </w:tcBorders>
            <w:vAlign w:val="center"/>
          </w:tcPr>
          <w:p>
            <w:pPr>
              <w:spacing w:line="600" w:lineRule="auto"/>
              <w:ind w:firstLine="643"/>
              <w:jc w:val="center"/>
              <w:rPr>
                <w:rFonts w:ascii="宋体" w:hAnsi="宋体"/>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报告编制人</w:t>
            </w:r>
          </w:p>
        </w:tc>
        <w:tc>
          <w:tcPr>
            <w:tcW w:w="97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bCs/>
                <w:color w:val="auto"/>
                <w:sz w:val="24"/>
              </w:rPr>
              <w:t>邓  飞</w:t>
            </w:r>
          </w:p>
        </w:tc>
        <w:tc>
          <w:tcPr>
            <w:tcW w:w="2748"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0800000000204003</w:t>
            </w:r>
          </w:p>
        </w:tc>
        <w:tc>
          <w:tcPr>
            <w:tcW w:w="1635"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010587</w:t>
            </w:r>
          </w:p>
        </w:tc>
        <w:tc>
          <w:tcPr>
            <w:tcW w:w="1634" w:type="dxa"/>
            <w:tcBorders>
              <w:top w:val="single" w:color="auto" w:sz="4" w:space="0"/>
              <w:left w:val="single" w:color="auto" w:sz="4" w:space="0"/>
              <w:bottom w:val="single" w:color="auto" w:sz="4" w:space="0"/>
              <w:right w:val="single" w:color="auto" w:sz="4" w:space="0"/>
            </w:tcBorders>
            <w:vAlign w:val="center"/>
          </w:tcPr>
          <w:p>
            <w:pPr>
              <w:spacing w:line="600" w:lineRule="auto"/>
              <w:ind w:firstLine="643"/>
              <w:jc w:val="center"/>
              <w:rPr>
                <w:rFonts w:ascii="宋体" w:hAnsi="宋体"/>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报告审核人</w:t>
            </w:r>
          </w:p>
        </w:tc>
        <w:tc>
          <w:tcPr>
            <w:tcW w:w="97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color w:val="auto"/>
                <w:sz w:val="24"/>
              </w:rPr>
              <w:t>林大建</w:t>
            </w:r>
          </w:p>
        </w:tc>
        <w:tc>
          <w:tcPr>
            <w:tcW w:w="2748" w:type="dxa"/>
            <w:tcBorders>
              <w:top w:val="single" w:color="auto" w:sz="4" w:space="0"/>
              <w:left w:val="single" w:color="auto" w:sz="4" w:space="0"/>
              <w:bottom w:val="single" w:color="auto" w:sz="4" w:space="0"/>
              <w:right w:val="single" w:color="auto" w:sz="4" w:space="0"/>
            </w:tcBorders>
            <w:vAlign w:val="center"/>
          </w:tcPr>
          <w:p>
            <w:pPr>
              <w:tabs>
                <w:tab w:val="left" w:pos="516"/>
                <w:tab w:val="center" w:pos="1648"/>
              </w:tabs>
              <w:ind w:firstLine="480"/>
              <w:jc w:val="left"/>
              <w:textAlignment w:val="center"/>
              <w:rPr>
                <w:rFonts w:ascii="宋体" w:hAnsi="宋体"/>
                <w:color w:val="auto"/>
                <w:sz w:val="24"/>
              </w:rPr>
            </w:pPr>
            <w:r>
              <w:rPr>
                <w:rFonts w:hint="eastAsia" w:ascii="宋体" w:hAnsi="宋体"/>
                <w:color w:val="auto"/>
                <w:sz w:val="24"/>
              </w:rPr>
              <w:tab/>
            </w:r>
            <w:r>
              <w:rPr>
                <w:rFonts w:hint="eastAsia" w:ascii="宋体" w:hAnsi="宋体"/>
                <w:color w:val="auto"/>
                <w:sz w:val="24"/>
              </w:rPr>
              <w:t>0800000000101634</w:t>
            </w:r>
          </w:p>
        </w:tc>
        <w:tc>
          <w:tcPr>
            <w:tcW w:w="1635" w:type="dxa"/>
            <w:tcBorders>
              <w:top w:val="single" w:color="auto" w:sz="4" w:space="0"/>
              <w:left w:val="single" w:color="auto" w:sz="4" w:space="0"/>
              <w:bottom w:val="single" w:color="auto" w:sz="4" w:space="0"/>
              <w:right w:val="single" w:color="auto" w:sz="4" w:space="0"/>
            </w:tcBorders>
            <w:vAlign w:val="center"/>
          </w:tcPr>
          <w:p>
            <w:pPr>
              <w:ind w:firstLine="480"/>
              <w:textAlignment w:val="center"/>
              <w:rPr>
                <w:rFonts w:ascii="宋体" w:hAnsi="宋体"/>
                <w:color w:val="auto"/>
                <w:sz w:val="24"/>
              </w:rPr>
            </w:pPr>
            <w:r>
              <w:rPr>
                <w:rFonts w:hint="eastAsia" w:ascii="宋体" w:hAnsi="宋体"/>
                <w:color w:val="auto"/>
                <w:sz w:val="24"/>
              </w:rPr>
              <w:t>001633</w:t>
            </w:r>
          </w:p>
        </w:tc>
        <w:tc>
          <w:tcPr>
            <w:tcW w:w="1634" w:type="dxa"/>
            <w:tcBorders>
              <w:top w:val="single" w:color="auto" w:sz="4" w:space="0"/>
              <w:left w:val="single" w:color="auto" w:sz="4" w:space="0"/>
              <w:bottom w:val="single" w:color="auto" w:sz="4" w:space="0"/>
              <w:right w:val="single" w:color="auto" w:sz="4" w:space="0"/>
            </w:tcBorders>
            <w:vAlign w:val="center"/>
          </w:tcPr>
          <w:p>
            <w:pPr>
              <w:spacing w:line="600" w:lineRule="auto"/>
              <w:ind w:firstLine="643"/>
              <w:jc w:val="center"/>
              <w:rPr>
                <w:rFonts w:ascii="宋体" w:hAnsi="宋体"/>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auto"/>
                <w:sz w:val="24"/>
              </w:rPr>
            </w:pPr>
            <w:r>
              <w:rPr>
                <w:rFonts w:hint="eastAsia" w:ascii="宋体" w:hAnsi="宋体"/>
                <w:color w:val="auto"/>
                <w:sz w:val="24"/>
              </w:rPr>
              <w:t>过程控制负责人</w:t>
            </w:r>
          </w:p>
        </w:tc>
        <w:tc>
          <w:tcPr>
            <w:tcW w:w="97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bCs/>
                <w:color w:val="auto"/>
                <w:sz w:val="24"/>
              </w:rPr>
              <w:t>檀廷斌</w:t>
            </w:r>
          </w:p>
        </w:tc>
        <w:tc>
          <w:tcPr>
            <w:tcW w:w="2748" w:type="dxa"/>
            <w:tcBorders>
              <w:top w:val="single" w:color="auto" w:sz="4" w:space="0"/>
              <w:left w:val="single" w:color="auto" w:sz="4" w:space="0"/>
              <w:bottom w:val="single" w:color="auto" w:sz="4" w:space="0"/>
              <w:right w:val="single" w:color="auto" w:sz="4" w:space="0"/>
            </w:tcBorders>
            <w:vAlign w:val="center"/>
          </w:tcPr>
          <w:p>
            <w:pPr>
              <w:ind w:firstLine="360" w:firstLineChars="150"/>
              <w:rPr>
                <w:rFonts w:ascii="宋体" w:hAnsi="宋体"/>
                <w:color w:val="auto"/>
                <w:sz w:val="24"/>
              </w:rPr>
            </w:pPr>
            <w:r>
              <w:rPr>
                <w:rFonts w:hint="eastAsia" w:ascii="宋体" w:hAnsi="宋体"/>
                <w:bCs/>
                <w:color w:val="auto"/>
                <w:sz w:val="24"/>
              </w:rPr>
              <w:t>1600000000200717</w:t>
            </w:r>
          </w:p>
        </w:tc>
        <w:tc>
          <w:tcPr>
            <w:tcW w:w="1635"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olor w:val="auto"/>
                <w:sz w:val="24"/>
              </w:rPr>
            </w:pPr>
            <w:r>
              <w:rPr>
                <w:rFonts w:hint="eastAsia" w:ascii="宋体" w:hAnsi="宋体"/>
                <w:bCs/>
                <w:color w:val="auto"/>
                <w:sz w:val="24"/>
              </w:rPr>
              <w:t>029648</w:t>
            </w:r>
          </w:p>
        </w:tc>
        <w:tc>
          <w:tcPr>
            <w:tcW w:w="1634" w:type="dxa"/>
            <w:tcBorders>
              <w:top w:val="single" w:color="auto" w:sz="4" w:space="0"/>
              <w:left w:val="single" w:color="auto" w:sz="4" w:space="0"/>
              <w:bottom w:val="single" w:color="auto" w:sz="4" w:space="0"/>
              <w:right w:val="single" w:color="auto" w:sz="4" w:space="0"/>
            </w:tcBorders>
            <w:vAlign w:val="center"/>
          </w:tcPr>
          <w:p>
            <w:pPr>
              <w:spacing w:line="600" w:lineRule="auto"/>
              <w:ind w:firstLine="643"/>
              <w:jc w:val="center"/>
              <w:rPr>
                <w:rFonts w:ascii="宋体" w:hAnsi="宋体"/>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2"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olor w:val="auto"/>
                <w:sz w:val="24"/>
              </w:rPr>
            </w:pPr>
            <w:r>
              <w:rPr>
                <w:rFonts w:hint="eastAsia" w:ascii="宋体" w:hAnsi="宋体"/>
                <w:color w:val="auto"/>
                <w:sz w:val="24"/>
              </w:rPr>
              <w:t>技术负责人</w:t>
            </w:r>
          </w:p>
        </w:tc>
        <w:tc>
          <w:tcPr>
            <w:tcW w:w="97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bCs/>
                <w:color w:val="auto"/>
                <w:sz w:val="24"/>
              </w:rPr>
              <w:t>管自强</w:t>
            </w:r>
          </w:p>
        </w:tc>
        <w:tc>
          <w:tcPr>
            <w:tcW w:w="2748"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olor w:val="auto"/>
                <w:sz w:val="24"/>
              </w:rPr>
            </w:pPr>
            <w:r>
              <w:rPr>
                <w:rFonts w:hint="eastAsia" w:ascii="宋体" w:hAnsi="宋体"/>
                <w:bCs/>
                <w:color w:val="auto"/>
                <w:sz w:val="24"/>
              </w:rPr>
              <w:t>S011035000110191000614</w:t>
            </w:r>
          </w:p>
        </w:tc>
        <w:tc>
          <w:tcPr>
            <w:tcW w:w="1635"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olor w:val="auto"/>
                <w:sz w:val="24"/>
              </w:rPr>
            </w:pPr>
            <w:r>
              <w:rPr>
                <w:rFonts w:hint="eastAsia" w:ascii="宋体" w:hAnsi="宋体"/>
                <w:bCs/>
                <w:color w:val="auto"/>
                <w:sz w:val="24"/>
              </w:rPr>
              <w:t>020516</w:t>
            </w:r>
          </w:p>
        </w:tc>
        <w:tc>
          <w:tcPr>
            <w:tcW w:w="1634" w:type="dxa"/>
            <w:tcBorders>
              <w:top w:val="single" w:color="auto" w:sz="4" w:space="0"/>
              <w:left w:val="single" w:color="auto" w:sz="4" w:space="0"/>
              <w:bottom w:val="single" w:color="auto" w:sz="4" w:space="0"/>
              <w:right w:val="single" w:color="auto" w:sz="4" w:space="0"/>
            </w:tcBorders>
            <w:vAlign w:val="center"/>
          </w:tcPr>
          <w:p>
            <w:pPr>
              <w:spacing w:line="600" w:lineRule="auto"/>
              <w:ind w:firstLine="643"/>
              <w:jc w:val="center"/>
              <w:rPr>
                <w:rFonts w:ascii="宋体" w:hAnsi="宋体"/>
                <w:b/>
                <w:bCs/>
                <w:color w:val="auto"/>
                <w:kern w:val="0"/>
                <w:sz w:val="32"/>
                <w:szCs w:val="32"/>
              </w:rPr>
            </w:pPr>
          </w:p>
        </w:tc>
      </w:tr>
    </w:tbl>
    <w:p>
      <w:pPr>
        <w:ind w:firstLine="723"/>
        <w:jc w:val="center"/>
        <w:rPr>
          <w:b/>
          <w:bCs/>
          <w:color w:val="auto"/>
          <w:sz w:val="36"/>
          <w:szCs w:val="36"/>
        </w:rPr>
      </w:pPr>
    </w:p>
    <w:p>
      <w:pPr>
        <w:spacing w:beforeLines="100" w:afterLines="100"/>
        <w:ind w:firstLine="0" w:firstLineChars="0"/>
        <w:jc w:val="center"/>
        <w:outlineLvl w:val="0"/>
        <w:rPr>
          <w:rStyle w:val="53"/>
          <w:color w:val="auto"/>
        </w:rPr>
      </w:pPr>
      <w:bookmarkStart w:id="9" w:name="_Toc8543"/>
      <w:bookmarkStart w:id="10" w:name="_Toc15736"/>
    </w:p>
    <w:p>
      <w:pPr>
        <w:spacing w:beforeLines="100" w:afterLines="100"/>
        <w:ind w:firstLine="0" w:firstLineChars="0"/>
        <w:jc w:val="center"/>
        <w:outlineLvl w:val="0"/>
        <w:rPr>
          <w:rStyle w:val="53"/>
          <w:color w:val="auto"/>
        </w:rPr>
      </w:pPr>
      <w:r>
        <w:rPr>
          <w:rStyle w:val="53"/>
          <w:color w:val="auto"/>
        </w:rPr>
        <w:t>前     言</w:t>
      </w:r>
      <w:bookmarkEnd w:id="0"/>
      <w:bookmarkEnd w:id="1"/>
      <w:bookmarkEnd w:id="2"/>
      <w:bookmarkEnd w:id="3"/>
      <w:bookmarkEnd w:id="4"/>
      <w:bookmarkEnd w:id="5"/>
      <w:bookmarkEnd w:id="9"/>
      <w:bookmarkEnd w:id="10"/>
    </w:p>
    <w:p>
      <w:pPr>
        <w:spacing w:line="360" w:lineRule="auto"/>
        <w:ind w:firstLine="560"/>
        <w:rPr>
          <w:color w:val="auto"/>
        </w:rPr>
      </w:pPr>
      <w:r>
        <w:rPr>
          <w:rFonts w:hint="eastAsia"/>
          <w:color w:val="auto"/>
        </w:rPr>
        <w:t>万安县顺祥矿业有限公司于2015年9月9日注册成立，经营类型为其他有限责任公司，统一社会信用代码：91360828352083815N，注册地址位于江西省吉安市万安县顺丰乡，注册资本：壹仟万元整，</w:t>
      </w:r>
      <w:r>
        <w:rPr>
          <w:rFonts w:hint="eastAsia"/>
          <w:color w:val="auto"/>
          <w:szCs w:val="28"/>
        </w:rPr>
        <w:t>法定代表人：彭友辉；</w:t>
      </w:r>
      <w:r>
        <w:rPr>
          <w:rFonts w:hint="eastAsia"/>
          <w:color w:val="auto"/>
        </w:rPr>
        <w:t>营业期限至长期，</w:t>
      </w:r>
      <w:r>
        <w:rPr>
          <w:rFonts w:hint="eastAsia"/>
          <w:color w:val="auto"/>
          <w:szCs w:val="28"/>
        </w:rPr>
        <w:t>经营范围：高岭土开采、加工、销售。</w:t>
      </w:r>
    </w:p>
    <w:p>
      <w:pPr>
        <w:widowControl/>
        <w:spacing w:line="360" w:lineRule="auto"/>
        <w:ind w:firstLine="560"/>
        <w:jc w:val="left"/>
        <w:rPr>
          <w:rFonts w:ascii="宋体" w:hAnsi="宋体" w:cs="宋体"/>
          <w:color w:val="auto"/>
          <w:kern w:val="0"/>
          <w:szCs w:val="28"/>
        </w:rPr>
      </w:pPr>
      <w:r>
        <w:rPr>
          <w:rFonts w:hint="eastAsia" w:ascii="宋体" w:hAnsi="宋体" w:cs="宋体"/>
          <w:color w:val="auto"/>
          <w:kern w:val="0"/>
          <w:szCs w:val="28"/>
        </w:rPr>
        <w:t>该公司于2019年12月委托江西省核工业地质局二六三大队编制了《江西省万安县大坪矿区瓷土矿资源储量分割报告》。</w:t>
      </w:r>
    </w:p>
    <w:p>
      <w:pPr>
        <w:widowControl/>
        <w:spacing w:line="360" w:lineRule="auto"/>
        <w:ind w:firstLine="560"/>
        <w:jc w:val="left"/>
        <w:rPr>
          <w:color w:val="auto"/>
          <w:szCs w:val="28"/>
        </w:rPr>
      </w:pPr>
      <w:r>
        <w:rPr>
          <w:rFonts w:hint="eastAsia" w:ascii="宋体" w:hAnsi="宋体" w:cs="宋体"/>
          <w:color w:val="auto"/>
          <w:kern w:val="0"/>
          <w:szCs w:val="28"/>
        </w:rPr>
        <w:t>2020年3月委托江西省核工业地质局二六三大队编制了《万安县大坪瓷土矿矿产资源开发利用、地质环境恢复治理与土地复垦方案》（简称三合一方案），</w:t>
      </w:r>
      <w:r>
        <w:rPr>
          <w:rFonts w:hint="eastAsia"/>
          <w:color w:val="auto"/>
          <w:szCs w:val="28"/>
        </w:rPr>
        <w:t>设计采用露天机械开采，不实施爆破作业，公路开拓汽车运输方式，年产量</w:t>
      </w:r>
      <w:r>
        <w:rPr>
          <w:rFonts w:hint="eastAsia" w:hAnsi="宋体"/>
          <w:color w:val="auto"/>
        </w:rPr>
        <w:t>15万吨/年</w:t>
      </w:r>
      <w:r>
        <w:rPr>
          <w:rFonts w:hint="eastAsia"/>
          <w:color w:val="auto"/>
          <w:szCs w:val="28"/>
        </w:rPr>
        <w:t>，工作台阶高度10m。</w:t>
      </w:r>
    </w:p>
    <w:p>
      <w:pPr>
        <w:widowControl/>
        <w:spacing w:line="360" w:lineRule="auto"/>
        <w:ind w:firstLine="560"/>
        <w:jc w:val="left"/>
        <w:rPr>
          <w:rFonts w:ascii="宋体" w:hAnsi="宋体" w:cs="宋体"/>
          <w:color w:val="auto"/>
          <w:kern w:val="0"/>
          <w:szCs w:val="28"/>
        </w:rPr>
      </w:pPr>
      <w:r>
        <w:rPr>
          <w:rFonts w:hint="eastAsia" w:ascii="宋体" w:hAnsi="宋体"/>
          <w:color w:val="auto"/>
        </w:rPr>
        <w:t>该矿</w:t>
      </w:r>
      <w:r>
        <w:rPr>
          <w:rFonts w:hint="eastAsia"/>
          <w:color w:val="auto"/>
        </w:rPr>
        <w:t>于2020年5月20日取得</w:t>
      </w:r>
      <w:r>
        <w:rPr>
          <w:rFonts w:hint="eastAsia" w:ascii="宋体" w:hAnsi="宋体" w:cs="宋体"/>
          <w:color w:val="auto"/>
          <w:kern w:val="0"/>
          <w:szCs w:val="28"/>
        </w:rPr>
        <w:t>由吉安市自然资源局颁发的采矿许可证，矿区由43个拐点坐标圈定，矿区面积为0.0844Km</w:t>
      </w:r>
      <w:r>
        <w:rPr>
          <w:rFonts w:hint="eastAsia" w:ascii="宋体" w:hAnsi="宋体" w:cs="宋体"/>
          <w:color w:val="auto"/>
          <w:kern w:val="0"/>
          <w:szCs w:val="28"/>
          <w:vertAlign w:val="superscript"/>
        </w:rPr>
        <w:t>2</w:t>
      </w:r>
      <w:r>
        <w:rPr>
          <w:rFonts w:hint="eastAsia"/>
          <w:color w:val="auto"/>
          <w:szCs w:val="28"/>
        </w:rPr>
        <w:t>，开采标高为+260m至+156m标高之间陶瓷土，生产规模为15万吨/年，有效期至2025年5月20日</w:t>
      </w:r>
      <w:r>
        <w:rPr>
          <w:rFonts w:hint="eastAsia"/>
          <w:color w:val="auto"/>
          <w:kern w:val="0"/>
          <w:szCs w:val="28"/>
        </w:rPr>
        <w:t>，采矿权人为</w:t>
      </w:r>
      <w:r>
        <w:rPr>
          <w:rFonts w:hint="eastAsia"/>
          <w:color w:val="auto"/>
        </w:rPr>
        <w:t>万安县顺祥矿业有限公司</w:t>
      </w:r>
      <w:r>
        <w:rPr>
          <w:rFonts w:hint="eastAsia" w:ascii="宋体" w:hAnsi="宋体" w:cs="宋体"/>
          <w:color w:val="auto"/>
          <w:kern w:val="0"/>
          <w:szCs w:val="28"/>
        </w:rPr>
        <w:t>。</w:t>
      </w:r>
    </w:p>
    <w:p>
      <w:pPr>
        <w:spacing w:line="360" w:lineRule="auto"/>
        <w:ind w:firstLine="560"/>
        <w:rPr>
          <w:color w:val="auto"/>
        </w:rPr>
      </w:pPr>
      <w:r>
        <w:rPr>
          <w:rFonts w:hint="eastAsia"/>
          <w:color w:val="auto"/>
        </w:rPr>
        <w:t>依据《中华人民共和国安全生产法》、《江西省安全生产条例》及《建</w:t>
      </w:r>
    </w:p>
    <w:p>
      <w:pPr>
        <w:spacing w:line="360" w:lineRule="auto"/>
        <w:ind w:firstLine="0" w:firstLineChars="0"/>
        <w:rPr>
          <w:color w:val="auto"/>
        </w:rPr>
      </w:pPr>
      <w:r>
        <w:rPr>
          <w:rFonts w:hint="eastAsia"/>
          <w:color w:val="auto"/>
        </w:rPr>
        <w:t>设项目安全设施“三同时”监督管理办法》国家安总局第36号令（77号令修改）等法律法规的要求，建设单位应当选择有资质的安全评价机构对新建、改建、扩建建设项目进行安全预评价，以确保工程项目的安全设施与主体工程同时设计、同时施工、同时投入使用，确保工程项目在安全生产及安全管理方面符合国家及行业有关法律法规及标准。</w:t>
      </w:r>
    </w:p>
    <w:p>
      <w:pPr>
        <w:spacing w:line="360" w:lineRule="auto"/>
        <w:ind w:firstLine="560"/>
        <w:rPr>
          <w:color w:val="auto"/>
        </w:rPr>
      </w:pPr>
      <w:r>
        <w:rPr>
          <w:rFonts w:hint="eastAsia"/>
          <w:color w:val="auto"/>
        </w:rPr>
        <w:t>为此，万安县顺祥矿业有限公司委托江西赣安安全生产科学技术咨询服务中心承担其江西省万安县大坪矿区瓷土矿露天开采新建项目安全预评价工作。</w:t>
      </w:r>
    </w:p>
    <w:p>
      <w:pPr>
        <w:ind w:firstLine="560"/>
        <w:rPr>
          <w:color w:val="auto"/>
        </w:rPr>
        <w:sectPr>
          <w:footerReference r:id="rId8" w:type="default"/>
          <w:pgSz w:w="11905" w:h="16838"/>
          <w:pgMar w:top="1417" w:right="1417" w:bottom="1417" w:left="1417" w:header="850" w:footer="850" w:gutter="0"/>
          <w:pgNumType w:fmt="upperRoman" w:start="1"/>
          <w:cols w:space="720" w:num="1"/>
          <w:docGrid w:linePitch="312" w:charSpace="0"/>
        </w:sectPr>
      </w:pPr>
    </w:p>
    <w:p>
      <w:pPr>
        <w:ind w:firstLine="3915" w:firstLineChars="1300"/>
        <w:rPr>
          <w:b/>
          <w:bCs/>
          <w:color w:val="auto"/>
          <w:sz w:val="30"/>
          <w:szCs w:val="30"/>
        </w:rPr>
      </w:pPr>
      <w:r>
        <w:rPr>
          <w:b/>
          <w:bCs/>
          <w:color w:val="auto"/>
          <w:sz w:val="30"/>
          <w:szCs w:val="30"/>
        </w:rPr>
        <w:t>目   录</w:t>
      </w:r>
    </w:p>
    <w:p>
      <w:pPr>
        <w:pStyle w:val="30"/>
        <w:tabs>
          <w:tab w:val="right" w:leader="dot" w:pos="9071"/>
        </w:tabs>
        <w:spacing w:line="360" w:lineRule="exact"/>
        <w:ind w:left="280" w:firstLine="562"/>
        <w:rPr>
          <w:rFonts w:ascii="宋体" w:hAnsi="宋体" w:cs="宋体"/>
          <w:color w:val="auto"/>
          <w:sz w:val="24"/>
        </w:rPr>
      </w:pPr>
      <w:r>
        <w:rPr>
          <w:b/>
          <w:bCs/>
          <w:color w:val="auto"/>
          <w:szCs w:val="28"/>
        </w:rPr>
        <w:fldChar w:fldCharType="begin"/>
      </w:r>
      <w:r>
        <w:rPr>
          <w:b/>
          <w:bCs/>
          <w:color w:val="auto"/>
          <w:szCs w:val="28"/>
        </w:rPr>
        <w:instrText xml:space="preserve"> TOC \o "1-3" \h \z \u </w:instrText>
      </w:r>
      <w:r>
        <w:rPr>
          <w:b/>
          <w:bCs/>
          <w:color w:val="auto"/>
          <w:szCs w:val="28"/>
        </w:rPr>
        <w:fldChar w:fldCharType="separate"/>
      </w:r>
      <w:r>
        <w:rPr>
          <w:color w:val="auto"/>
        </w:rPr>
        <w:fldChar w:fldCharType="begin"/>
      </w:r>
      <w:r>
        <w:rPr>
          <w:color w:val="auto"/>
        </w:rPr>
        <w:instrText xml:space="preserve"> HYPERLINK \l "_Toc24088" </w:instrText>
      </w:r>
      <w:r>
        <w:rPr>
          <w:color w:val="auto"/>
        </w:rPr>
        <w:fldChar w:fldCharType="separate"/>
      </w:r>
      <w:r>
        <w:rPr>
          <w:rFonts w:hint="eastAsia" w:ascii="宋体" w:hAnsi="宋体" w:cs="宋体"/>
          <w:color w:val="auto"/>
          <w:sz w:val="24"/>
        </w:rPr>
        <w:t>1评价目的与依据</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_Toc24088 </w:instrText>
      </w:r>
      <w:r>
        <w:rPr>
          <w:rFonts w:hint="eastAsia" w:ascii="宋体" w:hAnsi="宋体" w:cs="宋体"/>
          <w:color w:val="auto"/>
          <w:sz w:val="24"/>
        </w:rPr>
        <w:fldChar w:fldCharType="separate"/>
      </w:r>
      <w:r>
        <w:rPr>
          <w:rFonts w:hint="eastAsia" w:ascii="宋体" w:hAnsi="宋体" w:cs="宋体"/>
          <w:color w:val="auto"/>
          <w:sz w:val="24"/>
        </w:rPr>
        <w:t>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"_Toc31996" </w:instrText>
      </w:r>
      <w:r>
        <w:rPr>
          <w:color w:val="auto"/>
        </w:rPr>
        <w:fldChar w:fldCharType="separate"/>
      </w:r>
      <w:r>
        <w:rPr>
          <w:rFonts w:hint="eastAsia" w:ascii="宋体" w:hAnsi="宋体" w:cs="宋体"/>
          <w:color w:val="auto"/>
          <w:sz w:val="24"/>
        </w:rPr>
        <w:t>1.1评价对象和范围</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_Toc31996 </w:instrText>
      </w:r>
      <w:r>
        <w:rPr>
          <w:rFonts w:hint="eastAsia" w:ascii="宋体" w:hAnsi="宋体" w:cs="宋体"/>
          <w:color w:val="auto"/>
          <w:sz w:val="24"/>
        </w:rPr>
        <w:fldChar w:fldCharType="separate"/>
      </w:r>
      <w:r>
        <w:rPr>
          <w:rFonts w:hint="eastAsia" w:ascii="宋体" w:hAnsi="宋体" w:cs="宋体"/>
          <w:color w:val="auto"/>
          <w:sz w:val="24"/>
        </w:rPr>
        <w:t>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"_Toc6450" </w:instrText>
      </w:r>
      <w:r>
        <w:rPr>
          <w:color w:val="auto"/>
        </w:rPr>
        <w:fldChar w:fldCharType="separate"/>
      </w:r>
      <w:r>
        <w:rPr>
          <w:rFonts w:hint="eastAsia" w:ascii="宋体" w:hAnsi="宋体" w:cs="宋体"/>
          <w:color w:val="auto"/>
          <w:sz w:val="24"/>
        </w:rPr>
        <w:t>1.1.1评价对象</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_Toc6450 </w:instrText>
      </w:r>
      <w:r>
        <w:rPr>
          <w:rFonts w:hint="eastAsia" w:ascii="宋体" w:hAnsi="宋体" w:cs="宋体"/>
          <w:color w:val="auto"/>
          <w:sz w:val="24"/>
        </w:rPr>
        <w:fldChar w:fldCharType="separate"/>
      </w:r>
      <w:r>
        <w:rPr>
          <w:rFonts w:hint="eastAsia" w:ascii="宋体" w:hAnsi="宋体" w:cs="宋体"/>
          <w:color w:val="auto"/>
          <w:sz w:val="24"/>
        </w:rPr>
        <w:t>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"_Toc10334" </w:instrText>
      </w:r>
      <w:r>
        <w:rPr>
          <w:color w:val="auto"/>
        </w:rPr>
        <w:fldChar w:fldCharType="separate"/>
      </w:r>
      <w:r>
        <w:rPr>
          <w:rFonts w:hint="eastAsia" w:ascii="宋体" w:hAnsi="宋体" w:cs="宋体"/>
          <w:color w:val="auto"/>
          <w:sz w:val="24"/>
        </w:rPr>
        <w:t>1.1.2评价范围</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_Toc10334 </w:instrText>
      </w:r>
      <w:r>
        <w:rPr>
          <w:rFonts w:hint="eastAsia" w:ascii="宋体" w:hAnsi="宋体" w:cs="宋体"/>
          <w:color w:val="auto"/>
          <w:sz w:val="24"/>
        </w:rPr>
        <w:fldChar w:fldCharType="separate"/>
      </w:r>
      <w:r>
        <w:rPr>
          <w:rFonts w:hint="eastAsia" w:ascii="宋体" w:hAnsi="宋体" w:cs="宋体"/>
          <w:color w:val="auto"/>
          <w:sz w:val="24"/>
        </w:rPr>
        <w:t>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"_Toc9250" </w:instrText>
      </w:r>
      <w:r>
        <w:rPr>
          <w:color w:val="auto"/>
        </w:rPr>
        <w:fldChar w:fldCharType="separate"/>
      </w:r>
      <w:r>
        <w:rPr>
          <w:rFonts w:hint="eastAsia" w:ascii="宋体" w:hAnsi="宋体" w:cs="宋体"/>
          <w:color w:val="auto"/>
          <w:sz w:val="24"/>
        </w:rPr>
        <w:t>1.2评价目的和内容</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_Toc9250 </w:instrText>
      </w:r>
      <w:r>
        <w:rPr>
          <w:rFonts w:hint="eastAsia" w:ascii="宋体" w:hAnsi="宋体" w:cs="宋体"/>
          <w:color w:val="auto"/>
          <w:sz w:val="24"/>
        </w:rPr>
        <w:fldChar w:fldCharType="separate"/>
      </w:r>
      <w:r>
        <w:rPr>
          <w:rFonts w:hint="eastAsia" w:ascii="宋体" w:hAnsi="宋体" w:cs="宋体"/>
          <w:color w:val="auto"/>
          <w:sz w:val="24"/>
        </w:rPr>
        <w:t>2</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"_Toc30446" </w:instrText>
      </w:r>
      <w:r>
        <w:rPr>
          <w:color w:val="auto"/>
        </w:rPr>
        <w:fldChar w:fldCharType="separate"/>
      </w:r>
      <w:r>
        <w:rPr>
          <w:rFonts w:hint="eastAsia" w:ascii="宋体" w:hAnsi="宋体" w:cs="宋体"/>
          <w:color w:val="auto"/>
          <w:sz w:val="24"/>
        </w:rPr>
        <w:t>1.2.1评价目的</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_Toc30446 </w:instrText>
      </w:r>
      <w:r>
        <w:rPr>
          <w:rFonts w:hint="eastAsia" w:ascii="宋体" w:hAnsi="宋体" w:cs="宋体"/>
          <w:color w:val="auto"/>
          <w:sz w:val="24"/>
        </w:rPr>
        <w:fldChar w:fldCharType="separate"/>
      </w:r>
      <w:r>
        <w:rPr>
          <w:rFonts w:hint="eastAsia" w:ascii="宋体" w:hAnsi="宋体" w:cs="宋体"/>
          <w:color w:val="auto"/>
          <w:sz w:val="24"/>
        </w:rPr>
        <w:t>2</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"_Toc9839" </w:instrText>
      </w:r>
      <w:r>
        <w:rPr>
          <w:color w:val="auto"/>
        </w:rPr>
        <w:fldChar w:fldCharType="separate"/>
      </w:r>
      <w:r>
        <w:rPr>
          <w:rFonts w:hint="eastAsia" w:ascii="宋体" w:hAnsi="宋体" w:cs="宋体"/>
          <w:color w:val="auto"/>
          <w:sz w:val="24"/>
        </w:rPr>
        <w:t>1.2.2安全预评价主要内容</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_Toc9839 </w:instrText>
      </w:r>
      <w:r>
        <w:rPr>
          <w:rFonts w:hint="eastAsia" w:ascii="宋体" w:hAnsi="宋体" w:cs="宋体"/>
          <w:color w:val="auto"/>
          <w:sz w:val="24"/>
        </w:rPr>
        <w:fldChar w:fldCharType="separate"/>
      </w:r>
      <w:r>
        <w:rPr>
          <w:rFonts w:hint="eastAsia" w:ascii="宋体" w:hAnsi="宋体" w:cs="宋体"/>
          <w:color w:val="auto"/>
          <w:sz w:val="24"/>
        </w:rPr>
        <w:t>2</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"_Toc29099" </w:instrText>
      </w:r>
      <w:r>
        <w:rPr>
          <w:color w:val="auto"/>
        </w:rPr>
        <w:fldChar w:fldCharType="separate"/>
      </w:r>
      <w:r>
        <w:rPr>
          <w:rFonts w:hint="eastAsia" w:ascii="宋体" w:hAnsi="宋体" w:cs="宋体"/>
          <w:color w:val="auto"/>
          <w:sz w:val="24"/>
        </w:rPr>
        <w:t>1.3主要评价依据</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_Toc29099 </w:instrText>
      </w:r>
      <w:r>
        <w:rPr>
          <w:rFonts w:hint="eastAsia" w:ascii="宋体" w:hAnsi="宋体" w:cs="宋体"/>
          <w:color w:val="auto"/>
          <w:sz w:val="24"/>
        </w:rPr>
        <w:fldChar w:fldCharType="separate"/>
      </w:r>
      <w:r>
        <w:rPr>
          <w:rFonts w:hint="eastAsia" w:ascii="宋体" w:hAnsi="宋体" w:cs="宋体"/>
          <w:color w:val="auto"/>
          <w:sz w:val="24"/>
        </w:rPr>
        <w:t>3</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"_Toc20075" </w:instrText>
      </w:r>
      <w:r>
        <w:rPr>
          <w:color w:val="auto"/>
        </w:rPr>
        <w:fldChar w:fldCharType="separate"/>
      </w:r>
      <w:r>
        <w:rPr>
          <w:rFonts w:hint="eastAsia" w:ascii="宋体" w:hAnsi="宋体" w:cs="宋体"/>
          <w:color w:val="auto"/>
          <w:sz w:val="24"/>
        </w:rPr>
        <w:t>1.3.1法律、法规、规章</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_Toc20075 </w:instrText>
      </w:r>
      <w:r>
        <w:rPr>
          <w:rFonts w:hint="eastAsia" w:ascii="宋体" w:hAnsi="宋体" w:cs="宋体"/>
          <w:color w:val="auto"/>
          <w:sz w:val="24"/>
        </w:rPr>
        <w:fldChar w:fldCharType="separate"/>
      </w:r>
      <w:r>
        <w:rPr>
          <w:rFonts w:hint="eastAsia" w:ascii="宋体" w:hAnsi="宋体" w:cs="宋体"/>
          <w:color w:val="auto"/>
          <w:sz w:val="24"/>
        </w:rPr>
        <w:t>3</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"_Toc22980" </w:instrText>
      </w:r>
      <w:r>
        <w:rPr>
          <w:color w:val="auto"/>
        </w:rPr>
        <w:fldChar w:fldCharType="separate"/>
      </w:r>
      <w:r>
        <w:rPr>
          <w:rFonts w:hint="eastAsia" w:ascii="宋体" w:hAnsi="宋体" w:cs="宋体"/>
          <w:color w:val="auto"/>
          <w:sz w:val="24"/>
        </w:rPr>
        <w:t>1.3.2标准、规范</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_Toc22980 </w:instrText>
      </w:r>
      <w:r>
        <w:rPr>
          <w:rFonts w:hint="eastAsia" w:ascii="宋体" w:hAnsi="宋体" w:cs="宋体"/>
          <w:color w:val="auto"/>
          <w:sz w:val="24"/>
        </w:rPr>
        <w:fldChar w:fldCharType="separate"/>
      </w:r>
      <w:r>
        <w:rPr>
          <w:rFonts w:hint="eastAsia" w:ascii="宋体" w:hAnsi="宋体" w:cs="宋体"/>
          <w:color w:val="auto"/>
          <w:sz w:val="24"/>
        </w:rPr>
        <w:t>8</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"_Toc31773" </w:instrText>
      </w:r>
      <w:r>
        <w:rPr>
          <w:color w:val="auto"/>
        </w:rPr>
        <w:fldChar w:fldCharType="separate"/>
      </w:r>
      <w:r>
        <w:rPr>
          <w:rFonts w:hint="eastAsia" w:ascii="宋体" w:hAnsi="宋体" w:cs="宋体"/>
          <w:color w:val="auto"/>
          <w:sz w:val="24"/>
        </w:rPr>
        <w:t>1.3.3建设项目合法证明和技术文件</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_Toc31773 </w:instrText>
      </w:r>
      <w:r>
        <w:rPr>
          <w:rFonts w:hint="eastAsia" w:ascii="宋体" w:hAnsi="宋体" w:cs="宋体"/>
          <w:color w:val="auto"/>
          <w:sz w:val="24"/>
        </w:rPr>
        <w:fldChar w:fldCharType="separate"/>
      </w:r>
      <w:r>
        <w:rPr>
          <w:rFonts w:hint="eastAsia" w:ascii="宋体" w:hAnsi="宋体" w:cs="宋体"/>
          <w:color w:val="auto"/>
          <w:sz w:val="24"/>
        </w:rPr>
        <w:t>10</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"_Toc3151" </w:instrText>
      </w:r>
      <w:r>
        <w:rPr>
          <w:color w:val="auto"/>
        </w:rPr>
        <w:fldChar w:fldCharType="separate"/>
      </w:r>
      <w:r>
        <w:rPr>
          <w:rFonts w:hint="eastAsia" w:ascii="宋体" w:hAnsi="宋体" w:cs="宋体"/>
          <w:color w:val="auto"/>
          <w:sz w:val="24"/>
        </w:rPr>
        <w:t>1.4评价程序</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_Toc3151 </w:instrText>
      </w:r>
      <w:r>
        <w:rPr>
          <w:rFonts w:hint="eastAsia" w:ascii="宋体" w:hAnsi="宋体" w:cs="宋体"/>
          <w:color w:val="auto"/>
          <w:sz w:val="24"/>
        </w:rPr>
        <w:fldChar w:fldCharType="separate"/>
      </w:r>
      <w:r>
        <w:rPr>
          <w:rFonts w:hint="eastAsia" w:ascii="宋体" w:hAnsi="宋体" w:cs="宋体"/>
          <w:color w:val="auto"/>
          <w:sz w:val="24"/>
        </w:rPr>
        <w:t>10</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26"/>
        <w:tabs>
          <w:tab w:val="right" w:leader="dot" w:pos="9071"/>
        </w:tabs>
        <w:spacing w:line="360" w:lineRule="exact"/>
        <w:ind w:firstLine="560"/>
        <w:rPr>
          <w:rFonts w:ascii="宋体" w:hAnsi="宋体" w:cs="宋体"/>
          <w:color w:val="auto"/>
          <w:sz w:val="24"/>
        </w:rPr>
      </w:pPr>
      <w:r>
        <w:rPr>
          <w:color w:val="auto"/>
        </w:rPr>
        <w:fldChar w:fldCharType="begin"/>
      </w:r>
      <w:r>
        <w:rPr>
          <w:color w:val="auto"/>
        </w:rPr>
        <w:instrText xml:space="preserve"> HYPERLINK \l "_Toc26802" </w:instrText>
      </w:r>
      <w:r>
        <w:rPr>
          <w:color w:val="auto"/>
        </w:rPr>
        <w:fldChar w:fldCharType="separate"/>
      </w:r>
      <w:r>
        <w:rPr>
          <w:rFonts w:hint="eastAsia" w:ascii="宋体" w:hAnsi="宋体" w:cs="宋体"/>
          <w:color w:val="auto"/>
          <w:sz w:val="24"/>
        </w:rPr>
        <w:t>2建设项目概述</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_Toc26802 </w:instrText>
      </w:r>
      <w:r>
        <w:rPr>
          <w:rFonts w:hint="eastAsia" w:ascii="宋体" w:hAnsi="宋体" w:cs="宋体"/>
          <w:color w:val="auto"/>
          <w:sz w:val="24"/>
        </w:rPr>
        <w:fldChar w:fldCharType="separate"/>
      </w:r>
      <w:r>
        <w:rPr>
          <w:rFonts w:hint="eastAsia" w:ascii="宋体" w:hAnsi="宋体" w:cs="宋体"/>
          <w:color w:val="auto"/>
          <w:sz w:val="24"/>
        </w:rPr>
        <w:t>11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"_Toc5262" </w:instrText>
      </w:r>
      <w:r>
        <w:rPr>
          <w:color w:val="auto"/>
        </w:rPr>
        <w:fldChar w:fldCharType="separate"/>
      </w:r>
      <w:r>
        <w:rPr>
          <w:rFonts w:hint="eastAsia" w:ascii="宋体" w:hAnsi="宋体" w:cs="宋体"/>
          <w:color w:val="auto"/>
          <w:sz w:val="24"/>
        </w:rPr>
        <w:t>2.1建设项目概况</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_Toc5262 </w:instrText>
      </w:r>
      <w:r>
        <w:rPr>
          <w:rFonts w:hint="eastAsia" w:ascii="宋体" w:hAnsi="宋体" w:cs="宋体"/>
          <w:color w:val="auto"/>
          <w:sz w:val="24"/>
        </w:rPr>
        <w:fldChar w:fldCharType="separate"/>
      </w:r>
      <w:r>
        <w:rPr>
          <w:rFonts w:hint="eastAsia" w:ascii="宋体" w:hAnsi="宋体" w:cs="宋体"/>
          <w:color w:val="auto"/>
          <w:sz w:val="24"/>
        </w:rPr>
        <w:t>11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"_Toc22047" </w:instrText>
      </w:r>
      <w:r>
        <w:rPr>
          <w:color w:val="auto"/>
        </w:rPr>
        <w:fldChar w:fldCharType="separate"/>
      </w:r>
      <w:r>
        <w:rPr>
          <w:rFonts w:hint="eastAsia" w:ascii="宋体" w:hAnsi="宋体" w:cs="宋体"/>
          <w:color w:val="auto"/>
          <w:sz w:val="24"/>
        </w:rPr>
        <w:t>2.1.1企业地理位置及矿区范围</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_Toc22047 </w:instrText>
      </w:r>
      <w:r>
        <w:rPr>
          <w:rFonts w:hint="eastAsia" w:ascii="宋体" w:hAnsi="宋体" w:cs="宋体"/>
          <w:color w:val="auto"/>
          <w:sz w:val="24"/>
        </w:rPr>
        <w:fldChar w:fldCharType="separate"/>
      </w:r>
      <w:r>
        <w:rPr>
          <w:rFonts w:hint="eastAsia" w:ascii="宋体" w:hAnsi="宋体" w:cs="宋体"/>
          <w:color w:val="auto"/>
          <w:sz w:val="24"/>
        </w:rPr>
        <w:t>11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"_Toc26994" </w:instrText>
      </w:r>
      <w:r>
        <w:rPr>
          <w:color w:val="auto"/>
        </w:rPr>
        <w:fldChar w:fldCharType="separate"/>
      </w:r>
      <w:r>
        <w:rPr>
          <w:rFonts w:hint="eastAsia" w:ascii="宋体" w:hAnsi="宋体" w:cs="宋体"/>
          <w:bCs/>
          <w:color w:val="auto"/>
          <w:sz w:val="24"/>
        </w:rPr>
        <w:t>2.1.2周边环境</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_Toc26994 </w:instrText>
      </w:r>
      <w:r>
        <w:rPr>
          <w:rFonts w:hint="eastAsia" w:ascii="宋体" w:hAnsi="宋体" w:cs="宋体"/>
          <w:color w:val="auto"/>
          <w:sz w:val="24"/>
        </w:rPr>
        <w:fldChar w:fldCharType="separate"/>
      </w:r>
      <w:r>
        <w:rPr>
          <w:rFonts w:hint="eastAsia" w:ascii="宋体" w:hAnsi="宋体" w:cs="宋体"/>
          <w:color w:val="auto"/>
          <w:sz w:val="24"/>
        </w:rPr>
        <w:t>13</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"_Toc28948" </w:instrText>
      </w:r>
      <w:r>
        <w:rPr>
          <w:color w:val="auto"/>
        </w:rPr>
        <w:fldChar w:fldCharType="separate"/>
      </w:r>
      <w:r>
        <w:rPr>
          <w:rFonts w:hint="eastAsia" w:ascii="宋体" w:hAnsi="宋体" w:cs="宋体"/>
          <w:color w:val="auto"/>
          <w:sz w:val="24"/>
        </w:rPr>
        <w:t>2.2自然环境概况</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_Toc28948 </w:instrText>
      </w:r>
      <w:r>
        <w:rPr>
          <w:rFonts w:hint="eastAsia" w:ascii="宋体" w:hAnsi="宋体" w:cs="宋体"/>
          <w:color w:val="auto"/>
          <w:sz w:val="24"/>
        </w:rPr>
        <w:fldChar w:fldCharType="separate"/>
      </w:r>
      <w:r>
        <w:rPr>
          <w:rFonts w:hint="eastAsia" w:ascii="宋体" w:hAnsi="宋体" w:cs="宋体"/>
          <w:color w:val="auto"/>
          <w:sz w:val="24"/>
        </w:rPr>
        <w:t>15</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"_Toc30795" </w:instrText>
      </w:r>
      <w:r>
        <w:rPr>
          <w:color w:val="auto"/>
        </w:rPr>
        <w:fldChar w:fldCharType="separate"/>
      </w:r>
      <w:r>
        <w:rPr>
          <w:rFonts w:hint="eastAsia" w:ascii="宋体" w:hAnsi="宋体" w:cs="宋体"/>
          <w:color w:val="auto"/>
          <w:sz w:val="24"/>
        </w:rPr>
        <w:t>2.3工程地质概况</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_Toc30795 </w:instrText>
      </w:r>
      <w:r>
        <w:rPr>
          <w:rFonts w:hint="eastAsia" w:ascii="宋体" w:hAnsi="宋体" w:cs="宋体"/>
          <w:color w:val="auto"/>
          <w:sz w:val="24"/>
        </w:rPr>
        <w:fldChar w:fldCharType="separate"/>
      </w:r>
      <w:r>
        <w:rPr>
          <w:rFonts w:hint="eastAsia" w:ascii="宋体" w:hAnsi="宋体" w:cs="宋体"/>
          <w:color w:val="auto"/>
          <w:sz w:val="24"/>
        </w:rPr>
        <w:t>16</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"_Toc8067" </w:instrText>
      </w:r>
      <w:r>
        <w:rPr>
          <w:color w:val="auto"/>
        </w:rPr>
        <w:fldChar w:fldCharType="separate"/>
      </w:r>
      <w:r>
        <w:rPr>
          <w:rFonts w:hint="eastAsia" w:ascii="宋体" w:hAnsi="宋体" w:cs="宋体"/>
          <w:color w:val="auto"/>
          <w:sz w:val="24"/>
        </w:rPr>
        <w:t>2.3.1矿区地质概况</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_Toc8067 </w:instrText>
      </w:r>
      <w:r>
        <w:rPr>
          <w:rFonts w:hint="eastAsia" w:ascii="宋体" w:hAnsi="宋体" w:cs="宋体"/>
          <w:color w:val="auto"/>
          <w:sz w:val="24"/>
        </w:rPr>
        <w:fldChar w:fldCharType="separate"/>
      </w:r>
      <w:r>
        <w:rPr>
          <w:rFonts w:hint="eastAsia" w:ascii="宋体" w:hAnsi="宋体" w:cs="宋体"/>
          <w:color w:val="auto"/>
          <w:sz w:val="24"/>
        </w:rPr>
        <w:t>16</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"_Toc28086" </w:instrText>
      </w:r>
      <w:r>
        <w:rPr>
          <w:color w:val="auto"/>
        </w:rPr>
        <w:fldChar w:fldCharType="separate"/>
      </w:r>
      <w:r>
        <w:rPr>
          <w:rFonts w:hint="eastAsia" w:ascii="宋体" w:hAnsi="宋体" w:cs="宋体"/>
          <w:color w:val="auto"/>
          <w:sz w:val="24"/>
        </w:rPr>
        <w:t>2.3.2矿床地质特征</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_Toc28086 </w:instrText>
      </w:r>
      <w:r>
        <w:rPr>
          <w:rFonts w:hint="eastAsia" w:ascii="宋体" w:hAnsi="宋体" w:cs="宋体"/>
          <w:color w:val="auto"/>
          <w:sz w:val="24"/>
        </w:rPr>
        <w:fldChar w:fldCharType="separate"/>
      </w:r>
      <w:r>
        <w:rPr>
          <w:rFonts w:hint="eastAsia" w:ascii="宋体" w:hAnsi="宋体" w:cs="宋体"/>
          <w:color w:val="auto"/>
          <w:sz w:val="24"/>
        </w:rPr>
        <w:t>28</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"_Toc2104" </w:instrText>
      </w:r>
      <w:r>
        <w:rPr>
          <w:color w:val="auto"/>
        </w:rPr>
        <w:fldChar w:fldCharType="separate"/>
      </w:r>
      <w:r>
        <w:rPr>
          <w:rFonts w:hint="eastAsia" w:ascii="宋体" w:hAnsi="宋体" w:cs="宋体"/>
          <w:color w:val="auto"/>
          <w:sz w:val="24"/>
        </w:rPr>
        <w:t>2.3.3水文地质条件</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_Toc2104 </w:instrText>
      </w:r>
      <w:r>
        <w:rPr>
          <w:rFonts w:hint="eastAsia" w:ascii="宋体" w:hAnsi="宋体" w:cs="宋体"/>
          <w:color w:val="auto"/>
          <w:sz w:val="24"/>
        </w:rPr>
        <w:fldChar w:fldCharType="separate"/>
      </w:r>
      <w:r>
        <w:rPr>
          <w:rFonts w:hint="eastAsia" w:ascii="宋体" w:hAnsi="宋体" w:cs="宋体"/>
          <w:color w:val="auto"/>
          <w:sz w:val="24"/>
        </w:rPr>
        <w:t>31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"_Toc30544" </w:instrText>
      </w:r>
      <w:r>
        <w:rPr>
          <w:color w:val="auto"/>
        </w:rPr>
        <w:fldChar w:fldCharType="separate"/>
      </w:r>
      <w:r>
        <w:rPr>
          <w:rFonts w:hint="eastAsia" w:ascii="宋体" w:hAnsi="宋体" w:cs="宋体"/>
          <w:color w:val="auto"/>
          <w:sz w:val="24"/>
        </w:rPr>
        <w:t>2.3.4工程地质概况</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_Toc30544 </w:instrText>
      </w:r>
      <w:r>
        <w:rPr>
          <w:rFonts w:hint="eastAsia" w:ascii="宋体" w:hAnsi="宋体" w:cs="宋体"/>
          <w:color w:val="auto"/>
          <w:sz w:val="24"/>
        </w:rPr>
        <w:fldChar w:fldCharType="separate"/>
      </w:r>
      <w:r>
        <w:rPr>
          <w:rFonts w:hint="eastAsia" w:ascii="宋体" w:hAnsi="宋体" w:cs="宋体"/>
          <w:color w:val="auto"/>
          <w:sz w:val="24"/>
        </w:rPr>
        <w:t>34</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"_Toc17498" </w:instrText>
      </w:r>
      <w:r>
        <w:rPr>
          <w:color w:val="auto"/>
        </w:rPr>
        <w:fldChar w:fldCharType="separate"/>
      </w:r>
      <w:r>
        <w:rPr>
          <w:rFonts w:hint="eastAsia" w:ascii="宋体" w:hAnsi="宋体" w:cs="宋体"/>
          <w:color w:val="auto"/>
          <w:sz w:val="24"/>
        </w:rPr>
        <w:t>2.3.5 环境地质概况</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_Toc17498 </w:instrText>
      </w:r>
      <w:r>
        <w:rPr>
          <w:rFonts w:hint="eastAsia" w:ascii="宋体" w:hAnsi="宋体" w:cs="宋体"/>
          <w:color w:val="auto"/>
          <w:sz w:val="24"/>
        </w:rPr>
        <w:fldChar w:fldCharType="separate"/>
      </w:r>
      <w:r>
        <w:rPr>
          <w:rFonts w:hint="eastAsia" w:ascii="宋体" w:hAnsi="宋体" w:cs="宋体"/>
          <w:color w:val="auto"/>
          <w:sz w:val="24"/>
        </w:rPr>
        <w:t>36</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"_Toc19388" </w:instrText>
      </w:r>
      <w:r>
        <w:rPr>
          <w:color w:val="auto"/>
        </w:rPr>
        <w:fldChar w:fldCharType="separate"/>
      </w:r>
      <w:r>
        <w:rPr>
          <w:rFonts w:hint="eastAsia" w:ascii="宋体" w:hAnsi="宋体" w:cs="宋体"/>
          <w:color w:val="auto"/>
          <w:sz w:val="24"/>
        </w:rPr>
        <w:t>2.3.6矿区开采技术条件类型</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_Toc19388 </w:instrText>
      </w:r>
      <w:r>
        <w:rPr>
          <w:rFonts w:hint="eastAsia" w:ascii="宋体" w:hAnsi="宋体" w:cs="宋体"/>
          <w:color w:val="auto"/>
          <w:sz w:val="24"/>
        </w:rPr>
        <w:fldChar w:fldCharType="separate"/>
      </w:r>
      <w:r>
        <w:rPr>
          <w:rFonts w:hint="eastAsia" w:ascii="宋体" w:hAnsi="宋体" w:cs="宋体"/>
          <w:color w:val="auto"/>
          <w:sz w:val="24"/>
        </w:rPr>
        <w:t>37</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"_Toc29131" </w:instrText>
      </w:r>
      <w:r>
        <w:rPr>
          <w:color w:val="auto"/>
        </w:rPr>
        <w:fldChar w:fldCharType="separate"/>
      </w:r>
      <w:r>
        <w:rPr>
          <w:rFonts w:hint="eastAsia" w:ascii="宋体" w:hAnsi="宋体" w:cs="宋体"/>
          <w:color w:val="auto"/>
          <w:sz w:val="24"/>
        </w:rPr>
        <w:t>2.3.7矿区资源量</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_Toc29131 </w:instrText>
      </w:r>
      <w:r>
        <w:rPr>
          <w:rFonts w:hint="eastAsia" w:ascii="宋体" w:hAnsi="宋体" w:cs="宋体"/>
          <w:color w:val="auto"/>
          <w:sz w:val="24"/>
        </w:rPr>
        <w:fldChar w:fldCharType="separate"/>
      </w:r>
      <w:r>
        <w:rPr>
          <w:rFonts w:hint="eastAsia" w:ascii="宋体" w:hAnsi="宋体" w:cs="宋体"/>
          <w:color w:val="auto"/>
          <w:sz w:val="24"/>
        </w:rPr>
        <w:t>38</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"_Toc29678" </w:instrText>
      </w:r>
      <w:r>
        <w:rPr>
          <w:color w:val="auto"/>
        </w:rPr>
        <w:fldChar w:fldCharType="separate"/>
      </w:r>
      <w:r>
        <w:rPr>
          <w:rFonts w:hint="eastAsia" w:ascii="宋体" w:hAnsi="宋体" w:cs="宋体"/>
          <w:color w:val="auto"/>
          <w:sz w:val="24"/>
        </w:rPr>
        <w:t>2.4建设方案概况</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_Toc29678 </w:instrText>
      </w:r>
      <w:r>
        <w:rPr>
          <w:rFonts w:hint="eastAsia" w:ascii="宋体" w:hAnsi="宋体" w:cs="宋体"/>
          <w:color w:val="auto"/>
          <w:sz w:val="24"/>
        </w:rPr>
        <w:fldChar w:fldCharType="separate"/>
      </w:r>
      <w:r>
        <w:rPr>
          <w:rFonts w:hint="eastAsia" w:ascii="宋体" w:hAnsi="宋体" w:cs="宋体"/>
          <w:color w:val="auto"/>
          <w:sz w:val="24"/>
        </w:rPr>
        <w:t>38</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"_Toc21958" </w:instrText>
      </w:r>
      <w:r>
        <w:rPr>
          <w:color w:val="auto"/>
        </w:rPr>
        <w:fldChar w:fldCharType="separate"/>
      </w:r>
      <w:r>
        <w:rPr>
          <w:rFonts w:hint="eastAsia" w:ascii="宋体" w:hAnsi="宋体" w:cs="宋体"/>
          <w:color w:val="auto"/>
          <w:sz w:val="24"/>
        </w:rPr>
        <w:t>2.4.1矿山开采现状</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_Toc21958 </w:instrText>
      </w:r>
      <w:r>
        <w:rPr>
          <w:rFonts w:hint="eastAsia" w:ascii="宋体" w:hAnsi="宋体" w:cs="宋体"/>
          <w:color w:val="auto"/>
          <w:sz w:val="24"/>
        </w:rPr>
        <w:fldChar w:fldCharType="separate"/>
      </w:r>
      <w:r>
        <w:rPr>
          <w:rFonts w:hint="eastAsia" w:ascii="宋体" w:hAnsi="宋体" w:cs="宋体"/>
          <w:color w:val="auto"/>
          <w:sz w:val="24"/>
        </w:rPr>
        <w:t>38</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"_Toc26601" </w:instrText>
      </w:r>
      <w:r>
        <w:rPr>
          <w:color w:val="auto"/>
        </w:rPr>
        <w:fldChar w:fldCharType="separate"/>
      </w:r>
      <w:r>
        <w:rPr>
          <w:rFonts w:hint="eastAsia" w:ascii="宋体" w:hAnsi="宋体" w:cs="宋体"/>
          <w:color w:val="auto"/>
          <w:sz w:val="24"/>
        </w:rPr>
        <w:t>2.4.2建设规模及工作制度</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_Toc26601 </w:instrText>
      </w:r>
      <w:r>
        <w:rPr>
          <w:rFonts w:hint="eastAsia" w:ascii="宋体" w:hAnsi="宋体" w:cs="宋体"/>
          <w:color w:val="auto"/>
          <w:sz w:val="24"/>
        </w:rPr>
        <w:fldChar w:fldCharType="separate"/>
      </w:r>
      <w:r>
        <w:rPr>
          <w:rFonts w:hint="eastAsia" w:ascii="宋体" w:hAnsi="宋体" w:cs="宋体"/>
          <w:color w:val="auto"/>
          <w:sz w:val="24"/>
        </w:rPr>
        <w:t>38</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"_Toc31020" </w:instrText>
      </w:r>
      <w:r>
        <w:rPr>
          <w:color w:val="auto"/>
        </w:rPr>
        <w:fldChar w:fldCharType="separate"/>
      </w:r>
      <w:r>
        <w:rPr>
          <w:rFonts w:hint="eastAsia" w:ascii="宋体" w:hAnsi="宋体" w:cs="宋体"/>
          <w:color w:val="auto"/>
          <w:sz w:val="24"/>
        </w:rPr>
        <w:t>2.4.3总图运输</w:t>
      </w:r>
      <w:r>
        <w:rPr>
          <w:rFonts w:hint="eastAsia" w:ascii="宋体" w:hAnsi="宋体" w:cs="宋体"/>
          <w:color w:val="auto"/>
          <w:sz w:val="24"/>
        </w:rPr>
        <w:tab/>
      </w:r>
      <w:bookmarkStart w:id="285" w:name="_GoBack"/>
      <w:bookmarkEnd w:id="285"/>
      <w:r>
        <w:rPr>
          <w:rFonts w:hint="eastAsia" w:ascii="宋体" w:hAnsi="宋体" w:cs="宋体"/>
          <w:color w:val="auto"/>
          <w:sz w:val="24"/>
        </w:rPr>
        <w:fldChar w:fldCharType="begin"/>
      </w:r>
      <w:r>
        <w:rPr>
          <w:rFonts w:hint="eastAsia" w:ascii="宋体" w:hAnsi="宋体" w:cs="宋体"/>
          <w:color w:val="auto"/>
          <w:sz w:val="24"/>
        </w:rPr>
        <w:instrText xml:space="preserve"> PAGEREF _Toc31020 </w:instrText>
      </w:r>
      <w:r>
        <w:rPr>
          <w:rFonts w:hint="eastAsia" w:ascii="宋体" w:hAnsi="宋体" w:cs="宋体"/>
          <w:color w:val="auto"/>
          <w:sz w:val="24"/>
        </w:rPr>
        <w:fldChar w:fldCharType="separate"/>
      </w:r>
      <w:r>
        <w:rPr>
          <w:rFonts w:hint="eastAsia" w:ascii="宋体" w:hAnsi="宋体" w:cs="宋体"/>
          <w:color w:val="auto"/>
          <w:sz w:val="24"/>
        </w:rPr>
        <w:t>38</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"_Toc25167" </w:instrText>
      </w:r>
      <w:r>
        <w:rPr>
          <w:color w:val="auto"/>
        </w:rPr>
        <w:fldChar w:fldCharType="separate"/>
      </w:r>
      <w:r>
        <w:rPr>
          <w:rFonts w:hint="eastAsia" w:ascii="宋体" w:hAnsi="宋体" w:cs="宋体"/>
          <w:bCs/>
          <w:color w:val="auto"/>
          <w:sz w:val="24"/>
        </w:rPr>
        <w:t>2.4.4开采范围</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_Toc25167 </w:instrText>
      </w:r>
      <w:r>
        <w:rPr>
          <w:rFonts w:hint="eastAsia" w:ascii="宋体" w:hAnsi="宋体" w:cs="宋体"/>
          <w:color w:val="auto"/>
          <w:sz w:val="24"/>
        </w:rPr>
        <w:fldChar w:fldCharType="separate"/>
      </w:r>
      <w:r>
        <w:rPr>
          <w:rFonts w:hint="eastAsia" w:ascii="宋体" w:hAnsi="宋体" w:cs="宋体"/>
          <w:color w:val="auto"/>
          <w:sz w:val="24"/>
        </w:rPr>
        <w:t>39</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"_Toc13396" </w:instrText>
      </w:r>
      <w:r>
        <w:rPr>
          <w:color w:val="auto"/>
        </w:rPr>
        <w:fldChar w:fldCharType="separate"/>
      </w:r>
      <w:r>
        <w:rPr>
          <w:rFonts w:hint="eastAsia" w:ascii="宋体" w:hAnsi="宋体" w:cs="宋体"/>
          <w:bCs/>
          <w:color w:val="auto"/>
          <w:sz w:val="24"/>
        </w:rPr>
        <w:t>2.4.5开拓运输</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_Toc13396 </w:instrText>
      </w:r>
      <w:r>
        <w:rPr>
          <w:rFonts w:hint="eastAsia" w:ascii="宋体" w:hAnsi="宋体" w:cs="宋体"/>
          <w:color w:val="auto"/>
          <w:sz w:val="24"/>
        </w:rPr>
        <w:fldChar w:fldCharType="separate"/>
      </w:r>
      <w:r>
        <w:rPr>
          <w:rFonts w:hint="eastAsia" w:ascii="宋体" w:hAnsi="宋体" w:cs="宋体"/>
          <w:color w:val="auto"/>
          <w:sz w:val="24"/>
        </w:rPr>
        <w:t>40</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"_Toc10602" </w:instrText>
      </w:r>
      <w:r>
        <w:rPr>
          <w:color w:val="auto"/>
        </w:rPr>
        <w:fldChar w:fldCharType="separate"/>
      </w:r>
      <w:r>
        <w:rPr>
          <w:rFonts w:hint="eastAsia" w:ascii="宋体" w:hAnsi="宋体" w:cs="宋体"/>
          <w:bCs/>
          <w:color w:val="auto"/>
          <w:sz w:val="24"/>
        </w:rPr>
        <w:t>2.4.6采矿工艺</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_Toc10602 </w:instrText>
      </w:r>
      <w:r>
        <w:rPr>
          <w:rFonts w:hint="eastAsia" w:ascii="宋体" w:hAnsi="宋体" w:cs="宋体"/>
          <w:color w:val="auto"/>
          <w:sz w:val="24"/>
        </w:rPr>
        <w:fldChar w:fldCharType="separate"/>
      </w:r>
      <w:r>
        <w:rPr>
          <w:rFonts w:hint="eastAsia" w:ascii="宋体" w:hAnsi="宋体" w:cs="宋体"/>
          <w:color w:val="auto"/>
          <w:sz w:val="24"/>
        </w:rPr>
        <w:t>42</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"_Toc3688" </w:instrText>
      </w:r>
      <w:r>
        <w:rPr>
          <w:color w:val="auto"/>
        </w:rPr>
        <w:fldChar w:fldCharType="separate"/>
      </w:r>
      <w:r>
        <w:rPr>
          <w:rFonts w:hint="eastAsia" w:ascii="宋体" w:hAnsi="宋体" w:cs="宋体"/>
          <w:color w:val="auto"/>
          <w:kern w:val="0"/>
          <w:sz w:val="24"/>
        </w:rPr>
        <w:t>2.4.7通风防尘</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_Toc3688 </w:instrText>
      </w:r>
      <w:r>
        <w:rPr>
          <w:rFonts w:hint="eastAsia" w:ascii="宋体" w:hAnsi="宋体" w:cs="宋体"/>
          <w:color w:val="auto"/>
          <w:sz w:val="24"/>
        </w:rPr>
        <w:fldChar w:fldCharType="separate"/>
      </w:r>
      <w:r>
        <w:rPr>
          <w:rFonts w:hint="eastAsia" w:ascii="宋体" w:hAnsi="宋体" w:cs="宋体"/>
          <w:color w:val="auto"/>
          <w:sz w:val="24"/>
        </w:rPr>
        <w:t>43</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"_Toc16801" </w:instrText>
      </w:r>
      <w:r>
        <w:rPr>
          <w:color w:val="auto"/>
        </w:rPr>
        <w:fldChar w:fldCharType="separate"/>
      </w:r>
      <w:r>
        <w:rPr>
          <w:rFonts w:hint="eastAsia" w:ascii="宋体" w:hAnsi="宋体" w:cs="宋体"/>
          <w:color w:val="auto"/>
          <w:kern w:val="0"/>
          <w:sz w:val="24"/>
        </w:rPr>
        <w:t>2.4.8矿山电气</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_Toc16801 </w:instrText>
      </w:r>
      <w:r>
        <w:rPr>
          <w:rFonts w:hint="eastAsia" w:ascii="宋体" w:hAnsi="宋体" w:cs="宋体"/>
          <w:color w:val="auto"/>
          <w:sz w:val="24"/>
        </w:rPr>
        <w:fldChar w:fldCharType="separate"/>
      </w:r>
      <w:r>
        <w:rPr>
          <w:rFonts w:hint="eastAsia" w:ascii="宋体" w:hAnsi="宋体" w:cs="宋体"/>
          <w:color w:val="auto"/>
          <w:sz w:val="24"/>
        </w:rPr>
        <w:t>44</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"_Toc13452" </w:instrText>
      </w:r>
      <w:r>
        <w:rPr>
          <w:color w:val="auto"/>
        </w:rPr>
        <w:fldChar w:fldCharType="separate"/>
      </w:r>
      <w:r>
        <w:rPr>
          <w:rFonts w:hint="eastAsia" w:ascii="宋体" w:hAnsi="宋体" w:cs="宋体"/>
          <w:color w:val="auto"/>
          <w:kern w:val="0"/>
          <w:sz w:val="24"/>
        </w:rPr>
        <w:t>2.4.9防排水</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_Toc13452 </w:instrText>
      </w:r>
      <w:r>
        <w:rPr>
          <w:rFonts w:hint="eastAsia" w:ascii="宋体" w:hAnsi="宋体" w:cs="宋体"/>
          <w:color w:val="auto"/>
          <w:sz w:val="24"/>
        </w:rPr>
        <w:fldChar w:fldCharType="separate"/>
      </w:r>
      <w:r>
        <w:rPr>
          <w:rFonts w:hint="eastAsia" w:ascii="宋体" w:hAnsi="宋体" w:cs="宋体"/>
          <w:color w:val="auto"/>
          <w:sz w:val="24"/>
        </w:rPr>
        <w:t>44</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"_Toc23669" </w:instrText>
      </w:r>
      <w:r>
        <w:rPr>
          <w:color w:val="auto"/>
        </w:rPr>
        <w:fldChar w:fldCharType="separate"/>
      </w:r>
      <w:r>
        <w:rPr>
          <w:rFonts w:hint="eastAsia" w:ascii="宋体" w:hAnsi="宋体" w:cs="宋体"/>
          <w:color w:val="auto"/>
          <w:kern w:val="0"/>
          <w:sz w:val="24"/>
        </w:rPr>
        <w:t>2.4.10 排土场</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_Toc23669 </w:instrText>
      </w:r>
      <w:r>
        <w:rPr>
          <w:rFonts w:hint="eastAsia" w:ascii="宋体" w:hAnsi="宋体" w:cs="宋体"/>
          <w:color w:val="auto"/>
          <w:sz w:val="24"/>
        </w:rPr>
        <w:fldChar w:fldCharType="separate"/>
      </w:r>
      <w:r>
        <w:rPr>
          <w:rFonts w:hint="eastAsia" w:ascii="宋体" w:hAnsi="宋体" w:cs="宋体"/>
          <w:color w:val="auto"/>
          <w:sz w:val="24"/>
        </w:rPr>
        <w:t>44</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"_Toc12136" </w:instrText>
      </w:r>
      <w:r>
        <w:rPr>
          <w:color w:val="auto"/>
        </w:rPr>
        <w:fldChar w:fldCharType="separate"/>
      </w:r>
      <w:r>
        <w:rPr>
          <w:rFonts w:hint="eastAsia" w:ascii="宋体" w:hAnsi="宋体" w:cs="宋体"/>
          <w:color w:val="auto"/>
          <w:kern w:val="0"/>
          <w:sz w:val="24"/>
        </w:rPr>
        <w:t>2.4.11安全管理及其他</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_Toc12136 </w:instrText>
      </w:r>
      <w:r>
        <w:rPr>
          <w:rFonts w:hint="eastAsia" w:ascii="宋体" w:hAnsi="宋体" w:cs="宋体"/>
          <w:color w:val="auto"/>
          <w:sz w:val="24"/>
        </w:rPr>
        <w:fldChar w:fldCharType="separate"/>
      </w:r>
      <w:r>
        <w:rPr>
          <w:rFonts w:hint="eastAsia" w:ascii="宋体" w:hAnsi="宋体" w:cs="宋体"/>
          <w:color w:val="auto"/>
          <w:sz w:val="24"/>
        </w:rPr>
        <w:t>44</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"_Toc12406" </w:instrText>
      </w:r>
      <w:r>
        <w:rPr>
          <w:color w:val="auto"/>
        </w:rPr>
        <w:fldChar w:fldCharType="separate"/>
      </w:r>
      <w:r>
        <w:rPr>
          <w:rFonts w:hint="eastAsia" w:ascii="宋体" w:hAnsi="宋体" w:cs="宋体"/>
          <w:color w:val="auto"/>
          <w:sz w:val="24"/>
        </w:rPr>
        <w:t>3.1 总平面布置、周边环境单元</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_Toc12406 </w:instrText>
      </w:r>
      <w:r>
        <w:rPr>
          <w:rFonts w:hint="eastAsia" w:ascii="宋体" w:hAnsi="宋体" w:cs="宋体"/>
          <w:color w:val="auto"/>
          <w:sz w:val="24"/>
        </w:rPr>
        <w:fldChar w:fldCharType="separate"/>
      </w:r>
      <w:r>
        <w:rPr>
          <w:rFonts w:hint="eastAsia" w:ascii="宋体" w:hAnsi="宋体" w:cs="宋体"/>
          <w:color w:val="auto"/>
          <w:sz w:val="24"/>
        </w:rPr>
        <w:t>46</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"_Toc29127" </w:instrText>
      </w:r>
      <w:r>
        <w:rPr>
          <w:color w:val="auto"/>
        </w:rPr>
        <w:fldChar w:fldCharType="separate"/>
      </w:r>
      <w:r>
        <w:rPr>
          <w:rFonts w:hint="eastAsia" w:ascii="宋体" w:hAnsi="宋体" w:cs="宋体"/>
          <w:color w:val="auto"/>
          <w:kern w:val="0"/>
          <w:sz w:val="24"/>
        </w:rPr>
        <w:t>3.1.1 总平面布置单元安全检查表评价</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_Toc29127 </w:instrText>
      </w:r>
      <w:r>
        <w:rPr>
          <w:rFonts w:hint="eastAsia" w:ascii="宋体" w:hAnsi="宋体" w:cs="宋体"/>
          <w:color w:val="auto"/>
          <w:sz w:val="24"/>
        </w:rPr>
        <w:fldChar w:fldCharType="separate"/>
      </w:r>
      <w:r>
        <w:rPr>
          <w:rFonts w:hint="eastAsia" w:ascii="宋体" w:hAnsi="宋体" w:cs="宋体"/>
          <w:color w:val="auto"/>
          <w:sz w:val="24"/>
        </w:rPr>
        <w:t>46</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"_Toc2514" </w:instrText>
      </w:r>
      <w:r>
        <w:rPr>
          <w:color w:val="auto"/>
        </w:rPr>
        <w:fldChar w:fldCharType="separate"/>
      </w:r>
      <w:r>
        <w:rPr>
          <w:rFonts w:hint="eastAsia" w:ascii="宋体" w:hAnsi="宋体" w:cs="宋体"/>
          <w:color w:val="auto"/>
          <w:kern w:val="0"/>
          <w:sz w:val="24"/>
        </w:rPr>
        <w:t>3.1.2 总平面布置单元预先危险性分析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_Toc2514 </w:instrText>
      </w:r>
      <w:r>
        <w:rPr>
          <w:rFonts w:hint="eastAsia" w:ascii="宋体" w:hAnsi="宋体" w:cs="宋体"/>
          <w:color w:val="auto"/>
          <w:sz w:val="24"/>
        </w:rPr>
        <w:fldChar w:fldCharType="separate"/>
      </w:r>
      <w:r>
        <w:rPr>
          <w:rFonts w:hint="eastAsia" w:ascii="宋体" w:hAnsi="宋体" w:cs="宋体"/>
          <w:color w:val="auto"/>
          <w:sz w:val="24"/>
        </w:rPr>
        <w:t>47</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"_Toc29033" </w:instrText>
      </w:r>
      <w:r>
        <w:rPr>
          <w:color w:val="auto"/>
        </w:rPr>
        <w:fldChar w:fldCharType="separate"/>
      </w:r>
      <w:r>
        <w:rPr>
          <w:rFonts w:hint="eastAsia" w:ascii="宋体" w:hAnsi="宋体" w:cs="宋体"/>
          <w:color w:val="auto"/>
          <w:sz w:val="24"/>
        </w:rPr>
        <w:t>3.1.3周边环境影响分析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_Toc29033 </w:instrText>
      </w:r>
      <w:r>
        <w:rPr>
          <w:rFonts w:hint="eastAsia" w:ascii="宋体" w:hAnsi="宋体" w:cs="宋体"/>
          <w:color w:val="auto"/>
          <w:sz w:val="24"/>
        </w:rPr>
        <w:fldChar w:fldCharType="separate"/>
      </w:r>
      <w:r>
        <w:rPr>
          <w:rFonts w:hint="eastAsia" w:ascii="宋体" w:hAnsi="宋体" w:cs="宋体"/>
          <w:color w:val="auto"/>
          <w:sz w:val="24"/>
        </w:rPr>
        <w:t>48</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"_Toc8299" </w:instrText>
      </w:r>
      <w:r>
        <w:rPr>
          <w:color w:val="auto"/>
        </w:rPr>
        <w:fldChar w:fldCharType="separate"/>
      </w:r>
      <w:r>
        <w:rPr>
          <w:rFonts w:hint="eastAsia" w:ascii="宋体" w:hAnsi="宋体" w:cs="宋体"/>
          <w:color w:val="auto"/>
          <w:kern w:val="0"/>
          <w:sz w:val="24"/>
        </w:rPr>
        <w:t>3.1.4 总平面布置及周边环境单元评价小结</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_Toc8299 </w:instrText>
      </w:r>
      <w:r>
        <w:rPr>
          <w:rFonts w:hint="eastAsia" w:ascii="宋体" w:hAnsi="宋体" w:cs="宋体"/>
          <w:color w:val="auto"/>
          <w:sz w:val="24"/>
        </w:rPr>
        <w:fldChar w:fldCharType="separate"/>
      </w:r>
      <w:r>
        <w:rPr>
          <w:rFonts w:hint="eastAsia" w:ascii="宋体" w:hAnsi="宋体" w:cs="宋体"/>
          <w:color w:val="auto"/>
          <w:sz w:val="24"/>
        </w:rPr>
        <w:t>49</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"_Toc17217" </w:instrText>
      </w:r>
      <w:r>
        <w:rPr>
          <w:color w:val="auto"/>
        </w:rPr>
        <w:fldChar w:fldCharType="separate"/>
      </w:r>
      <w:r>
        <w:rPr>
          <w:rFonts w:hint="eastAsia" w:ascii="宋体" w:hAnsi="宋体" w:cs="宋体"/>
          <w:bCs/>
          <w:color w:val="auto"/>
          <w:sz w:val="24"/>
        </w:rPr>
        <w:t>3.2 开拓运输单元</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_Toc17217 </w:instrText>
      </w:r>
      <w:r>
        <w:rPr>
          <w:rFonts w:hint="eastAsia" w:ascii="宋体" w:hAnsi="宋体" w:cs="宋体"/>
          <w:color w:val="auto"/>
          <w:sz w:val="24"/>
        </w:rPr>
        <w:fldChar w:fldCharType="separate"/>
      </w:r>
      <w:r>
        <w:rPr>
          <w:rFonts w:hint="eastAsia" w:ascii="宋体" w:hAnsi="宋体" w:cs="宋体"/>
          <w:color w:val="auto"/>
          <w:sz w:val="24"/>
        </w:rPr>
        <w:t>50</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"_Toc26523" </w:instrText>
      </w:r>
      <w:r>
        <w:rPr>
          <w:color w:val="auto"/>
        </w:rPr>
        <w:fldChar w:fldCharType="separate"/>
      </w:r>
      <w:r>
        <w:rPr>
          <w:rFonts w:hint="eastAsia" w:ascii="宋体" w:hAnsi="宋体" w:cs="宋体"/>
          <w:color w:val="auto"/>
          <w:sz w:val="24"/>
        </w:rPr>
        <w:t>3.2.1开拓运输系统主要危险有害因素分析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_Toc26523 </w:instrText>
      </w:r>
      <w:r>
        <w:rPr>
          <w:rFonts w:hint="eastAsia" w:ascii="宋体" w:hAnsi="宋体" w:cs="宋体"/>
          <w:color w:val="auto"/>
          <w:sz w:val="24"/>
        </w:rPr>
        <w:fldChar w:fldCharType="separate"/>
      </w:r>
      <w:r>
        <w:rPr>
          <w:rFonts w:hint="eastAsia" w:ascii="宋体" w:hAnsi="宋体" w:cs="宋体"/>
          <w:color w:val="auto"/>
          <w:sz w:val="24"/>
        </w:rPr>
        <w:t>50</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"_Toc16045" </w:instrText>
      </w:r>
      <w:r>
        <w:rPr>
          <w:color w:val="auto"/>
        </w:rPr>
        <w:fldChar w:fldCharType="separate"/>
      </w:r>
      <w:r>
        <w:rPr>
          <w:rFonts w:hint="eastAsia" w:ascii="宋体" w:hAnsi="宋体" w:cs="宋体"/>
          <w:color w:val="auto"/>
          <w:sz w:val="24"/>
        </w:rPr>
        <w:t>3.2.2开拓运输系统单元预先危险性分析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_Toc16045 </w:instrText>
      </w:r>
      <w:r>
        <w:rPr>
          <w:rFonts w:hint="eastAsia" w:ascii="宋体" w:hAnsi="宋体" w:cs="宋体"/>
          <w:color w:val="auto"/>
          <w:sz w:val="24"/>
        </w:rPr>
        <w:fldChar w:fldCharType="separate"/>
      </w:r>
      <w:r>
        <w:rPr>
          <w:rFonts w:hint="eastAsia" w:ascii="宋体" w:hAnsi="宋体" w:cs="宋体"/>
          <w:color w:val="auto"/>
          <w:sz w:val="24"/>
        </w:rPr>
        <w:t>50</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"_Toc27912" </w:instrText>
      </w:r>
      <w:r>
        <w:rPr>
          <w:color w:val="auto"/>
        </w:rPr>
        <w:fldChar w:fldCharType="separate"/>
      </w:r>
      <w:r>
        <w:rPr>
          <w:rFonts w:hint="eastAsia" w:ascii="宋体" w:hAnsi="宋体" w:cs="宋体"/>
          <w:color w:val="auto"/>
          <w:kern w:val="0"/>
          <w:sz w:val="24"/>
        </w:rPr>
        <w:t>3.2.3开拓运输单元安全检查表分析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_Toc27912 </w:instrText>
      </w:r>
      <w:r>
        <w:rPr>
          <w:rFonts w:hint="eastAsia" w:ascii="宋体" w:hAnsi="宋体" w:cs="宋体"/>
          <w:color w:val="auto"/>
          <w:sz w:val="24"/>
        </w:rPr>
        <w:fldChar w:fldCharType="separate"/>
      </w:r>
      <w:r>
        <w:rPr>
          <w:rFonts w:hint="eastAsia" w:ascii="宋体" w:hAnsi="宋体" w:cs="宋体"/>
          <w:color w:val="auto"/>
          <w:sz w:val="24"/>
        </w:rPr>
        <w:t>52</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"_Toc1903" </w:instrText>
      </w:r>
      <w:r>
        <w:rPr>
          <w:color w:val="auto"/>
        </w:rPr>
        <w:fldChar w:fldCharType="separate"/>
      </w:r>
      <w:r>
        <w:rPr>
          <w:rFonts w:hint="eastAsia" w:ascii="宋体" w:hAnsi="宋体" w:cs="宋体"/>
          <w:color w:val="auto"/>
          <w:kern w:val="0"/>
          <w:sz w:val="24"/>
        </w:rPr>
        <w:t>3.2.4开拓运输单元评价结论</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_Toc1903 </w:instrText>
      </w:r>
      <w:r>
        <w:rPr>
          <w:rFonts w:hint="eastAsia" w:ascii="宋体" w:hAnsi="宋体" w:cs="宋体"/>
          <w:color w:val="auto"/>
          <w:sz w:val="24"/>
        </w:rPr>
        <w:fldChar w:fldCharType="separate"/>
      </w:r>
      <w:r>
        <w:rPr>
          <w:rFonts w:hint="eastAsia" w:ascii="宋体" w:hAnsi="宋体" w:cs="宋体"/>
          <w:color w:val="auto"/>
          <w:sz w:val="24"/>
        </w:rPr>
        <w:t>52</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"_Toc18240" </w:instrText>
      </w:r>
      <w:r>
        <w:rPr>
          <w:color w:val="auto"/>
        </w:rPr>
        <w:fldChar w:fldCharType="separate"/>
      </w:r>
      <w:r>
        <w:rPr>
          <w:rFonts w:hint="eastAsia" w:ascii="宋体" w:hAnsi="宋体" w:cs="宋体"/>
          <w:bCs/>
          <w:color w:val="auto"/>
          <w:sz w:val="24"/>
        </w:rPr>
        <w:t>3.3 露天采剥作业单元</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_Toc18240 </w:instrText>
      </w:r>
      <w:r>
        <w:rPr>
          <w:rFonts w:hint="eastAsia" w:ascii="宋体" w:hAnsi="宋体" w:cs="宋体"/>
          <w:color w:val="auto"/>
          <w:sz w:val="24"/>
        </w:rPr>
        <w:fldChar w:fldCharType="separate"/>
      </w:r>
      <w:r>
        <w:rPr>
          <w:rFonts w:hint="eastAsia" w:ascii="宋体" w:hAnsi="宋体" w:cs="宋体"/>
          <w:color w:val="auto"/>
          <w:sz w:val="24"/>
        </w:rPr>
        <w:t>53</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"_Toc7280" </w:instrText>
      </w:r>
      <w:r>
        <w:rPr>
          <w:color w:val="auto"/>
        </w:rPr>
        <w:fldChar w:fldCharType="separate"/>
      </w:r>
      <w:r>
        <w:rPr>
          <w:rFonts w:hint="eastAsia" w:ascii="宋体" w:hAnsi="宋体" w:cs="宋体"/>
          <w:color w:val="auto"/>
          <w:sz w:val="24"/>
        </w:rPr>
        <w:t>3.3.1露天采场采剥作业主要危险有害因素分析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_Toc7280 </w:instrText>
      </w:r>
      <w:r>
        <w:rPr>
          <w:rFonts w:hint="eastAsia" w:ascii="宋体" w:hAnsi="宋体" w:cs="宋体"/>
          <w:color w:val="auto"/>
          <w:sz w:val="24"/>
        </w:rPr>
        <w:fldChar w:fldCharType="separate"/>
      </w:r>
      <w:r>
        <w:rPr>
          <w:rFonts w:hint="eastAsia" w:ascii="宋体" w:hAnsi="宋体" w:cs="宋体"/>
          <w:color w:val="auto"/>
          <w:sz w:val="24"/>
        </w:rPr>
        <w:t>53</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"_Toc23016" </w:instrText>
      </w:r>
      <w:r>
        <w:rPr>
          <w:color w:val="auto"/>
        </w:rPr>
        <w:fldChar w:fldCharType="separate"/>
      </w:r>
      <w:r>
        <w:rPr>
          <w:rFonts w:hint="eastAsia" w:ascii="宋体" w:hAnsi="宋体" w:cs="宋体"/>
          <w:color w:val="auto"/>
          <w:sz w:val="24"/>
        </w:rPr>
        <w:t>3.3.2露天采场采剥作业单元预先危险性分析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_Toc23016 </w:instrText>
      </w:r>
      <w:r>
        <w:rPr>
          <w:rFonts w:hint="eastAsia" w:ascii="宋体" w:hAnsi="宋体" w:cs="宋体"/>
          <w:color w:val="auto"/>
          <w:sz w:val="24"/>
        </w:rPr>
        <w:fldChar w:fldCharType="separate"/>
      </w:r>
      <w:r>
        <w:rPr>
          <w:rFonts w:hint="eastAsia" w:ascii="宋体" w:hAnsi="宋体" w:cs="宋体"/>
          <w:color w:val="auto"/>
          <w:sz w:val="24"/>
        </w:rPr>
        <w:t>53</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"_Toc14739" </w:instrText>
      </w:r>
      <w:r>
        <w:rPr>
          <w:color w:val="auto"/>
        </w:rPr>
        <w:fldChar w:fldCharType="separate"/>
      </w:r>
      <w:r>
        <w:rPr>
          <w:rFonts w:hint="eastAsia" w:ascii="宋体" w:hAnsi="宋体" w:cs="宋体"/>
          <w:color w:val="auto"/>
          <w:kern w:val="0"/>
          <w:sz w:val="24"/>
        </w:rPr>
        <w:t>3.3.3露天采场采剥单元符合性评价</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_Toc14739 </w:instrText>
      </w:r>
      <w:r>
        <w:rPr>
          <w:rFonts w:hint="eastAsia" w:ascii="宋体" w:hAnsi="宋体" w:cs="宋体"/>
          <w:color w:val="auto"/>
          <w:sz w:val="24"/>
        </w:rPr>
        <w:fldChar w:fldCharType="separate"/>
      </w:r>
      <w:r>
        <w:rPr>
          <w:rFonts w:hint="eastAsia" w:ascii="宋体" w:hAnsi="宋体" w:cs="宋体"/>
          <w:color w:val="auto"/>
          <w:sz w:val="24"/>
        </w:rPr>
        <w:t>55</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"_Toc9421" </w:instrText>
      </w:r>
      <w:r>
        <w:rPr>
          <w:color w:val="auto"/>
        </w:rPr>
        <w:fldChar w:fldCharType="separate"/>
      </w:r>
      <w:r>
        <w:rPr>
          <w:rFonts w:hint="eastAsia" w:ascii="宋体" w:hAnsi="宋体" w:cs="宋体"/>
          <w:color w:val="auto"/>
          <w:kern w:val="0"/>
          <w:sz w:val="24"/>
        </w:rPr>
        <w:t>3.3.4 露天采场边坡稳定性分析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_Toc9421 </w:instrText>
      </w:r>
      <w:r>
        <w:rPr>
          <w:rFonts w:hint="eastAsia" w:ascii="宋体" w:hAnsi="宋体" w:cs="宋体"/>
          <w:color w:val="auto"/>
          <w:sz w:val="24"/>
        </w:rPr>
        <w:fldChar w:fldCharType="separate"/>
      </w:r>
      <w:r>
        <w:rPr>
          <w:rFonts w:hint="eastAsia" w:ascii="宋体" w:hAnsi="宋体" w:cs="宋体"/>
          <w:color w:val="auto"/>
          <w:sz w:val="24"/>
        </w:rPr>
        <w:t>56</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"_Toc3358" </w:instrText>
      </w:r>
      <w:r>
        <w:rPr>
          <w:color w:val="auto"/>
        </w:rPr>
        <w:fldChar w:fldCharType="separate"/>
      </w:r>
      <w:r>
        <w:rPr>
          <w:rFonts w:hint="eastAsia" w:ascii="宋体" w:hAnsi="宋体" w:cs="宋体"/>
          <w:color w:val="auto"/>
          <w:kern w:val="0"/>
          <w:sz w:val="24"/>
        </w:rPr>
        <w:t>3.3.5 露天采剥作业单元评价结论</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_Toc3358 </w:instrText>
      </w:r>
      <w:r>
        <w:rPr>
          <w:rFonts w:hint="eastAsia" w:ascii="宋体" w:hAnsi="宋体" w:cs="宋体"/>
          <w:color w:val="auto"/>
          <w:sz w:val="24"/>
        </w:rPr>
        <w:fldChar w:fldCharType="separate"/>
      </w:r>
      <w:r>
        <w:rPr>
          <w:rFonts w:hint="eastAsia" w:ascii="宋体" w:hAnsi="宋体" w:cs="宋体"/>
          <w:color w:val="auto"/>
          <w:sz w:val="24"/>
        </w:rPr>
        <w:t>58</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"_Toc15386" </w:instrText>
      </w:r>
      <w:r>
        <w:rPr>
          <w:color w:val="auto"/>
        </w:rPr>
        <w:fldChar w:fldCharType="separate"/>
      </w:r>
      <w:r>
        <w:rPr>
          <w:rFonts w:hint="eastAsia" w:ascii="宋体" w:hAnsi="宋体" w:cs="宋体"/>
          <w:color w:val="auto"/>
          <w:sz w:val="24"/>
        </w:rPr>
        <w:t>3.4 矿山电气单元</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_Toc15386 </w:instrText>
      </w:r>
      <w:r>
        <w:rPr>
          <w:rFonts w:hint="eastAsia" w:ascii="宋体" w:hAnsi="宋体" w:cs="宋体"/>
          <w:color w:val="auto"/>
          <w:sz w:val="24"/>
        </w:rPr>
        <w:fldChar w:fldCharType="separate"/>
      </w:r>
      <w:r>
        <w:rPr>
          <w:rFonts w:hint="eastAsia" w:ascii="宋体" w:hAnsi="宋体" w:cs="宋体"/>
          <w:color w:val="auto"/>
          <w:sz w:val="24"/>
        </w:rPr>
        <w:t>59</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"_Toc1421" </w:instrText>
      </w:r>
      <w:r>
        <w:rPr>
          <w:color w:val="auto"/>
        </w:rPr>
        <w:fldChar w:fldCharType="separate"/>
      </w:r>
      <w:r>
        <w:rPr>
          <w:rFonts w:hint="eastAsia" w:ascii="宋体" w:hAnsi="宋体" w:cs="宋体"/>
          <w:bCs/>
          <w:color w:val="auto"/>
          <w:sz w:val="24"/>
        </w:rPr>
        <w:t>3.5 防排水单元</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_Toc1421 </w:instrText>
      </w:r>
      <w:r>
        <w:rPr>
          <w:rFonts w:hint="eastAsia" w:ascii="宋体" w:hAnsi="宋体" w:cs="宋体"/>
          <w:color w:val="auto"/>
          <w:sz w:val="24"/>
        </w:rPr>
        <w:fldChar w:fldCharType="separate"/>
      </w:r>
      <w:r>
        <w:rPr>
          <w:rFonts w:hint="eastAsia" w:ascii="宋体" w:hAnsi="宋体" w:cs="宋体"/>
          <w:color w:val="auto"/>
          <w:sz w:val="24"/>
        </w:rPr>
        <w:t>59</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"_Toc15216" </w:instrText>
      </w:r>
      <w:r>
        <w:rPr>
          <w:color w:val="auto"/>
        </w:rPr>
        <w:fldChar w:fldCharType="separate"/>
      </w:r>
      <w:r>
        <w:rPr>
          <w:rFonts w:hint="eastAsia" w:ascii="宋体" w:hAnsi="宋体" w:cs="宋体"/>
          <w:color w:val="auto"/>
          <w:kern w:val="0"/>
          <w:sz w:val="24"/>
        </w:rPr>
        <w:t>3.5.1防排水单元预先危险性分析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_Toc15216 </w:instrText>
      </w:r>
      <w:r>
        <w:rPr>
          <w:rFonts w:hint="eastAsia" w:ascii="宋体" w:hAnsi="宋体" w:cs="宋体"/>
          <w:color w:val="auto"/>
          <w:sz w:val="24"/>
        </w:rPr>
        <w:fldChar w:fldCharType="separate"/>
      </w:r>
      <w:r>
        <w:rPr>
          <w:rFonts w:hint="eastAsia" w:ascii="宋体" w:hAnsi="宋体" w:cs="宋体"/>
          <w:color w:val="auto"/>
          <w:sz w:val="24"/>
        </w:rPr>
        <w:t>59</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"_Toc25283" </w:instrText>
      </w:r>
      <w:r>
        <w:rPr>
          <w:color w:val="auto"/>
        </w:rPr>
        <w:fldChar w:fldCharType="separate"/>
      </w:r>
      <w:r>
        <w:rPr>
          <w:rFonts w:hint="eastAsia" w:ascii="宋体" w:hAnsi="宋体" w:cs="宋体"/>
          <w:color w:val="auto"/>
          <w:kern w:val="0"/>
          <w:sz w:val="24"/>
        </w:rPr>
        <w:t>3.5.2 防排水单元安全检查表分析</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_Toc25283 </w:instrText>
      </w:r>
      <w:r>
        <w:rPr>
          <w:rFonts w:hint="eastAsia" w:ascii="宋体" w:hAnsi="宋体" w:cs="宋体"/>
          <w:color w:val="auto"/>
          <w:sz w:val="24"/>
        </w:rPr>
        <w:fldChar w:fldCharType="separate"/>
      </w:r>
      <w:r>
        <w:rPr>
          <w:rFonts w:hint="eastAsia" w:ascii="宋体" w:hAnsi="宋体" w:cs="宋体"/>
          <w:color w:val="auto"/>
          <w:sz w:val="24"/>
        </w:rPr>
        <w:t>60</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"_Toc21190" </w:instrText>
      </w:r>
      <w:r>
        <w:rPr>
          <w:color w:val="auto"/>
        </w:rPr>
        <w:fldChar w:fldCharType="separate"/>
      </w:r>
      <w:r>
        <w:rPr>
          <w:rFonts w:hint="eastAsia" w:ascii="宋体" w:hAnsi="宋体" w:cs="宋体"/>
          <w:color w:val="auto"/>
          <w:kern w:val="0"/>
          <w:sz w:val="24"/>
        </w:rPr>
        <w:t>3.5.3防排水单元评价结论</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_Toc21190 </w:instrText>
      </w:r>
      <w:r>
        <w:rPr>
          <w:rFonts w:hint="eastAsia" w:ascii="宋体" w:hAnsi="宋体" w:cs="宋体"/>
          <w:color w:val="auto"/>
          <w:sz w:val="24"/>
        </w:rPr>
        <w:fldChar w:fldCharType="separate"/>
      </w:r>
      <w:r>
        <w:rPr>
          <w:rFonts w:hint="eastAsia" w:ascii="宋体" w:hAnsi="宋体" w:cs="宋体"/>
          <w:color w:val="auto"/>
          <w:sz w:val="24"/>
        </w:rPr>
        <w:t>60</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"_Toc19956" </w:instrText>
      </w:r>
      <w:r>
        <w:rPr>
          <w:color w:val="auto"/>
        </w:rPr>
        <w:fldChar w:fldCharType="separate"/>
      </w:r>
      <w:r>
        <w:rPr>
          <w:rFonts w:hint="eastAsia" w:ascii="宋体" w:hAnsi="宋体" w:cs="宋体"/>
          <w:bCs/>
          <w:color w:val="auto"/>
          <w:sz w:val="24"/>
        </w:rPr>
        <w:t>3.7 安全管理单元</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_Toc19956 </w:instrText>
      </w:r>
      <w:r>
        <w:rPr>
          <w:rFonts w:hint="eastAsia" w:ascii="宋体" w:hAnsi="宋体" w:cs="宋体"/>
          <w:color w:val="auto"/>
          <w:sz w:val="24"/>
        </w:rPr>
        <w:fldChar w:fldCharType="separate"/>
      </w:r>
      <w:r>
        <w:rPr>
          <w:rFonts w:hint="eastAsia" w:ascii="宋体" w:hAnsi="宋体" w:cs="宋体"/>
          <w:color w:val="auto"/>
          <w:sz w:val="24"/>
        </w:rPr>
        <w:t>61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"_Toc17206" </w:instrText>
      </w:r>
      <w:r>
        <w:rPr>
          <w:color w:val="auto"/>
        </w:rPr>
        <w:fldChar w:fldCharType="separate"/>
      </w:r>
      <w:r>
        <w:rPr>
          <w:rFonts w:hint="eastAsia" w:ascii="宋体" w:hAnsi="宋体" w:cs="宋体"/>
          <w:color w:val="auto"/>
          <w:kern w:val="0"/>
          <w:sz w:val="24"/>
        </w:rPr>
        <w:t>3.7.1 安全管理单元安全检查表评价</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_Toc17206 </w:instrText>
      </w:r>
      <w:r>
        <w:rPr>
          <w:rFonts w:hint="eastAsia" w:ascii="宋体" w:hAnsi="宋体" w:cs="宋体"/>
          <w:color w:val="auto"/>
          <w:sz w:val="24"/>
        </w:rPr>
        <w:fldChar w:fldCharType="separate"/>
      </w:r>
      <w:r>
        <w:rPr>
          <w:rFonts w:hint="eastAsia" w:ascii="宋体" w:hAnsi="宋体" w:cs="宋体"/>
          <w:color w:val="auto"/>
          <w:sz w:val="24"/>
        </w:rPr>
        <w:t>61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"_Toc5571" </w:instrText>
      </w:r>
      <w:r>
        <w:rPr>
          <w:color w:val="auto"/>
        </w:rPr>
        <w:fldChar w:fldCharType="separate"/>
      </w:r>
      <w:r>
        <w:rPr>
          <w:rFonts w:hint="eastAsia" w:ascii="宋体" w:hAnsi="宋体" w:cs="宋体"/>
          <w:color w:val="auto"/>
          <w:kern w:val="0"/>
          <w:sz w:val="24"/>
        </w:rPr>
        <w:t>3.7.2安全管理单元评价结论</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_Toc5571 </w:instrText>
      </w:r>
      <w:r>
        <w:rPr>
          <w:rFonts w:hint="eastAsia" w:ascii="宋体" w:hAnsi="宋体" w:cs="宋体"/>
          <w:color w:val="auto"/>
          <w:sz w:val="24"/>
        </w:rPr>
        <w:fldChar w:fldCharType="separate"/>
      </w:r>
      <w:r>
        <w:rPr>
          <w:rFonts w:hint="eastAsia" w:ascii="宋体" w:hAnsi="宋体" w:cs="宋体"/>
          <w:color w:val="auto"/>
          <w:sz w:val="24"/>
        </w:rPr>
        <w:t>62</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30"/>
        <w:tabs>
          <w:tab w:val="right" w:leader="dot" w:pos="9071"/>
        </w:tabs>
        <w:spacing w:line="360" w:lineRule="exact"/>
        <w:ind w:left="280" w:firstLine="560"/>
        <w:rPr>
          <w:rFonts w:ascii="宋体" w:hAnsi="宋体" w:cs="宋体"/>
          <w:color w:val="auto"/>
          <w:sz w:val="24"/>
        </w:rPr>
      </w:pPr>
      <w:r>
        <w:rPr>
          <w:color w:val="auto"/>
        </w:rPr>
        <w:fldChar w:fldCharType="begin"/>
      </w:r>
      <w:r>
        <w:rPr>
          <w:color w:val="auto"/>
        </w:rPr>
        <w:instrText xml:space="preserve"> HYPERLINK \l "_Toc4884" </w:instrText>
      </w:r>
      <w:r>
        <w:rPr>
          <w:color w:val="auto"/>
        </w:rPr>
        <w:fldChar w:fldCharType="separate"/>
      </w:r>
      <w:r>
        <w:rPr>
          <w:rFonts w:hint="eastAsia" w:ascii="宋体" w:hAnsi="宋体" w:cs="宋体"/>
          <w:bCs/>
          <w:color w:val="auto"/>
          <w:sz w:val="24"/>
        </w:rPr>
        <w:t>3.8重大危险源辨识单元</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_Toc4884 </w:instrText>
      </w:r>
      <w:r>
        <w:rPr>
          <w:rFonts w:hint="eastAsia" w:ascii="宋体" w:hAnsi="宋体" w:cs="宋体"/>
          <w:color w:val="auto"/>
          <w:sz w:val="24"/>
        </w:rPr>
        <w:fldChar w:fldCharType="separate"/>
      </w:r>
      <w:r>
        <w:rPr>
          <w:rFonts w:hint="eastAsia" w:ascii="宋体" w:hAnsi="宋体" w:cs="宋体"/>
          <w:color w:val="auto"/>
          <w:sz w:val="24"/>
        </w:rPr>
        <w:t>63</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26"/>
        <w:tabs>
          <w:tab w:val="right" w:leader="dot" w:pos="9071"/>
        </w:tabs>
        <w:spacing w:line="360" w:lineRule="exact"/>
        <w:ind w:firstLine="560"/>
        <w:rPr>
          <w:rFonts w:ascii="宋体" w:hAnsi="宋体" w:cs="宋体"/>
          <w:color w:val="auto"/>
          <w:sz w:val="24"/>
        </w:rPr>
      </w:pPr>
      <w:r>
        <w:rPr>
          <w:color w:val="auto"/>
        </w:rPr>
        <w:fldChar w:fldCharType="begin"/>
      </w:r>
      <w:r>
        <w:rPr>
          <w:color w:val="auto"/>
        </w:rPr>
        <w:instrText xml:space="preserve"> HYPERLINK \l "_Toc22629" </w:instrText>
      </w:r>
      <w:r>
        <w:rPr>
          <w:color w:val="auto"/>
        </w:rPr>
        <w:fldChar w:fldCharType="separate"/>
      </w:r>
      <w:r>
        <w:rPr>
          <w:rFonts w:hint="eastAsia" w:ascii="宋体" w:hAnsi="宋体" w:cs="宋体"/>
          <w:bCs/>
          <w:color w:val="auto"/>
          <w:kern w:val="44"/>
          <w:sz w:val="24"/>
        </w:rPr>
        <w:t>4 安全生产对策措施及建议</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_Toc22629 </w:instrText>
      </w:r>
      <w:r>
        <w:rPr>
          <w:rFonts w:hint="eastAsia" w:ascii="宋体" w:hAnsi="宋体" w:cs="宋体"/>
          <w:color w:val="auto"/>
          <w:sz w:val="24"/>
        </w:rPr>
        <w:fldChar w:fldCharType="separate"/>
      </w:r>
      <w:r>
        <w:rPr>
          <w:rFonts w:hint="eastAsia" w:ascii="宋体" w:hAnsi="宋体" w:cs="宋体"/>
          <w:color w:val="auto"/>
          <w:sz w:val="24"/>
        </w:rPr>
        <w:t>64</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"_Toc15381" </w:instrText>
      </w:r>
      <w:r>
        <w:rPr>
          <w:color w:val="auto"/>
        </w:rPr>
        <w:fldChar w:fldCharType="separate"/>
      </w:r>
      <w:r>
        <w:rPr>
          <w:rFonts w:hint="eastAsia" w:ascii="宋体" w:hAnsi="宋体" w:cs="宋体"/>
          <w:color w:val="auto"/>
          <w:kern w:val="0"/>
          <w:sz w:val="24"/>
        </w:rPr>
        <w:t>4.1总平面布置、周边环境安全对策措施及建议</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_Toc15381 </w:instrText>
      </w:r>
      <w:r>
        <w:rPr>
          <w:rFonts w:hint="eastAsia" w:ascii="宋体" w:hAnsi="宋体" w:cs="宋体"/>
          <w:color w:val="auto"/>
          <w:sz w:val="24"/>
        </w:rPr>
        <w:fldChar w:fldCharType="separate"/>
      </w:r>
      <w:r>
        <w:rPr>
          <w:rFonts w:hint="eastAsia" w:ascii="宋体" w:hAnsi="宋体" w:cs="宋体"/>
          <w:color w:val="auto"/>
          <w:sz w:val="24"/>
        </w:rPr>
        <w:t>64</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"_Toc29643" </w:instrText>
      </w:r>
      <w:r>
        <w:rPr>
          <w:color w:val="auto"/>
        </w:rPr>
        <w:fldChar w:fldCharType="separate"/>
      </w:r>
      <w:r>
        <w:rPr>
          <w:rFonts w:hint="eastAsia" w:ascii="宋体" w:hAnsi="宋体" w:cs="宋体"/>
          <w:color w:val="auto"/>
          <w:kern w:val="0"/>
          <w:sz w:val="24"/>
        </w:rPr>
        <w:t>4.2开拓运输单元安全对策措施及建议</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_Toc29643 </w:instrText>
      </w:r>
      <w:r>
        <w:rPr>
          <w:rFonts w:hint="eastAsia" w:ascii="宋体" w:hAnsi="宋体" w:cs="宋体"/>
          <w:color w:val="auto"/>
          <w:sz w:val="24"/>
        </w:rPr>
        <w:fldChar w:fldCharType="separate"/>
      </w:r>
      <w:r>
        <w:rPr>
          <w:rFonts w:hint="eastAsia" w:ascii="宋体" w:hAnsi="宋体" w:cs="宋体"/>
          <w:color w:val="auto"/>
          <w:sz w:val="24"/>
        </w:rPr>
        <w:t>64</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"_Toc27465" </w:instrText>
      </w:r>
      <w:r>
        <w:rPr>
          <w:color w:val="auto"/>
        </w:rPr>
        <w:fldChar w:fldCharType="separate"/>
      </w:r>
      <w:r>
        <w:rPr>
          <w:rFonts w:hint="eastAsia" w:ascii="宋体" w:hAnsi="宋体" w:cs="宋体"/>
          <w:color w:val="auto"/>
          <w:kern w:val="0"/>
          <w:sz w:val="24"/>
        </w:rPr>
        <w:t>4.3露天采剥单元安全对策措施及建议</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_Toc27465 </w:instrText>
      </w:r>
      <w:r>
        <w:rPr>
          <w:rFonts w:hint="eastAsia" w:ascii="宋体" w:hAnsi="宋体" w:cs="宋体"/>
          <w:color w:val="auto"/>
          <w:sz w:val="24"/>
        </w:rPr>
        <w:fldChar w:fldCharType="separate"/>
      </w:r>
      <w:r>
        <w:rPr>
          <w:rFonts w:hint="eastAsia" w:ascii="宋体" w:hAnsi="宋体" w:cs="宋体"/>
          <w:color w:val="auto"/>
          <w:sz w:val="24"/>
        </w:rPr>
        <w:t>65</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"_Toc5147" </w:instrText>
      </w:r>
      <w:r>
        <w:rPr>
          <w:color w:val="auto"/>
        </w:rPr>
        <w:fldChar w:fldCharType="separate"/>
      </w:r>
      <w:r>
        <w:rPr>
          <w:rFonts w:hint="eastAsia" w:ascii="宋体" w:hAnsi="宋体" w:cs="宋体"/>
          <w:color w:val="auto"/>
          <w:kern w:val="0"/>
          <w:sz w:val="24"/>
        </w:rPr>
        <w:t>4.4防排水单元安全对策措施及建议</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_Toc5147 </w:instrText>
      </w:r>
      <w:r>
        <w:rPr>
          <w:rFonts w:hint="eastAsia" w:ascii="宋体" w:hAnsi="宋体" w:cs="宋体"/>
          <w:color w:val="auto"/>
          <w:sz w:val="24"/>
        </w:rPr>
        <w:fldChar w:fldCharType="separate"/>
      </w:r>
      <w:r>
        <w:rPr>
          <w:rFonts w:hint="eastAsia" w:ascii="宋体" w:hAnsi="宋体" w:cs="宋体"/>
          <w:color w:val="auto"/>
          <w:sz w:val="24"/>
        </w:rPr>
        <w:t>66</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16"/>
        <w:tabs>
          <w:tab w:val="right" w:leader="dot" w:pos="9071"/>
        </w:tabs>
        <w:spacing w:line="360" w:lineRule="exact"/>
        <w:ind w:left="840" w:firstLine="560"/>
        <w:rPr>
          <w:rFonts w:ascii="宋体" w:hAnsi="宋体" w:cs="宋体"/>
          <w:color w:val="auto"/>
          <w:sz w:val="24"/>
        </w:rPr>
      </w:pPr>
      <w:r>
        <w:rPr>
          <w:color w:val="auto"/>
        </w:rPr>
        <w:fldChar w:fldCharType="begin"/>
      </w:r>
      <w:r>
        <w:rPr>
          <w:color w:val="auto"/>
        </w:rPr>
        <w:instrText xml:space="preserve"> HYPERLINK \l "_Toc27183" </w:instrText>
      </w:r>
      <w:r>
        <w:rPr>
          <w:color w:val="auto"/>
        </w:rPr>
        <w:fldChar w:fldCharType="separate"/>
      </w:r>
      <w:r>
        <w:rPr>
          <w:rFonts w:hint="eastAsia" w:ascii="宋体" w:hAnsi="宋体" w:cs="宋体"/>
          <w:color w:val="auto"/>
          <w:kern w:val="0"/>
          <w:sz w:val="24"/>
        </w:rPr>
        <w:t>4.5安全管理单元安全对策措施及建议</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_Toc27183 </w:instrText>
      </w:r>
      <w:r>
        <w:rPr>
          <w:rFonts w:hint="eastAsia" w:ascii="宋体" w:hAnsi="宋体" w:cs="宋体"/>
          <w:color w:val="auto"/>
          <w:sz w:val="24"/>
        </w:rPr>
        <w:fldChar w:fldCharType="separate"/>
      </w:r>
      <w:r>
        <w:rPr>
          <w:rFonts w:hint="eastAsia" w:ascii="宋体" w:hAnsi="宋体" w:cs="宋体"/>
          <w:color w:val="auto"/>
          <w:sz w:val="24"/>
        </w:rPr>
        <w:t>67</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26"/>
        <w:tabs>
          <w:tab w:val="right" w:leader="dot" w:pos="9071"/>
        </w:tabs>
        <w:spacing w:line="360" w:lineRule="exact"/>
        <w:ind w:firstLine="560"/>
        <w:rPr>
          <w:rFonts w:ascii="宋体" w:hAnsi="宋体" w:cs="宋体"/>
          <w:color w:val="auto"/>
          <w:sz w:val="24"/>
        </w:rPr>
      </w:pPr>
      <w:r>
        <w:rPr>
          <w:color w:val="auto"/>
        </w:rPr>
        <w:fldChar w:fldCharType="begin"/>
      </w:r>
      <w:r>
        <w:rPr>
          <w:color w:val="auto"/>
        </w:rPr>
        <w:instrText xml:space="preserve"> HYPERLINK \l "_Toc15111" </w:instrText>
      </w:r>
      <w:r>
        <w:rPr>
          <w:color w:val="auto"/>
        </w:rPr>
        <w:fldChar w:fldCharType="separate"/>
      </w:r>
      <w:r>
        <w:rPr>
          <w:rFonts w:hint="eastAsia" w:ascii="宋体" w:hAnsi="宋体" w:cs="宋体"/>
          <w:bCs/>
          <w:color w:val="auto"/>
          <w:kern w:val="44"/>
          <w:sz w:val="24"/>
        </w:rPr>
        <w:t>5 安全预评价结论</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_Toc15111 </w:instrText>
      </w:r>
      <w:r>
        <w:rPr>
          <w:rFonts w:hint="eastAsia" w:ascii="宋体" w:hAnsi="宋体" w:cs="宋体"/>
          <w:color w:val="auto"/>
          <w:sz w:val="24"/>
        </w:rPr>
        <w:fldChar w:fldCharType="separate"/>
      </w:r>
      <w:r>
        <w:rPr>
          <w:rFonts w:hint="eastAsia" w:ascii="宋体" w:hAnsi="宋体" w:cs="宋体"/>
          <w:color w:val="auto"/>
          <w:sz w:val="24"/>
        </w:rPr>
        <w:t>69</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26"/>
        <w:tabs>
          <w:tab w:val="right" w:leader="dot" w:pos="9071"/>
        </w:tabs>
        <w:spacing w:line="360" w:lineRule="exact"/>
        <w:ind w:firstLine="560"/>
        <w:rPr>
          <w:rFonts w:ascii="宋体" w:hAnsi="宋体" w:cs="宋体"/>
          <w:color w:val="auto"/>
          <w:sz w:val="24"/>
        </w:rPr>
      </w:pPr>
      <w:r>
        <w:rPr>
          <w:color w:val="auto"/>
        </w:rPr>
        <w:fldChar w:fldCharType="begin"/>
      </w:r>
      <w:r>
        <w:rPr>
          <w:color w:val="auto"/>
        </w:rPr>
        <w:instrText xml:space="preserve"> HYPERLINK \l "_Toc16692" </w:instrText>
      </w:r>
      <w:r>
        <w:rPr>
          <w:color w:val="auto"/>
        </w:rPr>
        <w:fldChar w:fldCharType="separate"/>
      </w:r>
      <w:r>
        <w:rPr>
          <w:rFonts w:hint="eastAsia" w:ascii="宋体" w:hAnsi="宋体" w:cs="宋体"/>
          <w:color w:val="auto"/>
          <w:sz w:val="24"/>
        </w:rPr>
        <w:t>6附件</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_Toc16692 </w:instrText>
      </w:r>
      <w:r>
        <w:rPr>
          <w:rFonts w:hint="eastAsia" w:ascii="宋体" w:hAnsi="宋体" w:cs="宋体"/>
          <w:color w:val="auto"/>
          <w:sz w:val="24"/>
        </w:rPr>
        <w:fldChar w:fldCharType="separate"/>
      </w:r>
      <w:r>
        <w:rPr>
          <w:rFonts w:hint="eastAsia" w:ascii="宋体" w:hAnsi="宋体" w:cs="宋体"/>
          <w:color w:val="auto"/>
          <w:sz w:val="24"/>
        </w:rPr>
        <w:t>71</w:t>
      </w:r>
      <w:r>
        <w:rPr>
          <w:rFonts w:hint="eastAsia" w:ascii="宋体" w:hAnsi="宋体" w:cs="宋体"/>
          <w:color w:val="auto"/>
          <w:sz w:val="24"/>
        </w:rPr>
        <w:fldChar w:fldCharType="end"/>
      </w:r>
      <w:r>
        <w:rPr>
          <w:rFonts w:hint="eastAsia" w:ascii="宋体" w:hAnsi="宋体" w:cs="宋体"/>
          <w:color w:val="auto"/>
          <w:sz w:val="24"/>
        </w:rPr>
        <w:fldChar w:fldCharType="end"/>
      </w:r>
    </w:p>
    <w:p>
      <w:pPr>
        <w:pStyle w:val="26"/>
        <w:tabs>
          <w:tab w:val="right" w:leader="dot" w:pos="9071"/>
        </w:tabs>
        <w:spacing w:line="360" w:lineRule="exact"/>
        <w:ind w:firstLine="560"/>
        <w:rPr>
          <w:color w:val="auto"/>
        </w:rPr>
      </w:pPr>
      <w:r>
        <w:rPr>
          <w:color w:val="auto"/>
        </w:rPr>
        <w:fldChar w:fldCharType="begin"/>
      </w:r>
      <w:r>
        <w:rPr>
          <w:color w:val="auto"/>
        </w:rPr>
        <w:instrText xml:space="preserve"> HYPERLINK \l "_Toc11968" </w:instrText>
      </w:r>
      <w:r>
        <w:rPr>
          <w:color w:val="auto"/>
        </w:rPr>
        <w:fldChar w:fldCharType="separate"/>
      </w:r>
      <w:r>
        <w:rPr>
          <w:rFonts w:hint="eastAsia" w:ascii="宋体" w:hAnsi="宋体" w:cs="宋体"/>
          <w:color w:val="auto"/>
          <w:sz w:val="24"/>
        </w:rPr>
        <w:t>7附图</w:t>
      </w:r>
      <w:r>
        <w:rPr>
          <w:rFonts w:hint="eastAsia" w:ascii="宋体" w:hAnsi="宋体" w:cs="宋体"/>
          <w:color w:val="auto"/>
          <w:sz w:val="24"/>
        </w:rPr>
        <w:tab/>
      </w:r>
      <w:r>
        <w:rPr>
          <w:rFonts w:hint="eastAsia" w:ascii="宋体" w:hAnsi="宋体" w:cs="宋体"/>
          <w:color w:val="auto"/>
          <w:sz w:val="24"/>
        </w:rPr>
        <w:fldChar w:fldCharType="begin"/>
      </w:r>
      <w:r>
        <w:rPr>
          <w:rFonts w:hint="eastAsia" w:ascii="宋体" w:hAnsi="宋体" w:cs="宋体"/>
          <w:color w:val="auto"/>
          <w:sz w:val="24"/>
        </w:rPr>
        <w:instrText xml:space="preserve"> PAGEREF _Toc11968 </w:instrText>
      </w:r>
      <w:r>
        <w:rPr>
          <w:rFonts w:hint="eastAsia" w:ascii="宋体" w:hAnsi="宋体" w:cs="宋体"/>
          <w:color w:val="auto"/>
          <w:sz w:val="24"/>
        </w:rPr>
        <w:fldChar w:fldCharType="separate"/>
      </w:r>
      <w:r>
        <w:rPr>
          <w:rFonts w:hint="eastAsia" w:ascii="宋体" w:hAnsi="宋体" w:cs="宋体"/>
          <w:color w:val="auto"/>
          <w:sz w:val="24"/>
        </w:rPr>
        <w:t>71</w:t>
      </w:r>
      <w:r>
        <w:rPr>
          <w:rFonts w:hint="eastAsia" w:ascii="宋体" w:hAnsi="宋体" w:cs="宋体"/>
          <w:color w:val="auto"/>
          <w:sz w:val="24"/>
        </w:rPr>
        <w:fldChar w:fldCharType="end"/>
      </w:r>
      <w:r>
        <w:rPr>
          <w:rFonts w:hint="eastAsia" w:ascii="宋体" w:hAnsi="宋体" w:cs="宋体"/>
          <w:color w:val="auto"/>
          <w:sz w:val="24"/>
        </w:rPr>
        <w:fldChar w:fldCharType="end"/>
      </w:r>
    </w:p>
    <w:p>
      <w:pPr>
        <w:spacing w:line="360" w:lineRule="exact"/>
        <w:ind w:firstLine="2240" w:firstLineChars="800"/>
        <w:rPr>
          <w:b/>
          <w:bCs/>
          <w:color w:val="auto"/>
          <w:szCs w:val="32"/>
        </w:rPr>
      </w:pPr>
      <w:r>
        <w:rPr>
          <w:bCs/>
          <w:color w:val="auto"/>
          <w:szCs w:val="28"/>
        </w:rPr>
        <w:fldChar w:fldCharType="end"/>
      </w:r>
    </w:p>
    <w:p>
      <w:pPr>
        <w:spacing w:line="400" w:lineRule="exact"/>
        <w:ind w:firstLine="2249" w:firstLineChars="800"/>
        <w:rPr>
          <w:b/>
          <w:bCs/>
          <w:color w:val="auto"/>
          <w:szCs w:val="32"/>
        </w:rPr>
        <w:sectPr>
          <w:footerReference r:id="rId9" w:type="even"/>
          <w:pgSz w:w="11905" w:h="16838"/>
          <w:pgMar w:top="1417" w:right="1417" w:bottom="1417" w:left="1417" w:header="850" w:footer="850" w:gutter="0"/>
          <w:pgNumType w:fmt="upperRoman"/>
          <w:cols w:space="720" w:num="1"/>
          <w:docGrid w:linePitch="312" w:charSpace="0"/>
        </w:sectPr>
      </w:pPr>
    </w:p>
    <w:p>
      <w:pPr>
        <w:pStyle w:val="3"/>
        <w:spacing w:beforeLines="0" w:afterLines="0"/>
        <w:rPr>
          <w:color w:val="auto"/>
        </w:rPr>
      </w:pPr>
      <w:bookmarkStart w:id="11" w:name="_Toc24088"/>
      <w:r>
        <w:rPr>
          <w:color w:val="auto"/>
        </w:rPr>
        <w:t>1评价目的与依据</w:t>
      </w:r>
      <w:bookmarkEnd w:id="11"/>
    </w:p>
    <w:p>
      <w:pPr>
        <w:pStyle w:val="4"/>
        <w:ind w:firstLine="0"/>
        <w:rPr>
          <w:rFonts w:ascii="Times New Roman" w:hAnsi="Times New Roman"/>
          <w:color w:val="auto"/>
        </w:rPr>
      </w:pPr>
      <w:bookmarkStart w:id="12" w:name="_Toc31996"/>
      <w:r>
        <w:rPr>
          <w:rFonts w:ascii="Times New Roman" w:hAnsi="Times New Roman"/>
          <w:color w:val="auto"/>
        </w:rPr>
        <w:t>1.1评价对象和范围</w:t>
      </w:r>
      <w:bookmarkEnd w:id="12"/>
    </w:p>
    <w:p>
      <w:pPr>
        <w:pStyle w:val="5"/>
        <w:ind w:firstLine="0" w:firstLineChars="0"/>
        <w:rPr>
          <w:rFonts w:ascii="Times New Roman" w:hAnsi="Times New Roman"/>
          <w:color w:val="auto"/>
        </w:rPr>
      </w:pPr>
      <w:bookmarkStart w:id="13" w:name="_Toc6450"/>
      <w:bookmarkStart w:id="14" w:name="_Hlk14548315"/>
      <w:r>
        <w:rPr>
          <w:rFonts w:ascii="Times New Roman" w:hAnsi="Times New Roman"/>
          <w:color w:val="auto"/>
        </w:rPr>
        <w:t>1.1.1评价对象</w:t>
      </w:r>
      <w:bookmarkEnd w:id="13"/>
    </w:p>
    <w:bookmarkEnd w:id="14"/>
    <w:p>
      <w:pPr>
        <w:spacing w:line="360" w:lineRule="auto"/>
        <w:ind w:firstLine="560"/>
        <w:rPr>
          <w:color w:val="auto"/>
          <w:szCs w:val="28"/>
        </w:rPr>
      </w:pPr>
      <w:r>
        <w:rPr>
          <w:rFonts w:hint="eastAsia"/>
          <w:color w:val="auto"/>
          <w:szCs w:val="28"/>
        </w:rPr>
        <w:t>评价对象：江西省万安县大坪矿区瓷土矿15万吨/年露天开采新建项目。</w:t>
      </w:r>
    </w:p>
    <w:p>
      <w:pPr>
        <w:pStyle w:val="5"/>
        <w:ind w:firstLine="0" w:firstLineChars="0"/>
        <w:rPr>
          <w:rFonts w:ascii="Times New Roman" w:hAnsi="Times New Roman"/>
          <w:color w:val="auto"/>
        </w:rPr>
      </w:pPr>
      <w:bookmarkStart w:id="15" w:name="_Toc10334"/>
      <w:r>
        <w:rPr>
          <w:rFonts w:ascii="Times New Roman" w:hAnsi="Times New Roman"/>
          <w:color w:val="auto"/>
        </w:rPr>
        <w:t>1.1.2评价范围</w:t>
      </w:r>
      <w:bookmarkEnd w:id="15"/>
    </w:p>
    <w:p>
      <w:pPr>
        <w:spacing w:line="360" w:lineRule="auto"/>
        <w:ind w:firstLine="560"/>
        <w:rPr>
          <w:color w:val="auto"/>
          <w:szCs w:val="28"/>
        </w:rPr>
      </w:pPr>
      <w:r>
        <w:rPr>
          <w:rFonts w:hint="eastAsia"/>
          <w:color w:val="auto"/>
          <w:szCs w:val="28"/>
        </w:rPr>
        <w:t>评价范围：江西省核工业地质局二六三大队编制的《江西省万安县大坪瓷土矿矿产资源开发利用、地质环境恢复治理与土地复垦方案》涉及采矿证范围,采矿证范围的拐点坐标见</w:t>
      </w:r>
      <w:r>
        <w:rPr>
          <w:rFonts w:hint="eastAsia"/>
          <w:b/>
          <w:bCs/>
          <w:color w:val="auto"/>
          <w:sz w:val="24"/>
        </w:rPr>
        <w:t>表1-1</w:t>
      </w:r>
      <w:r>
        <w:rPr>
          <w:rFonts w:hint="eastAsia"/>
          <w:color w:val="auto"/>
          <w:szCs w:val="28"/>
        </w:rPr>
        <w:t>:</w:t>
      </w:r>
    </w:p>
    <w:p>
      <w:pPr>
        <w:spacing w:line="360" w:lineRule="auto"/>
        <w:ind w:left="-39" w:leftChars="-14" w:firstLine="2125" w:firstLineChars="882"/>
        <w:rPr>
          <w:b/>
          <w:bCs/>
          <w:color w:val="auto"/>
          <w:sz w:val="24"/>
        </w:rPr>
      </w:pPr>
      <w:r>
        <w:rPr>
          <w:rFonts w:hint="eastAsia"/>
          <w:b/>
          <w:bCs/>
          <w:color w:val="auto"/>
          <w:sz w:val="24"/>
        </w:rPr>
        <w:t>表1-1     矿区范围坐标表</w:t>
      </w:r>
    </w:p>
    <w:tbl>
      <w:tblPr>
        <w:tblStyle w:val="36"/>
        <w:tblW w:w="10432" w:type="dxa"/>
        <w:tblInd w:w="-176" w:type="dxa"/>
        <w:tblLayout w:type="fixed"/>
        <w:tblCellMar>
          <w:top w:w="0" w:type="dxa"/>
          <w:left w:w="108" w:type="dxa"/>
          <w:bottom w:w="0" w:type="dxa"/>
          <w:right w:w="108" w:type="dxa"/>
        </w:tblCellMar>
      </w:tblPr>
      <w:tblGrid>
        <w:gridCol w:w="1135"/>
        <w:gridCol w:w="1570"/>
        <w:gridCol w:w="1569"/>
        <w:gridCol w:w="1116"/>
        <w:gridCol w:w="1586"/>
        <w:gridCol w:w="1728"/>
        <w:gridCol w:w="1728"/>
      </w:tblGrid>
      <w:tr>
        <w:tblPrEx>
          <w:tblLayout w:type="fixed"/>
          <w:tblCellMar>
            <w:top w:w="0" w:type="dxa"/>
            <w:left w:w="108" w:type="dxa"/>
            <w:bottom w:w="0" w:type="dxa"/>
            <w:right w:w="108" w:type="dxa"/>
          </w:tblCellMar>
        </w:tblPrEx>
        <w:trPr>
          <w:gridAfter w:val="1"/>
          <w:wAfter w:w="1728" w:type="dxa"/>
          <w:trHeight w:val="600" w:hRule="atLeast"/>
        </w:trPr>
        <w:tc>
          <w:tcPr>
            <w:tcW w:w="1135" w:type="dxa"/>
            <w:tcBorders>
              <w:top w:val="single" w:color="auto" w:sz="8" w:space="0"/>
              <w:left w:val="single" w:color="auto" w:sz="8" w:space="0"/>
              <w:bottom w:val="nil"/>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拐点</w:t>
            </w:r>
          </w:p>
        </w:tc>
        <w:tc>
          <w:tcPr>
            <w:tcW w:w="3139" w:type="dxa"/>
            <w:gridSpan w:val="2"/>
            <w:tcBorders>
              <w:top w:val="single" w:color="auto" w:sz="8" w:space="0"/>
              <w:left w:val="nil"/>
              <w:bottom w:val="single" w:color="auto" w:sz="8" w:space="0"/>
              <w:right w:val="single" w:color="000000" w:sz="8" w:space="0"/>
            </w:tcBorders>
            <w:vAlign w:val="center"/>
          </w:tcPr>
          <w:p>
            <w:pPr>
              <w:spacing w:line="400" w:lineRule="exact"/>
              <w:ind w:firstLine="1050" w:firstLineChars="500"/>
              <w:rPr>
                <w:rFonts w:ascii="宋体" w:hAnsi="宋体"/>
                <w:color w:val="auto"/>
                <w:sz w:val="21"/>
                <w:szCs w:val="21"/>
              </w:rPr>
            </w:pPr>
            <w:r>
              <w:rPr>
                <w:rFonts w:ascii="宋体" w:hAnsi="宋体"/>
                <w:color w:val="auto"/>
                <w:sz w:val="21"/>
                <w:szCs w:val="21"/>
              </w:rPr>
              <w:t>西安80坐标</w:t>
            </w:r>
          </w:p>
        </w:tc>
        <w:tc>
          <w:tcPr>
            <w:tcW w:w="1116" w:type="dxa"/>
            <w:tcBorders>
              <w:top w:val="single" w:color="auto" w:sz="8" w:space="0"/>
              <w:left w:val="nil"/>
              <w:bottom w:val="nil"/>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拐点</w:t>
            </w:r>
          </w:p>
        </w:tc>
        <w:tc>
          <w:tcPr>
            <w:tcW w:w="3314" w:type="dxa"/>
            <w:gridSpan w:val="2"/>
            <w:tcBorders>
              <w:top w:val="single" w:color="auto" w:sz="8" w:space="0"/>
              <w:left w:val="nil"/>
              <w:bottom w:val="single" w:color="auto" w:sz="8" w:space="0"/>
              <w:right w:val="single" w:color="000000"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西安80坐标</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编号</w:t>
            </w:r>
          </w:p>
        </w:tc>
        <w:tc>
          <w:tcPr>
            <w:tcW w:w="1570"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X</w:t>
            </w:r>
          </w:p>
        </w:tc>
        <w:tc>
          <w:tcPr>
            <w:tcW w:w="1569"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Y</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编号</w:t>
            </w:r>
          </w:p>
        </w:tc>
        <w:tc>
          <w:tcPr>
            <w:tcW w:w="158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X</w:t>
            </w:r>
          </w:p>
        </w:tc>
        <w:tc>
          <w:tcPr>
            <w:tcW w:w="1728"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Y</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2893880.54</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8605549.95</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24</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2894354.69</w:t>
            </w:r>
          </w:p>
        </w:tc>
        <w:tc>
          <w:tcPr>
            <w:tcW w:w="1728" w:type="dxa"/>
            <w:tcBorders>
              <w:top w:val="nil"/>
              <w:left w:val="nil"/>
              <w:bottom w:val="single" w:color="auto" w:sz="8" w:space="0"/>
              <w:right w:val="single" w:color="auto" w:sz="8" w:space="0"/>
            </w:tcBorders>
            <w:vAlign w:val="center"/>
          </w:tcPr>
          <w:p>
            <w:pPr>
              <w:spacing w:line="400" w:lineRule="exact"/>
              <w:ind w:firstLine="105" w:firstLineChars="50"/>
              <w:rPr>
                <w:rFonts w:ascii="宋体" w:hAnsi="宋体"/>
                <w:color w:val="auto"/>
                <w:sz w:val="21"/>
                <w:szCs w:val="21"/>
              </w:rPr>
            </w:pPr>
            <w:r>
              <w:rPr>
                <w:rFonts w:hint="eastAsia" w:ascii="宋体" w:hAnsi="宋体"/>
                <w:color w:val="auto"/>
                <w:sz w:val="21"/>
                <w:szCs w:val="21"/>
              </w:rPr>
              <w:t>38605900.70</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J2</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2893888.40</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8605529.46</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25</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2894379.09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38605984.01</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J3</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2893923.79</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8605517.40</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26</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2894355.49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38605992.69</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J4</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2894063.27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8605655</w:t>
            </w:r>
            <w:r>
              <w:rPr>
                <w:rFonts w:ascii="宋体" w:hAnsi="宋体"/>
                <w:color w:val="auto"/>
                <w:sz w:val="21"/>
                <w:szCs w:val="21"/>
              </w:rPr>
              <w:t>.</w:t>
            </w:r>
            <w:r>
              <w:rPr>
                <w:rFonts w:hint="eastAsia" w:ascii="宋体" w:hAnsi="宋体"/>
                <w:color w:val="auto"/>
                <w:sz w:val="21"/>
                <w:szCs w:val="21"/>
              </w:rPr>
              <w:t>25</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27</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2894268.56</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38605936.42</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J5</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2894074.78</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38605693.75</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28</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2894257.80</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38605818059</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J6</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2894095.90</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8605719.89</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29</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2894287.79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38605757.77</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J7</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2894116</w:t>
            </w:r>
            <w:r>
              <w:rPr>
                <w:rFonts w:ascii="宋体" w:hAnsi="宋体"/>
                <w:color w:val="auto"/>
                <w:sz w:val="21"/>
                <w:szCs w:val="21"/>
              </w:rPr>
              <w:t>.</w:t>
            </w:r>
            <w:r>
              <w:rPr>
                <w:rFonts w:hint="eastAsia" w:ascii="宋体" w:hAnsi="宋体"/>
                <w:color w:val="auto"/>
                <w:sz w:val="21"/>
                <w:szCs w:val="21"/>
              </w:rPr>
              <w:t>15</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8605732</w:t>
            </w:r>
            <w:r>
              <w:rPr>
                <w:rFonts w:ascii="宋体" w:hAnsi="宋体"/>
                <w:color w:val="auto"/>
                <w:sz w:val="21"/>
                <w:szCs w:val="21"/>
              </w:rPr>
              <w:t>.</w:t>
            </w:r>
            <w:r>
              <w:rPr>
                <w:rFonts w:hint="eastAsia" w:ascii="宋体" w:hAnsi="宋体"/>
                <w:color w:val="auto"/>
                <w:sz w:val="21"/>
                <w:szCs w:val="21"/>
              </w:rPr>
              <w:t>93</w:t>
            </w:r>
          </w:p>
        </w:tc>
        <w:tc>
          <w:tcPr>
            <w:tcW w:w="4430" w:type="dxa"/>
            <w:gridSpan w:val="3"/>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highlight w:val="yellow"/>
              </w:rPr>
            </w:pPr>
            <w:r>
              <w:rPr>
                <w:rFonts w:hint="eastAsia" w:ascii="宋体" w:hAnsi="宋体"/>
                <w:color w:val="auto"/>
                <w:sz w:val="21"/>
                <w:szCs w:val="21"/>
              </w:rPr>
              <w:t>开采标高：+260m～+156m</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highlight w:val="yellow"/>
              </w:rPr>
            </w:pPr>
            <w:r>
              <w:rPr>
                <w:rFonts w:ascii="宋体" w:hAnsi="宋体"/>
                <w:color w:val="auto"/>
                <w:sz w:val="21"/>
                <w:szCs w:val="21"/>
              </w:rPr>
              <w:t>J8</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2894114</w:t>
            </w:r>
            <w:r>
              <w:rPr>
                <w:rFonts w:ascii="宋体" w:hAnsi="宋体"/>
                <w:color w:val="auto"/>
                <w:sz w:val="21"/>
                <w:szCs w:val="21"/>
              </w:rPr>
              <w:t>.</w:t>
            </w:r>
            <w:r>
              <w:rPr>
                <w:rFonts w:hint="eastAsia" w:ascii="宋体" w:hAnsi="宋体"/>
                <w:color w:val="auto"/>
                <w:sz w:val="21"/>
                <w:szCs w:val="21"/>
              </w:rPr>
              <w:t>02</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8605756</w:t>
            </w:r>
            <w:r>
              <w:rPr>
                <w:rFonts w:ascii="宋体" w:hAnsi="宋体"/>
                <w:color w:val="auto"/>
                <w:sz w:val="21"/>
                <w:szCs w:val="21"/>
              </w:rPr>
              <w:t>.</w:t>
            </w:r>
            <w:r>
              <w:rPr>
                <w:rFonts w:hint="eastAsia" w:ascii="宋体" w:hAnsi="宋体"/>
                <w:color w:val="auto"/>
                <w:sz w:val="21"/>
                <w:szCs w:val="21"/>
              </w:rPr>
              <w:t>49</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30</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2894337.07</w:t>
            </w:r>
          </w:p>
        </w:tc>
        <w:tc>
          <w:tcPr>
            <w:tcW w:w="1728" w:type="dxa"/>
            <w:tcBorders>
              <w:top w:val="nil"/>
              <w:left w:val="nil"/>
              <w:bottom w:val="single" w:color="auto" w:sz="8" w:space="0"/>
              <w:right w:val="single" w:color="auto" w:sz="8" w:space="0"/>
            </w:tcBorders>
            <w:vAlign w:val="center"/>
          </w:tcPr>
          <w:p>
            <w:pPr>
              <w:spacing w:line="400" w:lineRule="exact"/>
              <w:ind w:firstLine="210" w:firstLineChars="100"/>
              <w:jc w:val="center"/>
              <w:rPr>
                <w:rFonts w:ascii="宋体" w:hAnsi="宋体"/>
                <w:color w:val="auto"/>
                <w:sz w:val="21"/>
                <w:szCs w:val="21"/>
              </w:rPr>
            </w:pPr>
            <w:r>
              <w:rPr>
                <w:rFonts w:hint="eastAsia" w:ascii="宋体" w:hAnsi="宋体"/>
                <w:color w:val="auto"/>
                <w:sz w:val="21"/>
                <w:szCs w:val="21"/>
              </w:rPr>
              <w:t>38606059.05</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J9</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2894047</w:t>
            </w:r>
            <w:r>
              <w:rPr>
                <w:rFonts w:ascii="宋体" w:hAnsi="宋体"/>
                <w:color w:val="auto"/>
                <w:sz w:val="21"/>
                <w:szCs w:val="21"/>
              </w:rPr>
              <w:t>.</w:t>
            </w:r>
            <w:r>
              <w:rPr>
                <w:rFonts w:hint="eastAsia" w:ascii="宋体" w:hAnsi="宋体"/>
                <w:color w:val="auto"/>
                <w:sz w:val="21"/>
                <w:szCs w:val="21"/>
              </w:rPr>
              <w:t>91</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8605732</w:t>
            </w:r>
            <w:r>
              <w:rPr>
                <w:rFonts w:ascii="宋体" w:hAnsi="宋体"/>
                <w:color w:val="auto"/>
                <w:sz w:val="21"/>
                <w:szCs w:val="21"/>
              </w:rPr>
              <w:t>.</w:t>
            </w:r>
            <w:r>
              <w:rPr>
                <w:rFonts w:hint="eastAsia" w:ascii="宋体" w:hAnsi="宋体"/>
                <w:color w:val="auto"/>
                <w:sz w:val="21"/>
                <w:szCs w:val="21"/>
              </w:rPr>
              <w:t>02</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31</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2894377.88</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386606021.80</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J10</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2893946.70</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8605660</w:t>
            </w:r>
            <w:r>
              <w:rPr>
                <w:rFonts w:ascii="宋体" w:hAnsi="宋体"/>
                <w:color w:val="auto"/>
                <w:sz w:val="21"/>
                <w:szCs w:val="21"/>
              </w:rPr>
              <w:t>.</w:t>
            </w:r>
            <w:r>
              <w:rPr>
                <w:rFonts w:hint="eastAsia" w:ascii="宋体" w:hAnsi="宋体"/>
                <w:color w:val="auto"/>
                <w:sz w:val="21"/>
                <w:szCs w:val="21"/>
              </w:rPr>
              <w:t>21</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32</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2894413.62</w:t>
            </w:r>
          </w:p>
        </w:tc>
        <w:tc>
          <w:tcPr>
            <w:tcW w:w="1728" w:type="dxa"/>
            <w:tcBorders>
              <w:top w:val="nil"/>
              <w:left w:val="nil"/>
              <w:bottom w:val="single" w:color="auto" w:sz="8" w:space="0"/>
              <w:right w:val="single" w:color="auto" w:sz="8" w:space="0"/>
            </w:tcBorders>
            <w:vAlign w:val="center"/>
          </w:tcPr>
          <w:p>
            <w:pPr>
              <w:spacing w:line="400" w:lineRule="exact"/>
              <w:ind w:firstLine="199" w:firstLineChars="95"/>
              <w:rPr>
                <w:rFonts w:ascii="宋体" w:hAnsi="宋体"/>
                <w:color w:val="auto"/>
                <w:sz w:val="21"/>
                <w:szCs w:val="21"/>
              </w:rPr>
            </w:pPr>
            <w:r>
              <w:rPr>
                <w:rFonts w:hint="eastAsia" w:ascii="宋体" w:hAnsi="宋体"/>
                <w:color w:val="auto"/>
                <w:sz w:val="21"/>
                <w:szCs w:val="21"/>
              </w:rPr>
              <w:t>3860627.50</w:t>
            </w: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J11</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2893881.63</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8605592</w:t>
            </w:r>
            <w:r>
              <w:rPr>
                <w:rFonts w:ascii="宋体" w:hAnsi="宋体"/>
                <w:color w:val="auto"/>
                <w:sz w:val="21"/>
                <w:szCs w:val="21"/>
              </w:rPr>
              <w:t>.</w:t>
            </w:r>
            <w:r>
              <w:rPr>
                <w:rFonts w:hint="eastAsia" w:ascii="宋体" w:hAnsi="宋体"/>
                <w:color w:val="auto"/>
                <w:sz w:val="21"/>
                <w:szCs w:val="21"/>
              </w:rPr>
              <w:t>78</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33</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2894489.63</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38606024.38</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4274" w:type="dxa"/>
            <w:gridSpan w:val="3"/>
            <w:tcBorders>
              <w:top w:val="nil"/>
              <w:left w:val="single" w:color="auto" w:sz="8" w:space="0"/>
              <w:bottom w:val="single" w:color="auto" w:sz="8" w:space="0"/>
              <w:right w:val="single" w:color="auto" w:sz="8" w:space="0"/>
            </w:tcBorders>
            <w:vAlign w:val="center"/>
          </w:tcPr>
          <w:p>
            <w:pPr>
              <w:spacing w:line="400" w:lineRule="exact"/>
              <w:ind w:firstLine="420"/>
              <w:rPr>
                <w:rFonts w:ascii="宋体" w:hAnsi="宋体"/>
                <w:color w:val="auto"/>
                <w:sz w:val="21"/>
                <w:szCs w:val="21"/>
              </w:rPr>
            </w:pPr>
            <w:r>
              <w:rPr>
                <w:rFonts w:hint="eastAsia" w:ascii="宋体" w:hAnsi="宋体"/>
                <w:color w:val="auto"/>
                <w:sz w:val="21"/>
                <w:szCs w:val="21"/>
              </w:rPr>
              <w:t>开采标高：+260m～+176m</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34</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2894523.79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38606033.73</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2</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2894198.66</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38605657.48</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35</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2894557.54</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38606085.33</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3</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2894290.97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38605676.49</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36</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2894559.19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38606085.76</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4</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2894232.79</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38605754.43</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37</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2894531.79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38606136.77</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5</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2894221.85</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38605754.43</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38</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2894442.67</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38606115.64</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6</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2894198.68</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38605747.02</w:t>
            </w:r>
          </w:p>
        </w:tc>
        <w:tc>
          <w:tcPr>
            <w:tcW w:w="4430" w:type="dxa"/>
            <w:gridSpan w:val="3"/>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hint="eastAsia" w:ascii="宋体" w:hAnsi="宋体"/>
                <w:color w:val="auto"/>
                <w:sz w:val="21"/>
                <w:szCs w:val="21"/>
              </w:rPr>
              <w:t>开采标高：+210m～+156m</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7</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5894190.87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38605728.06</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39</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2894591.15</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38606052.49</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8</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2894175.55</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38605730.14</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40</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2894673.90</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38606099.45</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4274" w:type="dxa"/>
            <w:gridSpan w:val="3"/>
            <w:tcBorders>
              <w:top w:val="nil"/>
              <w:left w:val="single" w:color="auto" w:sz="8" w:space="0"/>
              <w:bottom w:val="single" w:color="auto" w:sz="8" w:space="0"/>
              <w:right w:val="single" w:color="auto" w:sz="8" w:space="0"/>
            </w:tcBorders>
            <w:vAlign w:val="center"/>
          </w:tcPr>
          <w:p>
            <w:pPr>
              <w:spacing w:line="400" w:lineRule="exact"/>
              <w:ind w:firstLine="420"/>
              <w:rPr>
                <w:rFonts w:ascii="宋体" w:hAnsi="宋体"/>
                <w:color w:val="auto"/>
                <w:sz w:val="21"/>
                <w:szCs w:val="21"/>
              </w:rPr>
            </w:pPr>
            <w:r>
              <w:rPr>
                <w:rFonts w:hint="eastAsia" w:ascii="宋体" w:hAnsi="宋体"/>
                <w:color w:val="auto"/>
                <w:sz w:val="21"/>
                <w:szCs w:val="21"/>
              </w:rPr>
              <w:t>开采标高：+260m～+156m</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41</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2894664.80</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38606130.14</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9</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2894302.52</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38605701.84</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42</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2894591.26</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38606122.41</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20</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2894361.03</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38605691.75</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43</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2894586.33</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38606086.74</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21</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2894467.77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38605798.80</w:t>
            </w:r>
          </w:p>
        </w:tc>
        <w:tc>
          <w:tcPr>
            <w:tcW w:w="4430" w:type="dxa"/>
            <w:gridSpan w:val="3"/>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hint="eastAsia" w:ascii="宋体" w:hAnsi="宋体"/>
                <w:color w:val="auto"/>
                <w:sz w:val="21"/>
                <w:szCs w:val="21"/>
              </w:rPr>
              <w:t>开采标高：+210m～+156m</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22</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2894437.62</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38605798.80</w:t>
            </w:r>
          </w:p>
        </w:tc>
        <w:tc>
          <w:tcPr>
            <w:tcW w:w="4430" w:type="dxa"/>
            <w:gridSpan w:val="3"/>
            <w:vMerge w:val="restart"/>
            <w:tcBorders>
              <w:top w:val="nil"/>
              <w:left w:val="nil"/>
              <w:right w:val="single" w:color="auto" w:sz="8" w:space="0"/>
            </w:tcBorders>
            <w:vAlign w:val="center"/>
          </w:tcPr>
          <w:p>
            <w:pPr>
              <w:spacing w:line="400" w:lineRule="exact"/>
              <w:ind w:firstLine="420"/>
              <w:jc w:val="center"/>
              <w:rPr>
                <w:rFonts w:ascii="宋体" w:hAnsi="宋体"/>
                <w:color w:val="auto"/>
                <w:sz w:val="21"/>
                <w:szCs w:val="21"/>
              </w:rPr>
            </w:pP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23</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2894379.17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38605862.18</w:t>
            </w:r>
          </w:p>
        </w:tc>
        <w:tc>
          <w:tcPr>
            <w:tcW w:w="4430" w:type="dxa"/>
            <w:gridSpan w:val="3"/>
            <w:vMerge w:val="continue"/>
            <w:tcBorders>
              <w:left w:val="nil"/>
              <w:right w:val="single" w:color="auto" w:sz="8" w:space="0"/>
            </w:tcBorders>
            <w:vAlign w:val="center"/>
          </w:tcPr>
          <w:p>
            <w:pPr>
              <w:spacing w:line="400" w:lineRule="exact"/>
              <w:ind w:firstLine="420"/>
              <w:jc w:val="center"/>
              <w:rPr>
                <w:rFonts w:ascii="宋体" w:hAnsi="宋体"/>
                <w:color w:val="auto"/>
                <w:sz w:val="21"/>
                <w:szCs w:val="21"/>
              </w:rPr>
            </w:pP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24</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2894354.69</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38605900.70</w:t>
            </w:r>
          </w:p>
        </w:tc>
        <w:tc>
          <w:tcPr>
            <w:tcW w:w="4430" w:type="dxa"/>
            <w:gridSpan w:val="3"/>
            <w:vMerge w:val="continue"/>
            <w:tcBorders>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p>
        </w:tc>
        <w:tc>
          <w:tcPr>
            <w:tcW w:w="1728" w:type="dxa"/>
            <w:vAlign w:val="center"/>
          </w:tcPr>
          <w:p>
            <w:pPr>
              <w:spacing w:line="400" w:lineRule="exact"/>
              <w:ind w:firstLine="420"/>
              <w:jc w:val="center"/>
              <w:rPr>
                <w:rFonts w:ascii="宋体" w:hAnsi="宋体"/>
                <w:color w:val="auto"/>
                <w:sz w:val="21"/>
                <w:szCs w:val="21"/>
              </w:rPr>
            </w:pPr>
          </w:p>
        </w:tc>
      </w:tr>
    </w:tbl>
    <w:p>
      <w:pPr>
        <w:spacing w:line="360" w:lineRule="auto"/>
        <w:ind w:firstLine="560"/>
        <w:rPr>
          <w:color w:val="auto"/>
          <w:szCs w:val="28"/>
        </w:rPr>
      </w:pPr>
      <w:r>
        <w:rPr>
          <w:rFonts w:hint="eastAsia"/>
          <w:color w:val="auto"/>
          <w:szCs w:val="28"/>
        </w:rPr>
        <w:t>矿山的总图运输、开拓运输、采矿工艺、通风防尘、矿山电气、防排水与防灭火和安全管理及其他的安全影响。本评价范围不包括环保、产品质量、矿外运输安全。</w:t>
      </w:r>
    </w:p>
    <w:p>
      <w:pPr>
        <w:spacing w:line="360" w:lineRule="auto"/>
        <w:ind w:firstLine="560"/>
        <w:rPr>
          <w:color w:val="auto"/>
          <w:szCs w:val="28"/>
        </w:rPr>
      </w:pPr>
      <w:r>
        <w:rPr>
          <w:rFonts w:hint="eastAsia"/>
          <w:color w:val="auto"/>
          <w:szCs w:val="28"/>
        </w:rPr>
        <w:t>涉及的职业卫生方面应执行职业卫生的有关规定，不在本评价范围内，本评价只对涉及的有害因素做一般性评述。</w:t>
      </w:r>
    </w:p>
    <w:p>
      <w:pPr>
        <w:pStyle w:val="4"/>
        <w:ind w:firstLine="0"/>
        <w:rPr>
          <w:rFonts w:ascii="Times New Roman" w:hAnsi="Times New Roman"/>
          <w:color w:val="auto"/>
        </w:rPr>
      </w:pPr>
      <w:bookmarkStart w:id="16" w:name="_Toc9250"/>
      <w:r>
        <w:rPr>
          <w:rFonts w:ascii="Times New Roman" w:hAnsi="Times New Roman"/>
          <w:color w:val="auto"/>
        </w:rPr>
        <w:t>1.2评价目的和内容</w:t>
      </w:r>
      <w:bookmarkEnd w:id="16"/>
    </w:p>
    <w:p>
      <w:pPr>
        <w:pStyle w:val="5"/>
        <w:ind w:firstLine="0" w:firstLineChars="0"/>
        <w:rPr>
          <w:rFonts w:ascii="Times New Roman" w:hAnsi="Times New Roman"/>
          <w:color w:val="auto"/>
        </w:rPr>
      </w:pPr>
      <w:bookmarkStart w:id="17" w:name="_Toc30446"/>
      <w:bookmarkStart w:id="18" w:name="_Hlk14548288"/>
      <w:r>
        <w:rPr>
          <w:rFonts w:ascii="Times New Roman" w:hAnsi="Times New Roman"/>
          <w:color w:val="auto"/>
        </w:rPr>
        <w:t>1.2.1评价目的</w:t>
      </w:r>
      <w:bookmarkEnd w:id="17"/>
    </w:p>
    <w:bookmarkEnd w:id="18"/>
    <w:p>
      <w:pPr>
        <w:spacing w:line="360" w:lineRule="auto"/>
        <w:ind w:firstLine="600"/>
        <w:rPr>
          <w:color w:val="auto"/>
          <w:spacing w:val="10"/>
          <w:kern w:val="0"/>
          <w:szCs w:val="28"/>
        </w:rPr>
      </w:pPr>
      <w:r>
        <w:rPr>
          <w:color w:val="auto"/>
          <w:spacing w:val="10"/>
          <w:kern w:val="0"/>
          <w:szCs w:val="28"/>
        </w:rPr>
        <w:t>安全预评价目的是贯彻“安全第一、预防为主、综合治理”方针</w:t>
      </w:r>
      <w:r>
        <w:rPr>
          <w:rFonts w:hint="eastAsia"/>
          <w:color w:val="auto"/>
          <w:spacing w:val="10"/>
          <w:kern w:val="0"/>
          <w:szCs w:val="28"/>
        </w:rPr>
        <w:t>，</w:t>
      </w:r>
      <w:r>
        <w:rPr>
          <w:color w:val="auto"/>
          <w:spacing w:val="10"/>
          <w:kern w:val="0"/>
          <w:szCs w:val="28"/>
        </w:rPr>
        <w:t>为建设项目安全设施设计提供科学依据。安全预评价是根据建设项目建设方案的内容,分析和预测该建设项目建成后可能存在的危险、有害因素的种类和危害程度,并提出合理可行的安全对策措施及建议,以利于提高建设项目本质安全程度，为政府</w:t>
      </w:r>
      <w:r>
        <w:rPr>
          <w:rFonts w:hint="eastAsia"/>
          <w:color w:val="auto"/>
          <w:spacing w:val="10"/>
          <w:kern w:val="0"/>
          <w:szCs w:val="28"/>
        </w:rPr>
        <w:t>应急</w:t>
      </w:r>
      <w:r>
        <w:rPr>
          <w:color w:val="auto"/>
          <w:spacing w:val="10"/>
          <w:kern w:val="0"/>
          <w:szCs w:val="28"/>
        </w:rPr>
        <w:t>管理部门实施监察管理提供依据</w:t>
      </w:r>
      <w:r>
        <w:rPr>
          <w:rFonts w:hint="eastAsia"/>
          <w:color w:val="auto"/>
          <w:spacing w:val="10"/>
          <w:kern w:val="0"/>
          <w:szCs w:val="28"/>
        </w:rPr>
        <w:t>，主要目的是为安全设施设计提供技术依据。</w:t>
      </w:r>
    </w:p>
    <w:p>
      <w:pPr>
        <w:pStyle w:val="5"/>
        <w:ind w:firstLine="0" w:firstLineChars="0"/>
        <w:rPr>
          <w:rFonts w:ascii="Times New Roman" w:hAnsi="Times New Roman"/>
          <w:color w:val="auto"/>
        </w:rPr>
      </w:pPr>
      <w:bookmarkStart w:id="19" w:name="_Toc9839"/>
      <w:r>
        <w:rPr>
          <w:rFonts w:ascii="Times New Roman" w:hAnsi="Times New Roman"/>
          <w:color w:val="auto"/>
        </w:rPr>
        <w:t>1.2.2安全预评价主要内容</w:t>
      </w:r>
      <w:bookmarkEnd w:id="19"/>
    </w:p>
    <w:p>
      <w:pPr>
        <w:spacing w:line="360" w:lineRule="auto"/>
        <w:ind w:firstLine="600"/>
        <w:rPr>
          <w:color w:val="auto"/>
          <w:spacing w:val="10"/>
          <w:kern w:val="0"/>
          <w:szCs w:val="28"/>
        </w:rPr>
      </w:pPr>
      <w:r>
        <w:rPr>
          <w:color w:val="auto"/>
          <w:spacing w:val="10"/>
          <w:kern w:val="0"/>
          <w:szCs w:val="28"/>
        </w:rPr>
        <w:t>1)根据建设项目</w:t>
      </w:r>
      <w:r>
        <w:rPr>
          <w:rFonts w:hint="eastAsia"/>
          <w:color w:val="auto"/>
          <w:spacing w:val="10"/>
          <w:kern w:val="0"/>
          <w:szCs w:val="28"/>
        </w:rPr>
        <w:t>《三合一方案》</w:t>
      </w:r>
      <w:r>
        <w:rPr>
          <w:color w:val="auto"/>
          <w:spacing w:val="10"/>
          <w:kern w:val="0"/>
          <w:szCs w:val="28"/>
        </w:rPr>
        <w:t>内容分析和预测该建设者项目可能存在的固有或潜在的危险、有害因素的种类和危害程度及其产生危险、有害的主要条件。</w:t>
      </w:r>
    </w:p>
    <w:p>
      <w:pPr>
        <w:spacing w:line="360" w:lineRule="auto"/>
        <w:ind w:firstLine="600"/>
        <w:rPr>
          <w:color w:val="auto"/>
          <w:spacing w:val="10"/>
          <w:kern w:val="0"/>
          <w:szCs w:val="28"/>
        </w:rPr>
      </w:pPr>
      <w:r>
        <w:rPr>
          <w:color w:val="auto"/>
          <w:spacing w:val="10"/>
          <w:kern w:val="0"/>
          <w:szCs w:val="28"/>
        </w:rPr>
        <w:t>2)运用安全系统工程的原理和科学方法，对建设工程项目已识别出的危险有害因素进行定性定量分析，评价其发生危险的可能性及其产生的后果，并提出消除或减弱危险、有害因素的安全技术和管理措施，为建设项目安全设施设计提供科学依据。</w:t>
      </w:r>
    </w:p>
    <w:p>
      <w:pPr>
        <w:spacing w:line="360" w:lineRule="auto"/>
        <w:ind w:firstLine="600"/>
        <w:rPr>
          <w:color w:val="auto"/>
          <w:spacing w:val="10"/>
          <w:kern w:val="0"/>
          <w:szCs w:val="28"/>
        </w:rPr>
      </w:pPr>
      <w:r>
        <w:rPr>
          <w:color w:val="auto"/>
          <w:spacing w:val="10"/>
          <w:kern w:val="0"/>
          <w:szCs w:val="28"/>
        </w:rPr>
        <w:t>3)明确建设项目建成后存在的危险有害因素的风险是否在可接受范围内，为政府应急管理部门实施监督管理提供技术依据。</w:t>
      </w:r>
    </w:p>
    <w:p>
      <w:pPr>
        <w:pStyle w:val="4"/>
        <w:ind w:firstLine="0"/>
        <w:rPr>
          <w:rFonts w:ascii="Times New Roman" w:hAnsi="Times New Roman"/>
          <w:color w:val="auto"/>
        </w:rPr>
      </w:pPr>
      <w:bookmarkStart w:id="20" w:name="_Toc29099"/>
      <w:r>
        <w:rPr>
          <w:rFonts w:ascii="Times New Roman" w:hAnsi="Times New Roman"/>
          <w:color w:val="auto"/>
        </w:rPr>
        <w:t>1.3主要评价依据</w:t>
      </w:r>
      <w:bookmarkEnd w:id="20"/>
    </w:p>
    <w:p>
      <w:pPr>
        <w:pStyle w:val="5"/>
        <w:ind w:firstLine="0" w:firstLineChars="0"/>
        <w:rPr>
          <w:rFonts w:ascii="Times New Roman" w:hAnsi="Times New Roman"/>
          <w:color w:val="auto"/>
        </w:rPr>
      </w:pPr>
      <w:bookmarkStart w:id="21" w:name="_Toc183447999"/>
      <w:bookmarkStart w:id="22" w:name="_Toc20075"/>
      <w:bookmarkStart w:id="23" w:name="_Toc17021"/>
      <w:bookmarkStart w:id="24" w:name="_Toc188676416"/>
      <w:r>
        <w:rPr>
          <w:rFonts w:ascii="Times New Roman" w:hAnsi="Times New Roman"/>
          <w:color w:val="auto"/>
        </w:rPr>
        <w:t>1.3.1法律、法规</w:t>
      </w:r>
      <w:bookmarkEnd w:id="21"/>
      <w:r>
        <w:rPr>
          <w:rFonts w:ascii="Times New Roman" w:hAnsi="Times New Roman"/>
          <w:color w:val="auto"/>
        </w:rPr>
        <w:t>、规章</w:t>
      </w:r>
      <w:bookmarkEnd w:id="22"/>
      <w:bookmarkEnd w:id="23"/>
    </w:p>
    <w:p>
      <w:pPr>
        <w:adjustRightInd w:val="0"/>
        <w:spacing w:line="360" w:lineRule="auto"/>
        <w:ind w:firstLine="0" w:firstLineChars="0"/>
        <w:jc w:val="left"/>
        <w:textAlignment w:val="baseline"/>
        <w:outlineLvl w:val="3"/>
        <w:rPr>
          <w:b/>
          <w:bCs/>
          <w:color w:val="auto"/>
          <w:szCs w:val="28"/>
        </w:rPr>
      </w:pPr>
      <w:r>
        <w:rPr>
          <w:rFonts w:ascii="宋体" w:hAnsi="宋体"/>
          <w:b/>
          <w:color w:val="auto"/>
          <w:kern w:val="0"/>
          <w:szCs w:val="20"/>
        </w:rPr>
        <w:t>1.</w:t>
      </w:r>
      <w:r>
        <w:rPr>
          <w:rFonts w:hint="eastAsia" w:ascii="宋体" w:hAnsi="宋体"/>
          <w:b/>
          <w:color w:val="auto"/>
          <w:kern w:val="0"/>
          <w:szCs w:val="20"/>
        </w:rPr>
        <w:t>3</w:t>
      </w:r>
      <w:r>
        <w:rPr>
          <w:rFonts w:ascii="宋体" w:hAnsi="宋体"/>
          <w:b/>
          <w:color w:val="auto"/>
          <w:kern w:val="0"/>
          <w:szCs w:val="20"/>
        </w:rPr>
        <w:t>.1.</w:t>
      </w:r>
      <w:r>
        <w:rPr>
          <w:rFonts w:hint="eastAsia" w:ascii="宋体" w:hAnsi="宋体"/>
          <w:b/>
          <w:color w:val="auto"/>
          <w:kern w:val="0"/>
          <w:szCs w:val="20"/>
        </w:rPr>
        <w:t>1</w:t>
      </w:r>
      <w:r>
        <w:rPr>
          <w:b/>
          <w:bCs/>
          <w:color w:val="auto"/>
          <w:szCs w:val="28"/>
        </w:rPr>
        <w:t>法律</w:t>
      </w:r>
    </w:p>
    <w:p>
      <w:pPr>
        <w:spacing w:line="360" w:lineRule="auto"/>
        <w:ind w:firstLine="600"/>
        <w:rPr>
          <w:color w:val="auto"/>
          <w:spacing w:val="10"/>
          <w:kern w:val="0"/>
          <w:szCs w:val="28"/>
        </w:rPr>
      </w:pPr>
      <w:r>
        <w:rPr>
          <w:rFonts w:hint="eastAsia"/>
          <w:color w:val="auto"/>
          <w:spacing w:val="10"/>
          <w:kern w:val="0"/>
          <w:szCs w:val="28"/>
        </w:rPr>
        <w:t>（1）《中华人民共和国矿山安全法》（已由2009年8月27日由中华人民共和国第十一届全国人民代表大会常务委员会第十次会议通过《全国人民代表大会常务委员会关于修改部分法律的决定》，其中对《中华人民共和国矿山安全法》的部分条款进行了修订，自2009年8月27日起施行）；</w:t>
      </w:r>
    </w:p>
    <w:p>
      <w:pPr>
        <w:spacing w:line="360" w:lineRule="auto"/>
        <w:ind w:firstLine="560"/>
        <w:jc w:val="left"/>
        <w:rPr>
          <w:rFonts w:ascii="宋体" w:hAnsi="宋体"/>
          <w:color w:val="auto"/>
        </w:rPr>
      </w:pPr>
      <w:r>
        <w:rPr>
          <w:rFonts w:hint="eastAsia" w:ascii="宋体" w:hAnsi="宋体"/>
          <w:color w:val="auto"/>
        </w:rPr>
        <w:t>（2）《中华人民共和国矿产资源法》（根据2009年08月27日第十一届全国人民代表大会常务委员会第十次会议《全国人民代表大会常务委员会关于修改部分法律的决定》第二次修正，2009年08月27日实施）；</w:t>
      </w:r>
    </w:p>
    <w:p>
      <w:pPr>
        <w:spacing w:line="360" w:lineRule="auto"/>
        <w:ind w:firstLine="560"/>
        <w:jc w:val="left"/>
        <w:rPr>
          <w:rFonts w:ascii="宋体" w:hAnsi="宋体"/>
          <w:color w:val="auto"/>
        </w:rPr>
      </w:pPr>
      <w:r>
        <w:rPr>
          <w:rFonts w:hint="eastAsia" w:ascii="宋体" w:hAnsi="宋体"/>
          <w:color w:val="auto"/>
        </w:rPr>
        <w:t>（3）《中华人民共和国水土保持法》（中华人民共和国主席令第三十九号，2010年12月25日第十一届全国人民代表大会常务委员会第十八次会议修订，自2011年3月1日起施行）；</w:t>
      </w:r>
    </w:p>
    <w:p>
      <w:pPr>
        <w:spacing w:line="360" w:lineRule="auto"/>
        <w:ind w:firstLine="560"/>
        <w:jc w:val="left"/>
        <w:rPr>
          <w:rFonts w:ascii="宋体" w:hAnsi="宋体"/>
          <w:color w:val="auto"/>
        </w:rPr>
      </w:pPr>
      <w:r>
        <w:rPr>
          <w:rFonts w:hint="eastAsia" w:ascii="宋体" w:hAnsi="宋体"/>
          <w:color w:val="auto"/>
        </w:rPr>
        <w:t>（4）《中华人民共和国特种设备安全法》主席令第</w:t>
      </w:r>
      <w:r>
        <w:rPr>
          <w:rFonts w:ascii="宋体" w:hAnsi="宋体"/>
          <w:color w:val="auto"/>
        </w:rPr>
        <w:t>4</w:t>
      </w:r>
      <w:r>
        <w:rPr>
          <w:rFonts w:hint="eastAsia" w:ascii="宋体" w:hAnsi="宋体"/>
          <w:color w:val="auto"/>
        </w:rPr>
        <w:t>号</w:t>
      </w:r>
      <w:r>
        <w:rPr>
          <w:rFonts w:ascii="宋体" w:hAnsi="宋体"/>
          <w:color w:val="auto"/>
        </w:rPr>
        <w:t>, 2014</w:t>
      </w:r>
      <w:r>
        <w:rPr>
          <w:rFonts w:hint="eastAsia" w:ascii="宋体" w:hAnsi="宋体"/>
          <w:color w:val="auto"/>
        </w:rPr>
        <w:t>年</w:t>
      </w:r>
      <w:r>
        <w:rPr>
          <w:rFonts w:ascii="宋体" w:hAnsi="宋体"/>
          <w:color w:val="auto"/>
        </w:rPr>
        <w:t>1</w:t>
      </w:r>
      <w:r>
        <w:rPr>
          <w:rFonts w:hint="eastAsia" w:ascii="宋体" w:hAnsi="宋体"/>
          <w:color w:val="auto"/>
        </w:rPr>
        <w:t>月</w:t>
      </w:r>
      <w:r>
        <w:rPr>
          <w:rFonts w:ascii="宋体" w:hAnsi="宋体"/>
          <w:color w:val="auto"/>
        </w:rPr>
        <w:t>1</w:t>
      </w:r>
      <w:r>
        <w:rPr>
          <w:rFonts w:hint="eastAsia" w:ascii="宋体" w:hAnsi="宋体"/>
          <w:color w:val="auto"/>
        </w:rPr>
        <w:t>日起施行；</w:t>
      </w:r>
    </w:p>
    <w:p>
      <w:pPr>
        <w:spacing w:line="360" w:lineRule="auto"/>
        <w:ind w:firstLine="560"/>
        <w:jc w:val="left"/>
        <w:rPr>
          <w:rFonts w:ascii="宋体" w:hAnsi="宋体"/>
          <w:color w:val="auto"/>
        </w:rPr>
      </w:pPr>
      <w:r>
        <w:rPr>
          <w:rFonts w:hint="eastAsia" w:ascii="宋体" w:hAnsi="宋体"/>
          <w:color w:val="auto"/>
        </w:rPr>
        <w:t>（5）《中华人民共和国安全生产法》（中华人民共和国主席令第13号，2002年6月29日第九届全国人民代表大会常务委员会第二十八次会议通过2002年6月29日中华人民共和国主席令第七十号公布，自2002年11月1日起施行，根据2014年8月31日第十二届全国人民代表大会常务委员会关于修改《中华人民共和国安全生产法》的决定修正自2014年12月1日起施行）,《全国人民代表大会常务委员会关于修改〈中华人民共和国安全生产法〉的决定》已由中华人民共和国第十三届全国人民代表大会常务委员会第二十九次会议于2021年6月10日通过，现予公布，自2021年9月1日起施行；</w:t>
      </w:r>
    </w:p>
    <w:p>
      <w:pPr>
        <w:spacing w:line="360" w:lineRule="auto"/>
        <w:ind w:firstLine="560"/>
        <w:jc w:val="left"/>
        <w:rPr>
          <w:rFonts w:ascii="宋体" w:hAnsi="宋体"/>
          <w:color w:val="auto"/>
        </w:rPr>
      </w:pPr>
      <w:r>
        <w:rPr>
          <w:rFonts w:hint="eastAsia" w:ascii="宋体" w:hAnsi="宋体"/>
          <w:color w:val="auto"/>
        </w:rPr>
        <w:t>（6）《中华人民共和国环境保护法》（中华人民共和国第十二届全国人民代表大会常务委员会第八次会议于2014年4月24日修订通过，自2015年1月1日起施行）；</w:t>
      </w:r>
    </w:p>
    <w:p>
      <w:pPr>
        <w:spacing w:line="360" w:lineRule="auto"/>
        <w:ind w:firstLine="560"/>
        <w:jc w:val="left"/>
        <w:rPr>
          <w:rFonts w:ascii="宋体" w:hAnsi="宋体"/>
          <w:color w:val="auto"/>
        </w:rPr>
      </w:pPr>
      <w:r>
        <w:rPr>
          <w:rFonts w:hint="eastAsia" w:ascii="宋体" w:hAnsi="宋体"/>
          <w:color w:val="auto"/>
        </w:rPr>
        <w:t>（7）《中华人民共和国气象法》主席令第</w:t>
      </w:r>
      <w:r>
        <w:rPr>
          <w:rFonts w:ascii="宋体" w:hAnsi="宋体"/>
          <w:color w:val="auto"/>
        </w:rPr>
        <w:t>23</w:t>
      </w:r>
      <w:r>
        <w:rPr>
          <w:rFonts w:hint="eastAsia" w:ascii="宋体" w:hAnsi="宋体"/>
          <w:color w:val="auto"/>
        </w:rPr>
        <w:t>号(十二届全国大人24次会议修正)，</w:t>
      </w:r>
      <w:r>
        <w:rPr>
          <w:rFonts w:ascii="宋体" w:hAnsi="宋体"/>
          <w:color w:val="auto"/>
        </w:rPr>
        <w:t>201</w:t>
      </w:r>
      <w:r>
        <w:rPr>
          <w:rFonts w:hint="eastAsia" w:ascii="宋体" w:hAnsi="宋体"/>
          <w:color w:val="auto"/>
        </w:rPr>
        <w:t>6年11月7日起施行。</w:t>
      </w:r>
    </w:p>
    <w:p>
      <w:pPr>
        <w:spacing w:line="360" w:lineRule="auto"/>
        <w:ind w:firstLine="560"/>
        <w:jc w:val="left"/>
        <w:rPr>
          <w:rFonts w:ascii="宋体" w:hAnsi="宋体"/>
          <w:color w:val="auto"/>
        </w:rPr>
      </w:pPr>
      <w:r>
        <w:rPr>
          <w:rFonts w:hint="eastAsia" w:ascii="宋体" w:hAnsi="宋体"/>
          <w:color w:val="auto"/>
        </w:rPr>
        <w:t>（8）《中华人民共和国职业病防治法》（根据2018年12月29日第十三届全国人民代表大会常务委员会第七次会议《关于修改等七部法律的决定》第四次修正，自2018年12月29日起施行）。</w:t>
      </w:r>
    </w:p>
    <w:p>
      <w:pPr>
        <w:spacing w:line="360" w:lineRule="auto"/>
        <w:ind w:firstLine="560"/>
        <w:jc w:val="left"/>
        <w:rPr>
          <w:rFonts w:ascii="宋体" w:hAnsi="宋体"/>
          <w:color w:val="auto"/>
        </w:rPr>
      </w:pPr>
      <w:r>
        <w:rPr>
          <w:rFonts w:hint="eastAsia" w:ascii="宋体" w:hAnsi="宋体"/>
          <w:color w:val="auto"/>
        </w:rPr>
        <w:t>（9）《中华人民共和国劳动法》主席令第24号，2018年12月29日起施行；</w:t>
      </w:r>
    </w:p>
    <w:p>
      <w:pPr>
        <w:spacing w:line="360" w:lineRule="auto"/>
        <w:ind w:firstLine="560"/>
        <w:jc w:val="left"/>
        <w:rPr>
          <w:rFonts w:ascii="宋体" w:hAnsi="宋体"/>
          <w:color w:val="auto"/>
        </w:rPr>
      </w:pPr>
      <w:r>
        <w:rPr>
          <w:rFonts w:hint="eastAsia" w:ascii="宋体" w:hAnsi="宋体"/>
          <w:color w:val="auto"/>
        </w:rPr>
        <w:t>（10）《中华人民共和国消防法》主席令第81号（</w:t>
      </w:r>
      <w:r>
        <w:rPr>
          <w:rFonts w:ascii="宋体" w:hAnsi="宋体"/>
          <w:color w:val="auto"/>
        </w:rPr>
        <w:t>中华人民共和国第十三届全国人民代表大会常务委员会第二十八次会议于</w:t>
      </w:r>
      <w:r>
        <w:rPr>
          <w:rFonts w:hint="eastAsia" w:ascii="宋体" w:hAnsi="宋体"/>
          <w:color w:val="auto"/>
        </w:rPr>
        <w:t>2020年3月</w:t>
      </w:r>
      <w:r>
        <w:rPr>
          <w:rFonts w:ascii="宋体" w:hAnsi="宋体"/>
          <w:color w:val="auto"/>
        </w:rPr>
        <w:t>29日通过，对《中华人民共和国消防法》进行修改</w:t>
      </w:r>
      <w:r>
        <w:rPr>
          <w:rFonts w:hint="eastAsia" w:ascii="宋体" w:hAnsi="宋体"/>
          <w:color w:val="auto"/>
        </w:rPr>
        <w:t>）</w:t>
      </w:r>
      <w:r>
        <w:rPr>
          <w:rFonts w:ascii="宋体" w:hAnsi="宋体"/>
          <w:color w:val="auto"/>
        </w:rPr>
        <w:t>,</w:t>
      </w:r>
      <w:r>
        <w:rPr>
          <w:rFonts w:hint="eastAsia" w:ascii="宋体" w:hAnsi="宋体"/>
          <w:color w:val="auto"/>
        </w:rPr>
        <w:t>2020年3月29日起施行；</w:t>
      </w:r>
    </w:p>
    <w:p>
      <w:pPr>
        <w:spacing w:line="360" w:lineRule="auto"/>
        <w:ind w:firstLine="560"/>
        <w:jc w:val="left"/>
        <w:rPr>
          <w:rFonts w:ascii="宋体" w:hAnsi="宋体"/>
          <w:color w:val="auto"/>
        </w:rPr>
      </w:pPr>
      <w:r>
        <w:rPr>
          <w:rFonts w:hint="eastAsia" w:ascii="宋体" w:hAnsi="宋体"/>
          <w:color w:val="auto"/>
        </w:rPr>
        <w:t>（1</w:t>
      </w:r>
      <w:r>
        <w:rPr>
          <w:rFonts w:ascii="宋体" w:hAnsi="宋体"/>
          <w:color w:val="auto"/>
        </w:rPr>
        <w:t>1</w:t>
      </w:r>
      <w:r>
        <w:rPr>
          <w:rFonts w:hint="eastAsia" w:ascii="宋体" w:hAnsi="宋体"/>
          <w:color w:val="auto"/>
        </w:rPr>
        <w:t>）《中华人民共和国固体废物污染环境防治法》（十三届全国人大常委会第十七次会议审议通过，自2</w:t>
      </w:r>
      <w:r>
        <w:rPr>
          <w:rFonts w:ascii="宋体" w:hAnsi="宋体"/>
          <w:color w:val="auto"/>
        </w:rPr>
        <w:t>020</w:t>
      </w:r>
      <w:r>
        <w:rPr>
          <w:rFonts w:hint="eastAsia" w:ascii="宋体" w:hAnsi="宋体"/>
          <w:color w:val="auto"/>
        </w:rPr>
        <w:t>年9月1日起施行）；</w:t>
      </w:r>
    </w:p>
    <w:p>
      <w:pPr>
        <w:spacing w:line="360" w:lineRule="auto"/>
        <w:ind w:firstLine="560"/>
        <w:jc w:val="left"/>
        <w:rPr>
          <w:rFonts w:ascii="宋体" w:hAnsi="宋体"/>
          <w:color w:val="auto"/>
        </w:rPr>
      </w:pPr>
      <w:bookmarkStart w:id="25" w:name="_Toc4511"/>
      <w:r>
        <w:rPr>
          <w:rFonts w:hint="eastAsia" w:ascii="宋体" w:hAnsi="宋体"/>
          <w:color w:val="auto"/>
        </w:rPr>
        <w:t>（1</w:t>
      </w:r>
      <w:r>
        <w:rPr>
          <w:rFonts w:ascii="宋体" w:hAnsi="宋体"/>
          <w:color w:val="auto"/>
        </w:rPr>
        <w:t>2</w:t>
      </w:r>
      <w:r>
        <w:rPr>
          <w:rFonts w:hint="eastAsia" w:ascii="宋体" w:hAnsi="宋体"/>
          <w:color w:val="auto"/>
        </w:rPr>
        <w:t>）</w:t>
      </w:r>
      <w:r>
        <w:rPr>
          <w:rFonts w:ascii="宋体" w:hAnsi="宋体"/>
          <w:color w:val="auto"/>
        </w:rPr>
        <w:t>《中华人民共和国防震减灾法》</w:t>
      </w:r>
      <w:r>
        <w:rPr>
          <w:rFonts w:hint="eastAsia" w:ascii="宋体" w:hAnsi="宋体"/>
          <w:color w:val="auto"/>
        </w:rPr>
        <w:t>（第八届全国人民代表大会常务委员会第二十九次会议通过，1</w:t>
      </w:r>
      <w:r>
        <w:rPr>
          <w:rFonts w:ascii="宋体" w:hAnsi="宋体"/>
          <w:color w:val="auto"/>
        </w:rPr>
        <w:t>998</w:t>
      </w:r>
      <w:r>
        <w:rPr>
          <w:rFonts w:hint="eastAsia" w:ascii="宋体" w:hAnsi="宋体"/>
          <w:color w:val="auto"/>
        </w:rPr>
        <w:t>年3月1日起施行）。</w:t>
      </w:r>
    </w:p>
    <w:p>
      <w:pPr>
        <w:spacing w:line="360" w:lineRule="auto"/>
        <w:ind w:firstLine="0" w:firstLineChars="0"/>
        <w:jc w:val="left"/>
        <w:rPr>
          <w:rFonts w:ascii="宋体" w:hAnsi="宋体"/>
          <w:b/>
          <w:color w:val="auto"/>
          <w:kern w:val="0"/>
          <w:szCs w:val="20"/>
        </w:rPr>
      </w:pPr>
      <w:r>
        <w:rPr>
          <w:rFonts w:ascii="宋体" w:hAnsi="宋体"/>
          <w:b/>
          <w:color w:val="auto"/>
          <w:kern w:val="0"/>
          <w:szCs w:val="20"/>
        </w:rPr>
        <w:t>1.</w:t>
      </w:r>
      <w:r>
        <w:rPr>
          <w:rFonts w:hint="eastAsia" w:ascii="宋体" w:hAnsi="宋体"/>
          <w:b/>
          <w:color w:val="auto"/>
          <w:kern w:val="0"/>
          <w:szCs w:val="20"/>
        </w:rPr>
        <w:t>3</w:t>
      </w:r>
      <w:r>
        <w:rPr>
          <w:rFonts w:ascii="宋体" w:hAnsi="宋体"/>
          <w:b/>
          <w:color w:val="auto"/>
          <w:kern w:val="0"/>
          <w:szCs w:val="20"/>
        </w:rPr>
        <w:t xml:space="preserve">.1.2 </w:t>
      </w:r>
      <w:r>
        <w:rPr>
          <w:rFonts w:hint="eastAsia" w:ascii="宋体" w:hAnsi="宋体"/>
          <w:b/>
          <w:color w:val="auto"/>
          <w:kern w:val="0"/>
          <w:szCs w:val="20"/>
        </w:rPr>
        <w:t>行政法规</w:t>
      </w:r>
    </w:p>
    <w:p>
      <w:pPr>
        <w:spacing w:line="360" w:lineRule="auto"/>
        <w:ind w:firstLine="560"/>
        <w:jc w:val="left"/>
        <w:rPr>
          <w:rFonts w:ascii="宋体" w:hAnsi="宋体"/>
          <w:color w:val="auto"/>
        </w:rPr>
      </w:pPr>
      <w:r>
        <w:rPr>
          <w:rFonts w:hint="eastAsia" w:ascii="宋体" w:hAnsi="宋体"/>
          <w:color w:val="auto"/>
        </w:rPr>
        <w:t>（1）《特种设备安全监察条例》（中华人民共和国国务院令第549号，自2009年5月1日起施行）；</w:t>
      </w:r>
    </w:p>
    <w:p>
      <w:pPr>
        <w:spacing w:line="360" w:lineRule="auto"/>
        <w:ind w:firstLine="560"/>
        <w:jc w:val="left"/>
        <w:rPr>
          <w:rFonts w:ascii="宋体" w:hAnsi="宋体"/>
          <w:color w:val="auto"/>
        </w:rPr>
      </w:pPr>
      <w:r>
        <w:rPr>
          <w:rFonts w:hint="eastAsia" w:ascii="宋体" w:hAnsi="宋体"/>
          <w:color w:val="auto"/>
        </w:rPr>
        <w:t>（2）《工伤保险条例》（中华人民共和国国务院令第586号，自2011年1月1日起施行）；</w:t>
      </w:r>
    </w:p>
    <w:p>
      <w:pPr>
        <w:spacing w:line="360" w:lineRule="auto"/>
        <w:ind w:firstLine="560"/>
        <w:jc w:val="left"/>
        <w:rPr>
          <w:rFonts w:ascii="宋体" w:hAnsi="宋体"/>
          <w:color w:val="auto"/>
        </w:rPr>
      </w:pPr>
      <w:r>
        <w:rPr>
          <w:rFonts w:hint="eastAsia" w:ascii="宋体" w:hAnsi="宋体"/>
          <w:color w:val="auto"/>
        </w:rPr>
        <w:t>（3）《安全生产许可证条例》（国务院令第397号,2004年1月13日起施行，国务院令第653号〈国务院关于修改部分行政法规的决定〉修订， 2014年7月29日施行）；</w:t>
      </w:r>
    </w:p>
    <w:p>
      <w:pPr>
        <w:spacing w:line="360" w:lineRule="auto"/>
        <w:ind w:firstLine="560"/>
        <w:jc w:val="left"/>
        <w:rPr>
          <w:rFonts w:ascii="宋体" w:hAnsi="宋体"/>
          <w:color w:val="auto"/>
        </w:rPr>
      </w:pPr>
      <w:r>
        <w:rPr>
          <w:rFonts w:hint="eastAsia" w:ascii="宋体" w:hAnsi="宋体"/>
          <w:color w:val="auto"/>
        </w:rPr>
        <w:t>（4）《地质灾害防治条例》（国务院令第3</w:t>
      </w:r>
      <w:r>
        <w:rPr>
          <w:rFonts w:ascii="宋体" w:hAnsi="宋体"/>
          <w:color w:val="auto"/>
        </w:rPr>
        <w:t>94</w:t>
      </w:r>
      <w:r>
        <w:rPr>
          <w:rFonts w:hint="eastAsia" w:ascii="宋体" w:hAnsi="宋体"/>
          <w:color w:val="auto"/>
        </w:rPr>
        <w:t>号，自2</w:t>
      </w:r>
      <w:r>
        <w:rPr>
          <w:rFonts w:ascii="宋体" w:hAnsi="宋体"/>
          <w:color w:val="auto"/>
        </w:rPr>
        <w:t>004</w:t>
      </w:r>
      <w:r>
        <w:rPr>
          <w:rFonts w:hint="eastAsia" w:ascii="宋体" w:hAnsi="宋体"/>
          <w:color w:val="auto"/>
        </w:rPr>
        <w:t>年3月1日起施行）；</w:t>
      </w:r>
    </w:p>
    <w:p>
      <w:pPr>
        <w:spacing w:line="360" w:lineRule="auto"/>
        <w:ind w:firstLine="560"/>
        <w:jc w:val="left"/>
        <w:rPr>
          <w:rFonts w:ascii="宋体" w:hAnsi="宋体"/>
          <w:color w:val="auto"/>
        </w:rPr>
      </w:pPr>
      <w:r>
        <w:rPr>
          <w:rFonts w:hint="eastAsia" w:ascii="宋体" w:hAnsi="宋体"/>
          <w:color w:val="auto"/>
        </w:rPr>
        <w:t>（5）《生产安全事故应急条例》（国务院令7</w:t>
      </w:r>
      <w:r>
        <w:rPr>
          <w:rFonts w:ascii="宋体" w:hAnsi="宋体"/>
          <w:color w:val="auto"/>
        </w:rPr>
        <w:t>08</w:t>
      </w:r>
      <w:r>
        <w:rPr>
          <w:rFonts w:hint="eastAsia" w:ascii="宋体" w:hAnsi="宋体"/>
          <w:color w:val="auto"/>
        </w:rPr>
        <w:t>号，2</w:t>
      </w:r>
      <w:r>
        <w:rPr>
          <w:rFonts w:ascii="宋体" w:hAnsi="宋体"/>
          <w:color w:val="auto"/>
        </w:rPr>
        <w:t>019</w:t>
      </w:r>
      <w:r>
        <w:rPr>
          <w:rFonts w:hint="eastAsia" w:ascii="宋体" w:hAnsi="宋体"/>
          <w:color w:val="auto"/>
        </w:rPr>
        <w:t>年4月1日起施行）。</w:t>
      </w:r>
    </w:p>
    <w:p>
      <w:pPr>
        <w:adjustRightInd w:val="0"/>
        <w:spacing w:line="360" w:lineRule="auto"/>
        <w:ind w:firstLine="0" w:firstLineChars="0"/>
        <w:jc w:val="left"/>
        <w:textAlignment w:val="baseline"/>
        <w:outlineLvl w:val="3"/>
        <w:rPr>
          <w:rFonts w:ascii="宋体" w:hAnsi="宋体"/>
          <w:b/>
          <w:color w:val="auto"/>
          <w:kern w:val="0"/>
          <w:szCs w:val="20"/>
        </w:rPr>
      </w:pPr>
      <w:r>
        <w:rPr>
          <w:rFonts w:ascii="宋体" w:hAnsi="宋体"/>
          <w:b/>
          <w:color w:val="auto"/>
          <w:kern w:val="0"/>
          <w:szCs w:val="20"/>
        </w:rPr>
        <w:t>1.</w:t>
      </w:r>
      <w:r>
        <w:rPr>
          <w:rFonts w:hint="eastAsia" w:ascii="宋体" w:hAnsi="宋体"/>
          <w:b/>
          <w:color w:val="auto"/>
          <w:kern w:val="0"/>
          <w:szCs w:val="20"/>
        </w:rPr>
        <w:t>3</w:t>
      </w:r>
      <w:r>
        <w:rPr>
          <w:rFonts w:ascii="宋体" w:hAnsi="宋体"/>
          <w:b/>
          <w:color w:val="auto"/>
          <w:kern w:val="0"/>
          <w:szCs w:val="20"/>
        </w:rPr>
        <w:t>.1.</w:t>
      </w:r>
      <w:r>
        <w:rPr>
          <w:rFonts w:hint="eastAsia" w:ascii="宋体" w:hAnsi="宋体"/>
          <w:b/>
          <w:color w:val="auto"/>
          <w:kern w:val="0"/>
          <w:szCs w:val="20"/>
        </w:rPr>
        <w:t>3部门规章</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《用人单位职业健康监护监督管理办法》（国家安全生产监督管理总局令第49号，自2012年6月1日起施行）；</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《金属非金属矿山建设项目安全设施目录（试行）》（国家安全生产监督管理总局令第75号，2015年3月16日公布，2015年7月1日起施行）。</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《建设项目安全设施“三同时”监督管理办法》（国家安全生产监督管理总局令第36号，第77号修改，自2015年5月1日起施行）；</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《非煤矿矿山企业安全生产许可证实施办法》（国家安全生产监督管理总局令第20号，第78号修改，2015年7月1日施行）；</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《非煤矿山外包工程安全管理暂行办法》（国家安全生产监督管理总局令第62号， 201</w:t>
      </w:r>
      <w:r>
        <w:rPr>
          <w:rFonts w:ascii="宋体" w:hAnsi="宋体"/>
          <w:color w:val="auto"/>
        </w:rPr>
        <w:t>3</w:t>
      </w:r>
      <w:r>
        <w:rPr>
          <w:rFonts w:hint="eastAsia" w:ascii="宋体" w:hAnsi="宋体"/>
          <w:color w:val="auto"/>
        </w:rPr>
        <w:t>年</w:t>
      </w:r>
      <w:r>
        <w:rPr>
          <w:rFonts w:ascii="宋体" w:hAnsi="宋体"/>
          <w:color w:val="auto"/>
        </w:rPr>
        <w:t>10</w:t>
      </w:r>
      <w:r>
        <w:rPr>
          <w:rFonts w:hint="eastAsia" w:ascii="宋体" w:hAnsi="宋体"/>
          <w:color w:val="auto"/>
        </w:rPr>
        <w:t>月1日施行）；</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《小型露天采石场安全管理与监督检查规定》（国家安全生产监督管理总局令第3</w:t>
      </w:r>
      <w:r>
        <w:rPr>
          <w:rFonts w:ascii="宋体" w:hAnsi="宋体"/>
          <w:color w:val="auto"/>
        </w:rPr>
        <w:t>9</w:t>
      </w:r>
      <w:r>
        <w:rPr>
          <w:rFonts w:hint="eastAsia" w:ascii="宋体" w:hAnsi="宋体"/>
          <w:color w:val="auto"/>
        </w:rPr>
        <w:t>号，2</w:t>
      </w:r>
      <w:r>
        <w:rPr>
          <w:rFonts w:ascii="宋体" w:hAnsi="宋体"/>
          <w:color w:val="auto"/>
        </w:rPr>
        <w:t>015</w:t>
      </w:r>
      <w:r>
        <w:rPr>
          <w:rFonts w:hint="eastAsia" w:ascii="宋体" w:hAnsi="宋体"/>
          <w:color w:val="auto"/>
        </w:rPr>
        <w:t>年7月1日起施行）；</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《安全生产培训管理办法》（国家安全生产监督管理总局令第44号，第80号修改，自2015年7月1日起施行）；</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《生产经营单位安全培训规定》（国家安全生产监督管理总局令3号，第80号修改，自2015年7月1日起施行）；</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《特种作业人员安全技术培训考核管理规定》（国家安全生产监督管理总局令第30号，第80号修改，自2015年7月1日起施行）；</w:t>
      </w:r>
    </w:p>
    <w:p>
      <w:pPr>
        <w:numPr>
          <w:ilvl w:val="0"/>
          <w:numId w:val="1"/>
        </w:numPr>
        <w:spacing w:line="360" w:lineRule="auto"/>
        <w:ind w:left="0" w:firstLine="1120" w:firstLineChars="400"/>
        <w:jc w:val="left"/>
        <w:rPr>
          <w:rFonts w:ascii="宋体" w:hAnsi="宋体"/>
          <w:color w:val="auto"/>
        </w:rPr>
      </w:pPr>
      <w:r>
        <w:rPr>
          <w:rFonts w:hint="eastAsia" w:ascii="宋体" w:hAnsi="宋体"/>
          <w:color w:val="auto"/>
        </w:rPr>
        <w:t>《生产安全事故应急预案管理办法》（国家安全生产监督管理总局令第17号，应急管理部2号令，自2019年9月1日起实施）。</w:t>
      </w:r>
    </w:p>
    <w:p>
      <w:pPr>
        <w:adjustRightInd w:val="0"/>
        <w:spacing w:line="360" w:lineRule="auto"/>
        <w:ind w:firstLine="0" w:firstLineChars="0"/>
        <w:jc w:val="left"/>
        <w:textAlignment w:val="baseline"/>
        <w:outlineLvl w:val="3"/>
        <w:rPr>
          <w:rFonts w:ascii="宋体" w:hAnsi="宋体"/>
          <w:b/>
          <w:color w:val="auto"/>
          <w:kern w:val="0"/>
          <w:szCs w:val="20"/>
        </w:rPr>
      </w:pPr>
      <w:r>
        <w:rPr>
          <w:rFonts w:ascii="宋体" w:hAnsi="宋体"/>
          <w:b/>
          <w:color w:val="auto"/>
          <w:kern w:val="0"/>
          <w:szCs w:val="20"/>
        </w:rPr>
        <w:t>1.</w:t>
      </w:r>
      <w:r>
        <w:rPr>
          <w:rFonts w:hint="eastAsia" w:ascii="宋体" w:hAnsi="宋体"/>
          <w:b/>
          <w:color w:val="auto"/>
          <w:kern w:val="0"/>
          <w:szCs w:val="20"/>
        </w:rPr>
        <w:t>3</w:t>
      </w:r>
      <w:r>
        <w:rPr>
          <w:rFonts w:ascii="宋体" w:hAnsi="宋体"/>
          <w:b/>
          <w:color w:val="auto"/>
          <w:kern w:val="0"/>
          <w:szCs w:val="20"/>
        </w:rPr>
        <w:t>.1.</w:t>
      </w:r>
      <w:r>
        <w:rPr>
          <w:rFonts w:hint="eastAsia" w:ascii="宋体" w:hAnsi="宋体"/>
          <w:b/>
          <w:color w:val="auto"/>
          <w:kern w:val="0"/>
          <w:szCs w:val="20"/>
        </w:rPr>
        <w:t>4地方性法规</w:t>
      </w:r>
    </w:p>
    <w:p>
      <w:pPr>
        <w:numPr>
          <w:ilvl w:val="0"/>
          <w:numId w:val="2"/>
        </w:numPr>
        <w:spacing w:line="360" w:lineRule="auto"/>
        <w:ind w:left="0" w:firstLine="1120" w:firstLineChars="400"/>
        <w:jc w:val="left"/>
        <w:rPr>
          <w:rFonts w:ascii="宋体" w:hAnsi="宋体"/>
          <w:color w:val="auto"/>
        </w:rPr>
      </w:pPr>
      <w:r>
        <w:rPr>
          <w:rFonts w:hint="eastAsia" w:ascii="宋体" w:hAnsi="宋体"/>
          <w:color w:val="auto"/>
        </w:rPr>
        <w:t>《江西省采石取土管理办法》江西省人大常委会第78号公告，自</w:t>
      </w:r>
      <w:r>
        <w:rPr>
          <w:rFonts w:ascii="宋体" w:hAnsi="宋体"/>
          <w:color w:val="auto"/>
        </w:rPr>
        <w:t>20</w:t>
      </w:r>
      <w:r>
        <w:rPr>
          <w:rFonts w:hint="eastAsia" w:ascii="宋体" w:hAnsi="宋体"/>
          <w:color w:val="auto"/>
        </w:rPr>
        <w:t>06年11月1日起施行；</w:t>
      </w:r>
    </w:p>
    <w:p>
      <w:pPr>
        <w:numPr>
          <w:ilvl w:val="0"/>
          <w:numId w:val="2"/>
        </w:numPr>
        <w:spacing w:line="360" w:lineRule="auto"/>
        <w:ind w:left="0" w:firstLine="1120" w:firstLineChars="400"/>
        <w:jc w:val="left"/>
        <w:rPr>
          <w:rFonts w:ascii="宋体" w:hAnsi="宋体"/>
          <w:color w:val="auto"/>
        </w:rPr>
      </w:pPr>
      <w:r>
        <w:rPr>
          <w:rFonts w:hint="eastAsia" w:ascii="宋体" w:hAnsi="宋体"/>
          <w:color w:val="auto"/>
        </w:rPr>
        <w:t>江西省实施《中华人民共和国矿山安全法》办法，1994年10月24日江西省第八届人民代表大会常务委员会第十一次会议通过，1997年4月18日江西省第八届人民代表大会常务委员会第二十七次会议第一次修正，2010年9月17日江西省第十一届人民代表大会常务委员会第十八次会议第二次修正。</w:t>
      </w:r>
    </w:p>
    <w:p>
      <w:pPr>
        <w:spacing w:line="360" w:lineRule="auto"/>
        <w:ind w:firstLine="560"/>
        <w:jc w:val="left"/>
        <w:rPr>
          <w:rFonts w:ascii="宋体" w:hAnsi="宋体"/>
          <w:color w:val="auto"/>
        </w:rPr>
      </w:pPr>
      <w:r>
        <w:rPr>
          <w:rFonts w:hint="eastAsia" w:ascii="宋体" w:hAnsi="宋体"/>
          <w:color w:val="auto"/>
        </w:rPr>
        <w:t>（3）《江西省矿产资源管理条例》江西省人民代表大会常务委员会公告第64号，自2015年7月1日起施行；</w:t>
      </w:r>
    </w:p>
    <w:p>
      <w:pPr>
        <w:spacing w:line="360" w:lineRule="auto"/>
        <w:ind w:firstLine="560"/>
        <w:jc w:val="left"/>
        <w:rPr>
          <w:rFonts w:ascii="宋体" w:hAnsi="宋体"/>
          <w:color w:val="auto"/>
        </w:rPr>
      </w:pPr>
      <w:r>
        <w:rPr>
          <w:rFonts w:hint="eastAsia" w:ascii="宋体" w:hAnsi="宋体"/>
          <w:color w:val="auto"/>
        </w:rPr>
        <w:t>（4）《江西省安全生产条例》江西省人大常委会第95号公告，江西省第十二届人民代表大会常务委员会第三十四次会议修订，2017年10月1日施行。</w:t>
      </w:r>
    </w:p>
    <w:p>
      <w:pPr>
        <w:adjustRightInd w:val="0"/>
        <w:spacing w:line="360" w:lineRule="auto"/>
        <w:ind w:firstLine="0" w:firstLineChars="0"/>
        <w:jc w:val="left"/>
        <w:textAlignment w:val="baseline"/>
        <w:outlineLvl w:val="3"/>
        <w:rPr>
          <w:rFonts w:ascii="宋体" w:hAnsi="宋体"/>
          <w:b/>
          <w:color w:val="auto"/>
          <w:kern w:val="0"/>
          <w:szCs w:val="20"/>
        </w:rPr>
      </w:pPr>
      <w:r>
        <w:rPr>
          <w:rFonts w:ascii="宋体" w:hAnsi="宋体"/>
          <w:b/>
          <w:color w:val="auto"/>
          <w:kern w:val="0"/>
          <w:szCs w:val="20"/>
        </w:rPr>
        <w:t>1.</w:t>
      </w:r>
      <w:r>
        <w:rPr>
          <w:rFonts w:hint="eastAsia" w:ascii="宋体" w:hAnsi="宋体"/>
          <w:b/>
          <w:color w:val="auto"/>
          <w:kern w:val="0"/>
          <w:szCs w:val="20"/>
        </w:rPr>
        <w:t>3</w:t>
      </w:r>
      <w:r>
        <w:rPr>
          <w:rFonts w:ascii="宋体" w:hAnsi="宋体"/>
          <w:b/>
          <w:color w:val="auto"/>
          <w:kern w:val="0"/>
          <w:szCs w:val="20"/>
        </w:rPr>
        <w:t>.1.</w:t>
      </w:r>
      <w:r>
        <w:rPr>
          <w:rFonts w:hint="eastAsia" w:ascii="宋体" w:hAnsi="宋体"/>
          <w:b/>
          <w:color w:val="auto"/>
          <w:kern w:val="0"/>
          <w:szCs w:val="20"/>
        </w:rPr>
        <w:t>5地方政府规章</w:t>
      </w:r>
    </w:p>
    <w:p>
      <w:pPr>
        <w:spacing w:line="360" w:lineRule="auto"/>
        <w:ind w:firstLine="560"/>
        <w:jc w:val="left"/>
        <w:rPr>
          <w:rFonts w:ascii="宋体" w:hAnsi="宋体"/>
          <w:color w:val="auto"/>
        </w:rPr>
      </w:pPr>
      <w:r>
        <w:rPr>
          <w:rFonts w:hint="eastAsia" w:ascii="宋体" w:hAnsi="宋体"/>
          <w:color w:val="auto"/>
        </w:rPr>
        <w:t>（1）《江西省非煤矿矿山企业安全生产许可证实施办法》江西省人民政府令第189号,自2011年3月1日起施行；</w:t>
      </w:r>
    </w:p>
    <w:p>
      <w:pPr>
        <w:spacing w:line="360" w:lineRule="auto"/>
        <w:ind w:firstLine="560"/>
        <w:jc w:val="left"/>
        <w:rPr>
          <w:b/>
          <w:bCs/>
          <w:color w:val="auto"/>
        </w:rPr>
      </w:pPr>
      <w:r>
        <w:rPr>
          <w:rFonts w:hint="eastAsia" w:ascii="宋体" w:hAnsi="宋体"/>
          <w:color w:val="auto"/>
        </w:rPr>
        <w:t>（2）《江西省生产安全事故隐患排查治理办法》（江西省人民政府令第250号修订,自2021年6月9日起施行）。</w:t>
      </w:r>
    </w:p>
    <w:p>
      <w:pPr>
        <w:adjustRightInd w:val="0"/>
        <w:spacing w:line="360" w:lineRule="auto"/>
        <w:ind w:firstLine="0" w:firstLineChars="0"/>
        <w:jc w:val="left"/>
        <w:textAlignment w:val="baseline"/>
        <w:outlineLvl w:val="3"/>
        <w:rPr>
          <w:rFonts w:ascii="宋体" w:hAnsi="宋体"/>
          <w:b/>
          <w:color w:val="auto"/>
          <w:kern w:val="0"/>
          <w:szCs w:val="20"/>
        </w:rPr>
      </w:pPr>
      <w:r>
        <w:rPr>
          <w:rFonts w:ascii="宋体" w:hAnsi="宋体"/>
          <w:b/>
          <w:color w:val="auto"/>
          <w:kern w:val="0"/>
          <w:szCs w:val="20"/>
        </w:rPr>
        <w:t>1.</w:t>
      </w:r>
      <w:r>
        <w:rPr>
          <w:rFonts w:hint="eastAsia" w:ascii="宋体" w:hAnsi="宋体"/>
          <w:b/>
          <w:color w:val="auto"/>
          <w:kern w:val="0"/>
          <w:szCs w:val="20"/>
        </w:rPr>
        <w:t>3</w:t>
      </w:r>
      <w:r>
        <w:rPr>
          <w:rFonts w:ascii="宋体" w:hAnsi="宋体"/>
          <w:b/>
          <w:color w:val="auto"/>
          <w:kern w:val="0"/>
          <w:szCs w:val="20"/>
        </w:rPr>
        <w:t>.1.</w:t>
      </w:r>
      <w:r>
        <w:rPr>
          <w:rFonts w:hint="eastAsia" w:ascii="宋体" w:hAnsi="宋体"/>
          <w:b/>
          <w:color w:val="auto"/>
          <w:kern w:val="0"/>
          <w:szCs w:val="20"/>
        </w:rPr>
        <w:t>6规范性文件</w:t>
      </w:r>
    </w:p>
    <w:p>
      <w:pPr>
        <w:spacing w:line="360" w:lineRule="auto"/>
        <w:ind w:firstLine="560"/>
        <w:jc w:val="left"/>
        <w:rPr>
          <w:rFonts w:ascii="宋体" w:hAnsi="宋体"/>
          <w:color w:val="auto"/>
        </w:rPr>
      </w:pPr>
      <w:r>
        <w:rPr>
          <w:rFonts w:hint="eastAsia" w:ascii="宋体" w:hAnsi="宋体"/>
          <w:color w:val="auto"/>
        </w:rPr>
        <w:t>（1）《关于进一步加强非煤矿山安全检测检验工作的通知》赣安监管一字[2008]84号，自</w:t>
      </w:r>
      <w:r>
        <w:rPr>
          <w:rFonts w:ascii="宋体" w:hAnsi="宋体"/>
          <w:color w:val="auto"/>
        </w:rPr>
        <w:t>20</w:t>
      </w:r>
      <w:r>
        <w:rPr>
          <w:rFonts w:hint="eastAsia" w:ascii="宋体" w:hAnsi="宋体"/>
          <w:color w:val="auto"/>
        </w:rPr>
        <w:t>08年4月</w:t>
      </w:r>
      <w:r>
        <w:rPr>
          <w:rFonts w:ascii="宋体" w:hAnsi="宋体"/>
          <w:color w:val="auto"/>
        </w:rPr>
        <w:t>1</w:t>
      </w:r>
      <w:r>
        <w:rPr>
          <w:rFonts w:hint="eastAsia" w:ascii="宋体" w:hAnsi="宋体"/>
          <w:color w:val="auto"/>
        </w:rPr>
        <w:t>4日起施行；</w:t>
      </w:r>
    </w:p>
    <w:p>
      <w:pPr>
        <w:spacing w:line="360" w:lineRule="auto"/>
        <w:ind w:firstLine="560"/>
        <w:jc w:val="left"/>
        <w:rPr>
          <w:rFonts w:ascii="宋体" w:hAnsi="宋体"/>
          <w:color w:val="auto"/>
        </w:rPr>
      </w:pPr>
      <w:r>
        <w:rPr>
          <w:rFonts w:hint="eastAsia" w:ascii="宋体" w:hAnsi="宋体"/>
          <w:color w:val="auto"/>
        </w:rPr>
        <w:t>（2）《国务院安委会办公室关于贯彻落实〈国务院关于进一步加强企业安全生产工作的通知〉精神进一步加强非煤矿山安全生产工作的实施意见》（2010年8月27日，国务院安全生产委员会办公室，安委办〔2010〕17号）；</w:t>
      </w:r>
    </w:p>
    <w:p>
      <w:pPr>
        <w:spacing w:line="360" w:lineRule="auto"/>
        <w:ind w:firstLine="560"/>
        <w:jc w:val="left"/>
        <w:rPr>
          <w:rFonts w:ascii="宋体" w:hAnsi="宋体"/>
          <w:color w:val="auto"/>
        </w:rPr>
      </w:pPr>
      <w:r>
        <w:rPr>
          <w:rFonts w:hint="eastAsia" w:ascii="宋体" w:hAnsi="宋体"/>
          <w:color w:val="auto"/>
        </w:rPr>
        <w:t>（3）《关于在全省推行非煤矿山企业安全生产责任保险工作的通知》赣安监管[2011]23号，自</w:t>
      </w:r>
      <w:r>
        <w:rPr>
          <w:rFonts w:ascii="宋体" w:hAnsi="宋体"/>
          <w:color w:val="auto"/>
        </w:rPr>
        <w:t>2011</w:t>
      </w:r>
      <w:r>
        <w:rPr>
          <w:rFonts w:hint="eastAsia" w:ascii="宋体" w:hAnsi="宋体"/>
          <w:color w:val="auto"/>
        </w:rPr>
        <w:t>年</w:t>
      </w:r>
      <w:r>
        <w:rPr>
          <w:rFonts w:ascii="宋体" w:hAnsi="宋体"/>
          <w:color w:val="auto"/>
        </w:rPr>
        <w:t>1</w:t>
      </w:r>
      <w:r>
        <w:rPr>
          <w:rFonts w:hint="eastAsia" w:ascii="宋体" w:hAnsi="宋体"/>
          <w:color w:val="auto"/>
        </w:rPr>
        <w:t>月28日起施行；</w:t>
      </w:r>
    </w:p>
    <w:p>
      <w:pPr>
        <w:spacing w:line="360" w:lineRule="auto"/>
        <w:ind w:firstLine="560"/>
        <w:jc w:val="left"/>
        <w:rPr>
          <w:rFonts w:ascii="宋体" w:hAnsi="宋体"/>
          <w:color w:val="auto"/>
        </w:rPr>
      </w:pPr>
      <w:r>
        <w:rPr>
          <w:rFonts w:hint="eastAsia" w:ascii="宋体" w:hAnsi="宋体"/>
          <w:color w:val="auto"/>
        </w:rPr>
        <w:t>（4）《企业安全生产费用提取和使用管理办法》（财政部，应急部，财资〔20</w:t>
      </w:r>
      <w:r>
        <w:rPr>
          <w:rFonts w:ascii="宋体" w:hAnsi="宋体"/>
          <w:color w:val="auto"/>
        </w:rPr>
        <w:t>22</w:t>
      </w:r>
      <w:r>
        <w:rPr>
          <w:rFonts w:hint="eastAsia" w:ascii="宋体" w:hAnsi="宋体"/>
          <w:color w:val="auto"/>
        </w:rPr>
        <w:t>〕1</w:t>
      </w:r>
      <w:r>
        <w:rPr>
          <w:rFonts w:ascii="宋体" w:hAnsi="宋体"/>
          <w:color w:val="auto"/>
        </w:rPr>
        <w:t>3</w:t>
      </w:r>
      <w:r>
        <w:rPr>
          <w:rFonts w:hint="eastAsia" w:ascii="宋体" w:hAnsi="宋体"/>
          <w:color w:val="auto"/>
        </w:rPr>
        <w:t>6号，20</w:t>
      </w:r>
      <w:r>
        <w:rPr>
          <w:rFonts w:ascii="宋体" w:hAnsi="宋体"/>
          <w:color w:val="auto"/>
        </w:rPr>
        <w:t>22</w:t>
      </w:r>
      <w:r>
        <w:rPr>
          <w:rFonts w:hint="eastAsia" w:ascii="宋体" w:hAnsi="宋体"/>
          <w:color w:val="auto"/>
        </w:rPr>
        <w:t>年</w:t>
      </w:r>
      <w:r>
        <w:rPr>
          <w:rFonts w:ascii="宋体" w:hAnsi="宋体"/>
          <w:color w:val="auto"/>
        </w:rPr>
        <w:t>11</w:t>
      </w:r>
      <w:r>
        <w:rPr>
          <w:rFonts w:hint="eastAsia" w:ascii="宋体" w:hAnsi="宋体"/>
          <w:color w:val="auto"/>
        </w:rPr>
        <w:t>月2</w:t>
      </w:r>
      <w:r>
        <w:rPr>
          <w:rFonts w:ascii="宋体" w:hAnsi="宋体"/>
          <w:color w:val="auto"/>
        </w:rPr>
        <w:t>1</w:t>
      </w:r>
      <w:r>
        <w:rPr>
          <w:rFonts w:hint="eastAsia" w:ascii="宋体" w:hAnsi="宋体"/>
          <w:color w:val="auto"/>
        </w:rPr>
        <w:t>日发布）；</w:t>
      </w:r>
    </w:p>
    <w:p>
      <w:pPr>
        <w:spacing w:line="360" w:lineRule="auto"/>
        <w:ind w:firstLine="560"/>
        <w:jc w:val="left"/>
        <w:rPr>
          <w:rFonts w:ascii="宋体" w:hAnsi="宋体"/>
          <w:color w:val="auto"/>
        </w:rPr>
      </w:pPr>
      <w:r>
        <w:rPr>
          <w:rFonts w:hint="eastAsia" w:ascii="宋体" w:hAnsi="宋体"/>
          <w:color w:val="auto"/>
        </w:rPr>
        <w:t>（5）《国家安全监管总局关于发布金属非金属矿山禁止使用的设备及工艺目录（第一批）的通知》（2013年9月6日，安监总管一〔2013〕101号）；</w:t>
      </w:r>
    </w:p>
    <w:p>
      <w:pPr>
        <w:spacing w:line="360" w:lineRule="auto"/>
        <w:ind w:firstLine="560"/>
        <w:jc w:val="left"/>
        <w:rPr>
          <w:rFonts w:ascii="宋体" w:hAnsi="宋体"/>
          <w:color w:val="auto"/>
        </w:rPr>
      </w:pPr>
      <w:r>
        <w:rPr>
          <w:rFonts w:hint="eastAsia" w:ascii="宋体" w:hAnsi="宋体"/>
          <w:color w:val="auto"/>
        </w:rPr>
        <w:t>（6）《国家安全监管总局关于发布金属非金属矿山禁止使用的设备及工艺目录（第二批）的通知》（2015年2月13日，安监总管一〔2015〕13号）；</w:t>
      </w:r>
    </w:p>
    <w:p>
      <w:pPr>
        <w:spacing w:line="360" w:lineRule="auto"/>
        <w:ind w:firstLine="560"/>
        <w:jc w:val="left"/>
        <w:rPr>
          <w:rFonts w:ascii="宋体" w:hAnsi="宋体"/>
          <w:color w:val="auto"/>
        </w:rPr>
      </w:pPr>
      <w:r>
        <w:rPr>
          <w:rFonts w:hint="eastAsia" w:ascii="宋体" w:hAnsi="宋体"/>
          <w:color w:val="auto"/>
        </w:rPr>
        <w:t>（7）国家安全监管总局关于规范金属非金属矿山建设项目安全设施竣工验收工作的通知（2016年2月5日，安监总管一〔2016〕14号）；</w:t>
      </w:r>
    </w:p>
    <w:p>
      <w:pPr>
        <w:spacing w:line="360" w:lineRule="auto"/>
        <w:ind w:firstLine="560"/>
        <w:jc w:val="left"/>
        <w:rPr>
          <w:rFonts w:ascii="宋体" w:hAnsi="宋体"/>
          <w:color w:val="auto"/>
        </w:rPr>
      </w:pPr>
      <w:r>
        <w:rPr>
          <w:rFonts w:hint="eastAsia" w:ascii="宋体" w:hAnsi="宋体"/>
          <w:color w:val="auto"/>
        </w:rPr>
        <w:t>（8）《国家安全监管总局关于印发金属非金属矿山建设项目安全设施设计重大变更范围的通知》（2016年2月17日，安监总管一〔2016〕18号）；</w:t>
      </w:r>
    </w:p>
    <w:p>
      <w:pPr>
        <w:spacing w:line="360" w:lineRule="auto"/>
        <w:ind w:firstLine="560"/>
        <w:jc w:val="left"/>
        <w:rPr>
          <w:rFonts w:ascii="宋体" w:hAnsi="宋体"/>
          <w:color w:val="auto"/>
        </w:rPr>
      </w:pPr>
      <w:r>
        <w:rPr>
          <w:rFonts w:hint="eastAsia" w:ascii="宋体" w:hAnsi="宋体"/>
          <w:color w:val="auto"/>
        </w:rPr>
        <w:t>（9）《国家安全监管总局关于印发金属非金属矿山建设项目安全评价报告编写提纲的通知》（2016年5月30日，安监总管一[2016]49号）。</w:t>
      </w:r>
    </w:p>
    <w:p>
      <w:pPr>
        <w:spacing w:line="360" w:lineRule="auto"/>
        <w:ind w:firstLine="560"/>
        <w:jc w:val="left"/>
        <w:rPr>
          <w:rFonts w:ascii="宋体" w:hAnsi="宋体"/>
          <w:color w:val="auto"/>
        </w:rPr>
      </w:pPr>
      <w:r>
        <w:rPr>
          <w:rFonts w:hint="eastAsia" w:ascii="宋体" w:hAnsi="宋体"/>
          <w:color w:val="auto"/>
        </w:rPr>
        <w:t>（10）《金属非金属矿山重大生产安全事故隐患判定标准（试行）》（矿安〔20</w:t>
      </w:r>
      <w:r>
        <w:rPr>
          <w:rFonts w:ascii="宋体" w:hAnsi="宋体"/>
          <w:color w:val="auto"/>
        </w:rPr>
        <w:t>22</w:t>
      </w:r>
      <w:r>
        <w:rPr>
          <w:rFonts w:hint="eastAsia" w:ascii="宋体" w:hAnsi="宋体"/>
          <w:color w:val="auto"/>
        </w:rPr>
        <w:t>〕</w:t>
      </w:r>
      <w:r>
        <w:rPr>
          <w:rFonts w:ascii="宋体" w:hAnsi="宋体"/>
          <w:color w:val="auto"/>
        </w:rPr>
        <w:t>8</w:t>
      </w:r>
      <w:r>
        <w:rPr>
          <w:rFonts w:hint="eastAsia" w:ascii="宋体" w:hAnsi="宋体"/>
          <w:color w:val="auto"/>
        </w:rPr>
        <w:t>8号，20</w:t>
      </w:r>
      <w:r>
        <w:rPr>
          <w:rFonts w:ascii="宋体" w:hAnsi="宋体"/>
          <w:color w:val="auto"/>
        </w:rPr>
        <w:t>22</w:t>
      </w:r>
      <w:r>
        <w:rPr>
          <w:rFonts w:hint="eastAsia" w:ascii="宋体" w:hAnsi="宋体"/>
          <w:color w:val="auto"/>
        </w:rPr>
        <w:t>年9月1日施行）；</w:t>
      </w:r>
    </w:p>
    <w:p>
      <w:pPr>
        <w:spacing w:line="360" w:lineRule="auto"/>
        <w:ind w:firstLine="560"/>
        <w:jc w:val="left"/>
        <w:rPr>
          <w:rFonts w:ascii="宋体" w:hAnsi="宋体"/>
          <w:color w:val="auto"/>
        </w:rPr>
      </w:pPr>
      <w:r>
        <w:rPr>
          <w:rFonts w:hint="eastAsia" w:ascii="宋体" w:hAnsi="宋体"/>
          <w:color w:val="auto"/>
        </w:rPr>
        <w:t>（11）《关于规范金属非金属矿山建设项目安全设施竣工验收工作的通知》 赣安监管一字［2016］44号，2016年5月20日；</w:t>
      </w:r>
    </w:p>
    <w:p>
      <w:pPr>
        <w:pStyle w:val="2"/>
        <w:ind w:left="560" w:firstLine="0" w:firstLineChars="0"/>
        <w:rPr>
          <w:rFonts w:ascii="宋体" w:hAnsi="宋体"/>
          <w:color w:val="auto"/>
          <w:sz w:val="28"/>
        </w:rPr>
      </w:pPr>
      <w:r>
        <w:rPr>
          <w:rFonts w:hint="eastAsia" w:ascii="宋体" w:hAnsi="宋体"/>
          <w:color w:val="auto"/>
          <w:sz w:val="28"/>
        </w:rPr>
        <w:t>（12）《国家矿山安全监察局关于印发&lt;关于加强非煤矿山安全生产工作的指导意见&gt;》 矿安【2022】4号文 2022年2月8日</w:t>
      </w:r>
    </w:p>
    <w:p>
      <w:pPr>
        <w:pStyle w:val="5"/>
        <w:ind w:firstLine="0" w:firstLineChars="0"/>
        <w:rPr>
          <w:color w:val="auto"/>
        </w:rPr>
      </w:pPr>
      <w:bookmarkStart w:id="26" w:name="_Toc261435211"/>
      <w:bookmarkStart w:id="27" w:name="_Toc254791566"/>
      <w:bookmarkStart w:id="28" w:name="_Toc290918317"/>
      <w:bookmarkStart w:id="29" w:name="_Toc22980"/>
      <w:bookmarkStart w:id="30" w:name="_Toc23164265"/>
      <w:bookmarkStart w:id="31" w:name="_Toc38398909"/>
      <w:r>
        <w:rPr>
          <w:rFonts w:hint="eastAsia"/>
          <w:color w:val="auto"/>
        </w:rPr>
        <w:t>1.3.2</w:t>
      </w:r>
      <w:bookmarkEnd w:id="26"/>
      <w:bookmarkEnd w:id="27"/>
      <w:bookmarkEnd w:id="28"/>
      <w:r>
        <w:rPr>
          <w:rFonts w:hint="eastAsia"/>
          <w:color w:val="auto"/>
        </w:rPr>
        <w:t>标准、规范</w:t>
      </w:r>
      <w:bookmarkEnd w:id="29"/>
      <w:bookmarkEnd w:id="30"/>
      <w:bookmarkEnd w:id="31"/>
    </w:p>
    <w:p>
      <w:pPr>
        <w:adjustRightInd w:val="0"/>
        <w:spacing w:line="360" w:lineRule="auto"/>
        <w:ind w:firstLine="0" w:firstLineChars="0"/>
        <w:jc w:val="left"/>
        <w:textAlignment w:val="baseline"/>
        <w:outlineLvl w:val="3"/>
        <w:rPr>
          <w:rFonts w:ascii="宋体" w:hAnsi="宋体"/>
          <w:b/>
          <w:color w:val="auto"/>
          <w:kern w:val="0"/>
          <w:szCs w:val="20"/>
        </w:rPr>
      </w:pPr>
      <w:r>
        <w:rPr>
          <w:rFonts w:hint="eastAsia" w:ascii="宋体" w:hAnsi="宋体"/>
          <w:b/>
          <w:color w:val="auto"/>
          <w:kern w:val="0"/>
          <w:szCs w:val="20"/>
        </w:rPr>
        <w:t>1.3.2.1国标（GB）</w:t>
      </w:r>
    </w:p>
    <w:p>
      <w:pPr>
        <w:numPr>
          <w:ilvl w:val="0"/>
          <w:numId w:val="3"/>
        </w:numPr>
        <w:spacing w:line="360" w:lineRule="auto"/>
        <w:ind w:left="0" w:firstLine="1120" w:firstLineChars="400"/>
        <w:jc w:val="left"/>
        <w:rPr>
          <w:rFonts w:ascii="宋体" w:hAnsi="宋体"/>
          <w:color w:val="auto"/>
        </w:rPr>
      </w:pPr>
      <w:r>
        <w:rPr>
          <w:rFonts w:ascii="宋体" w:hAnsi="宋体"/>
          <w:color w:val="auto"/>
        </w:rPr>
        <w:t>《企业职工伤亡事故分类》</w:t>
      </w:r>
      <w:r>
        <w:rPr>
          <w:rFonts w:hint="eastAsia" w:ascii="宋体" w:hAnsi="宋体"/>
          <w:color w:val="auto"/>
        </w:rPr>
        <w:t>（</w:t>
      </w:r>
      <w:r>
        <w:rPr>
          <w:rFonts w:ascii="宋体" w:hAnsi="宋体"/>
          <w:color w:val="auto"/>
        </w:rPr>
        <w:t>GB6441-1986</w:t>
      </w:r>
      <w:r>
        <w:rPr>
          <w:rFonts w:hint="eastAsia" w:ascii="宋体" w:hAnsi="宋体"/>
          <w:color w:val="auto"/>
        </w:rPr>
        <w:t>，</w:t>
      </w:r>
      <w:r>
        <w:rPr>
          <w:rFonts w:ascii="宋体" w:hAnsi="宋体"/>
          <w:color w:val="auto"/>
        </w:rPr>
        <w:t>国家标准局1986年5月31日发布</w:t>
      </w:r>
      <w:r>
        <w:rPr>
          <w:rFonts w:hint="eastAsia" w:ascii="宋体" w:hAnsi="宋体"/>
          <w:color w:val="auto"/>
        </w:rPr>
        <w:t>，</w:t>
      </w:r>
      <w:r>
        <w:rPr>
          <w:rFonts w:ascii="宋体" w:hAnsi="宋体"/>
          <w:color w:val="auto"/>
        </w:rPr>
        <w:t>1987年2月1日起实施</w:t>
      </w:r>
      <w:r>
        <w:rPr>
          <w:rFonts w:hint="eastAsia" w:ascii="宋体" w:hAnsi="宋体"/>
          <w:color w:val="auto"/>
        </w:rPr>
        <w:t>）；</w:t>
      </w:r>
    </w:p>
    <w:p>
      <w:pPr>
        <w:numPr>
          <w:ilvl w:val="0"/>
          <w:numId w:val="3"/>
        </w:numPr>
        <w:spacing w:line="360" w:lineRule="auto"/>
        <w:ind w:left="0" w:firstLine="1120" w:firstLineChars="400"/>
        <w:jc w:val="left"/>
        <w:rPr>
          <w:rFonts w:ascii="宋体" w:hAnsi="宋体"/>
          <w:color w:val="auto"/>
        </w:rPr>
      </w:pPr>
      <w:r>
        <w:rPr>
          <w:rFonts w:ascii="宋体" w:hAnsi="宋体"/>
          <w:color w:val="auto"/>
        </w:rPr>
        <w:t>《金属非金属矿山安全规程》</w:t>
      </w:r>
      <w:r>
        <w:rPr>
          <w:rFonts w:hint="eastAsia" w:ascii="宋体" w:hAnsi="宋体"/>
          <w:color w:val="auto"/>
        </w:rPr>
        <w:t>（</w:t>
      </w:r>
      <w:r>
        <w:rPr>
          <w:rFonts w:ascii="宋体" w:hAnsi="宋体"/>
          <w:color w:val="auto"/>
        </w:rPr>
        <w:t>GB16423-20</w:t>
      </w:r>
      <w:r>
        <w:rPr>
          <w:rFonts w:hint="eastAsia" w:ascii="宋体" w:hAnsi="宋体"/>
          <w:color w:val="auto"/>
        </w:rPr>
        <w:t>20，2020年10月11日发布，2021年9月1日实施）；</w:t>
      </w:r>
    </w:p>
    <w:p>
      <w:pPr>
        <w:numPr>
          <w:ilvl w:val="0"/>
          <w:numId w:val="3"/>
        </w:numPr>
        <w:spacing w:line="360" w:lineRule="auto"/>
        <w:ind w:left="0" w:firstLine="1120" w:firstLineChars="400"/>
        <w:jc w:val="left"/>
        <w:rPr>
          <w:rFonts w:ascii="宋体" w:hAnsi="宋体"/>
          <w:color w:val="auto"/>
        </w:rPr>
      </w:pPr>
      <w:r>
        <w:rPr>
          <w:rFonts w:hint="eastAsia" w:ascii="宋体" w:hAnsi="宋体"/>
          <w:color w:val="auto"/>
        </w:rPr>
        <w:t>《开发建设项目水土保持技术规范》（GB50433-2008,中华人民共和国建设部、中华人民共和国国家质量监督检验检疫总局2008年1月14日联合发布，2008年7月1日实施）；</w:t>
      </w:r>
    </w:p>
    <w:p>
      <w:pPr>
        <w:numPr>
          <w:ilvl w:val="0"/>
          <w:numId w:val="3"/>
        </w:numPr>
        <w:spacing w:line="360" w:lineRule="auto"/>
        <w:ind w:left="0" w:firstLine="1120" w:firstLineChars="400"/>
        <w:jc w:val="left"/>
        <w:rPr>
          <w:rFonts w:ascii="宋体" w:hAnsi="宋体"/>
          <w:color w:val="auto"/>
        </w:rPr>
      </w:pPr>
      <w:r>
        <w:rPr>
          <w:rFonts w:ascii="宋体" w:hAnsi="宋体"/>
          <w:color w:val="auto"/>
        </w:rPr>
        <w:t>《矿山安全标志》</w:t>
      </w:r>
      <w:r>
        <w:rPr>
          <w:rFonts w:hint="eastAsia" w:ascii="宋体" w:hAnsi="宋体"/>
          <w:color w:val="auto"/>
        </w:rPr>
        <w:t>（</w:t>
      </w:r>
      <w:r>
        <w:rPr>
          <w:rFonts w:ascii="宋体" w:hAnsi="宋体"/>
          <w:color w:val="auto"/>
        </w:rPr>
        <w:t>GB14161-</w:t>
      </w:r>
      <w:r>
        <w:rPr>
          <w:rFonts w:hint="eastAsia" w:ascii="宋体" w:hAnsi="宋体"/>
          <w:color w:val="auto"/>
        </w:rPr>
        <w:t>2008，国家质量监督检验检疫总局、国家标准化管理委员会2008年12月11日发布，2009年10月1日实施）；</w:t>
      </w:r>
    </w:p>
    <w:p>
      <w:pPr>
        <w:numPr>
          <w:ilvl w:val="0"/>
          <w:numId w:val="3"/>
        </w:numPr>
        <w:spacing w:line="360" w:lineRule="auto"/>
        <w:ind w:left="0" w:firstLine="1120" w:firstLineChars="400"/>
        <w:jc w:val="left"/>
        <w:rPr>
          <w:rFonts w:ascii="宋体" w:hAnsi="宋体"/>
          <w:color w:val="auto"/>
        </w:rPr>
      </w:pPr>
      <w:r>
        <w:rPr>
          <w:rFonts w:ascii="宋体" w:hAnsi="宋体"/>
          <w:color w:val="auto"/>
        </w:rPr>
        <w:t>《工业企业总平面设计规范》</w:t>
      </w:r>
      <w:r>
        <w:rPr>
          <w:rFonts w:hint="eastAsia" w:ascii="宋体" w:hAnsi="宋体"/>
          <w:color w:val="auto"/>
        </w:rPr>
        <w:t>（</w:t>
      </w:r>
      <w:r>
        <w:rPr>
          <w:rFonts w:ascii="宋体" w:hAnsi="宋体"/>
          <w:color w:val="auto"/>
        </w:rPr>
        <w:t>GB50187-</w:t>
      </w:r>
      <w:r>
        <w:rPr>
          <w:rFonts w:hint="eastAsia" w:ascii="宋体" w:hAnsi="宋体"/>
          <w:color w:val="auto"/>
        </w:rPr>
        <w:t>2012，2012年3月30日中华人民共和国住房和城乡建设部发布，2012年8月1日施行）；</w:t>
      </w:r>
    </w:p>
    <w:p>
      <w:pPr>
        <w:numPr>
          <w:ilvl w:val="0"/>
          <w:numId w:val="3"/>
        </w:numPr>
        <w:spacing w:line="360" w:lineRule="auto"/>
        <w:ind w:left="0" w:firstLine="1120" w:firstLineChars="400"/>
        <w:jc w:val="left"/>
        <w:rPr>
          <w:rFonts w:ascii="宋体" w:hAnsi="宋体"/>
          <w:color w:val="auto"/>
        </w:rPr>
      </w:pPr>
      <w:r>
        <w:rPr>
          <w:rFonts w:ascii="宋体" w:hAnsi="宋体"/>
          <w:color w:val="auto"/>
        </w:rPr>
        <w:t>《建筑设计防火规范》</w:t>
      </w:r>
      <w:r>
        <w:rPr>
          <w:rFonts w:hint="eastAsia" w:ascii="宋体" w:hAnsi="宋体"/>
          <w:color w:val="auto"/>
        </w:rPr>
        <w:t>（</w:t>
      </w:r>
      <w:r>
        <w:rPr>
          <w:rFonts w:ascii="宋体" w:hAnsi="宋体"/>
          <w:color w:val="auto"/>
        </w:rPr>
        <w:t>GB50016-20</w:t>
      </w:r>
      <w:r>
        <w:rPr>
          <w:rFonts w:hint="eastAsia" w:ascii="宋体" w:hAnsi="宋体"/>
          <w:color w:val="auto"/>
        </w:rPr>
        <w:t>14（2018版），</w:t>
      </w:r>
      <w:r>
        <w:rPr>
          <w:rFonts w:ascii="宋体" w:hAnsi="宋体"/>
          <w:color w:val="auto"/>
        </w:rPr>
        <w:t>中华人民共和国</w:t>
      </w:r>
      <w:r>
        <w:rPr>
          <w:rFonts w:hint="eastAsia" w:ascii="宋体" w:hAnsi="宋体"/>
          <w:color w:val="auto"/>
        </w:rPr>
        <w:t>住房与城乡</w:t>
      </w:r>
      <w:r>
        <w:rPr>
          <w:rFonts w:ascii="宋体" w:hAnsi="宋体"/>
          <w:color w:val="auto"/>
        </w:rPr>
        <w:t>建设部20</w:t>
      </w:r>
      <w:r>
        <w:rPr>
          <w:rFonts w:hint="eastAsia" w:ascii="宋体" w:hAnsi="宋体"/>
          <w:color w:val="auto"/>
        </w:rPr>
        <w:t>14</w:t>
      </w:r>
      <w:r>
        <w:rPr>
          <w:rFonts w:ascii="宋体" w:hAnsi="宋体"/>
          <w:color w:val="auto"/>
        </w:rPr>
        <w:t>年</w:t>
      </w:r>
      <w:r>
        <w:rPr>
          <w:rFonts w:hint="eastAsia" w:ascii="宋体" w:hAnsi="宋体"/>
          <w:color w:val="auto"/>
        </w:rPr>
        <w:t>8</w:t>
      </w:r>
      <w:r>
        <w:rPr>
          <w:rFonts w:ascii="宋体" w:hAnsi="宋体"/>
          <w:color w:val="auto"/>
        </w:rPr>
        <w:t>月</w:t>
      </w:r>
      <w:r>
        <w:rPr>
          <w:rFonts w:hint="eastAsia" w:ascii="宋体" w:hAnsi="宋体"/>
          <w:color w:val="auto"/>
        </w:rPr>
        <w:t>27</w:t>
      </w:r>
      <w:r>
        <w:rPr>
          <w:rFonts w:ascii="宋体" w:hAnsi="宋体"/>
          <w:color w:val="auto"/>
        </w:rPr>
        <w:t>日发布，20</w:t>
      </w:r>
      <w:r>
        <w:rPr>
          <w:rFonts w:hint="eastAsia" w:ascii="宋体" w:hAnsi="宋体"/>
          <w:color w:val="auto"/>
        </w:rPr>
        <w:t>15</w:t>
      </w:r>
      <w:r>
        <w:rPr>
          <w:rFonts w:ascii="宋体" w:hAnsi="宋体"/>
          <w:color w:val="auto"/>
        </w:rPr>
        <w:t>年</w:t>
      </w:r>
      <w:r>
        <w:rPr>
          <w:rFonts w:hint="eastAsia" w:ascii="宋体" w:hAnsi="宋体"/>
          <w:color w:val="auto"/>
        </w:rPr>
        <w:t>5</w:t>
      </w:r>
      <w:r>
        <w:rPr>
          <w:rFonts w:ascii="宋体" w:hAnsi="宋体"/>
          <w:color w:val="auto"/>
        </w:rPr>
        <w:t>月1日起施行</w:t>
      </w:r>
      <w:r>
        <w:rPr>
          <w:rFonts w:hint="eastAsia" w:ascii="宋体" w:hAnsi="宋体"/>
          <w:color w:val="auto"/>
        </w:rPr>
        <w:t>）；</w:t>
      </w:r>
    </w:p>
    <w:p>
      <w:pPr>
        <w:numPr>
          <w:ilvl w:val="0"/>
          <w:numId w:val="3"/>
        </w:numPr>
        <w:spacing w:line="360" w:lineRule="auto"/>
        <w:ind w:left="0" w:firstLine="1120" w:firstLineChars="400"/>
        <w:jc w:val="left"/>
        <w:rPr>
          <w:rFonts w:ascii="宋体" w:hAnsi="宋体"/>
          <w:color w:val="auto"/>
        </w:rPr>
      </w:pPr>
      <w:r>
        <w:rPr>
          <w:rFonts w:hint="eastAsia" w:ascii="宋体" w:hAnsi="宋体"/>
          <w:color w:val="auto"/>
        </w:rPr>
        <w:t>《中国地震动参数区划图》（GB18306-2015，国家质量监督检验检疫总局、国家标准化管理委员会2015年5月15日发布，2016年6月1日实施）；</w:t>
      </w:r>
    </w:p>
    <w:p>
      <w:pPr>
        <w:numPr>
          <w:ilvl w:val="0"/>
          <w:numId w:val="3"/>
        </w:numPr>
        <w:spacing w:line="360" w:lineRule="auto"/>
        <w:ind w:left="0" w:firstLine="1120" w:firstLineChars="400"/>
        <w:jc w:val="left"/>
        <w:rPr>
          <w:rFonts w:ascii="宋体" w:hAnsi="宋体"/>
          <w:color w:val="auto"/>
        </w:rPr>
      </w:pPr>
      <w:r>
        <w:rPr>
          <w:rFonts w:hint="eastAsia" w:ascii="宋体" w:hAnsi="宋体"/>
          <w:color w:val="auto"/>
        </w:rPr>
        <w:t>《建筑抗震设计规范》（GB50011-2010，</w:t>
      </w:r>
      <w:r>
        <w:rPr>
          <w:rFonts w:ascii="宋体" w:hAnsi="宋体"/>
          <w:color w:val="auto"/>
        </w:rPr>
        <w:t>中华人民共和国住房和城乡建设部和中华人民共和国国家质量监督检验检疫总局联合发布</w:t>
      </w:r>
      <w:r>
        <w:rPr>
          <w:rFonts w:hint="eastAsia" w:ascii="宋体" w:hAnsi="宋体"/>
          <w:color w:val="auto"/>
        </w:rPr>
        <w:t>，2016年7月7日修订，2016年8月1日实施）；</w:t>
      </w:r>
    </w:p>
    <w:p>
      <w:pPr>
        <w:numPr>
          <w:ilvl w:val="0"/>
          <w:numId w:val="3"/>
        </w:numPr>
        <w:spacing w:line="360" w:lineRule="auto"/>
        <w:ind w:left="0" w:firstLine="1120" w:firstLineChars="400"/>
        <w:jc w:val="left"/>
        <w:rPr>
          <w:rFonts w:ascii="宋体" w:hAnsi="宋体"/>
          <w:color w:val="auto"/>
        </w:rPr>
      </w:pPr>
      <w:r>
        <w:rPr>
          <w:rFonts w:hint="eastAsia" w:ascii="宋体" w:hAnsi="宋体"/>
          <w:color w:val="auto"/>
        </w:rPr>
        <w:t>《矿山电力设计标准》（GB50070-2020，</w:t>
      </w:r>
      <w:r>
        <w:rPr>
          <w:rFonts w:ascii="宋体" w:hAnsi="宋体"/>
          <w:color w:val="auto"/>
        </w:rPr>
        <w:t>中华人民共和国住房和城乡建设部</w:t>
      </w:r>
      <w:r>
        <w:rPr>
          <w:rFonts w:hint="eastAsia" w:ascii="宋体" w:hAnsi="宋体"/>
          <w:color w:val="auto"/>
        </w:rPr>
        <w:t>和国家市场监督管理总局联合发布，2019年12月27日发布，2020年10月1日实施）。</w:t>
      </w:r>
    </w:p>
    <w:p>
      <w:pPr>
        <w:adjustRightInd w:val="0"/>
        <w:spacing w:line="360" w:lineRule="auto"/>
        <w:ind w:firstLine="0" w:firstLineChars="0"/>
        <w:jc w:val="left"/>
        <w:textAlignment w:val="baseline"/>
        <w:outlineLvl w:val="3"/>
        <w:rPr>
          <w:rFonts w:ascii="宋体" w:hAnsi="宋体"/>
          <w:b/>
          <w:color w:val="auto"/>
          <w:kern w:val="0"/>
          <w:szCs w:val="20"/>
        </w:rPr>
      </w:pPr>
      <w:r>
        <w:rPr>
          <w:rFonts w:hint="eastAsia" w:ascii="宋体" w:hAnsi="宋体"/>
          <w:b/>
          <w:color w:val="auto"/>
          <w:kern w:val="0"/>
          <w:szCs w:val="20"/>
        </w:rPr>
        <w:t>1.3.2.2推荐性国标（GB/T）</w:t>
      </w:r>
    </w:p>
    <w:p>
      <w:pPr>
        <w:numPr>
          <w:ilvl w:val="0"/>
          <w:numId w:val="4"/>
        </w:numPr>
        <w:spacing w:line="360" w:lineRule="auto"/>
        <w:ind w:left="0" w:firstLine="1120" w:firstLineChars="400"/>
        <w:jc w:val="left"/>
        <w:rPr>
          <w:rFonts w:ascii="宋体" w:hAnsi="宋体"/>
          <w:color w:val="auto"/>
        </w:rPr>
      </w:pPr>
      <w:r>
        <w:rPr>
          <w:rFonts w:hint="eastAsia" w:ascii="宋体" w:hAnsi="宋体"/>
          <w:color w:val="auto"/>
        </w:rPr>
        <w:t>《矿山安全术语》 GB/T15259-2008；</w:t>
      </w:r>
    </w:p>
    <w:p>
      <w:pPr>
        <w:numPr>
          <w:ilvl w:val="0"/>
          <w:numId w:val="4"/>
        </w:numPr>
        <w:spacing w:line="360" w:lineRule="auto"/>
        <w:ind w:left="0" w:firstLine="1120" w:firstLineChars="400"/>
        <w:jc w:val="left"/>
        <w:rPr>
          <w:rFonts w:ascii="宋体" w:hAnsi="宋体"/>
          <w:color w:val="auto"/>
        </w:rPr>
      </w:pPr>
      <w:r>
        <w:rPr>
          <w:rFonts w:hint="eastAsia" w:ascii="宋体" w:hAnsi="宋体"/>
          <w:color w:val="auto"/>
        </w:rPr>
        <w:t>《个体防护装备选用规范》 GB</w:t>
      </w:r>
      <w:r>
        <w:rPr>
          <w:rFonts w:ascii="宋体" w:hAnsi="宋体"/>
          <w:color w:val="auto"/>
        </w:rPr>
        <w:t>39800.1</w:t>
      </w:r>
      <w:r>
        <w:rPr>
          <w:rFonts w:hint="eastAsia" w:ascii="宋体" w:hAnsi="宋体"/>
          <w:color w:val="auto"/>
        </w:rPr>
        <w:t>-20</w:t>
      </w:r>
      <w:r>
        <w:rPr>
          <w:rFonts w:ascii="宋体" w:hAnsi="宋体"/>
          <w:color w:val="auto"/>
        </w:rPr>
        <w:t>20</w:t>
      </w:r>
      <w:r>
        <w:rPr>
          <w:rFonts w:hint="eastAsia" w:ascii="宋体" w:hAnsi="宋体"/>
          <w:color w:val="auto"/>
        </w:rPr>
        <w:t>；</w:t>
      </w:r>
    </w:p>
    <w:p>
      <w:pPr>
        <w:numPr>
          <w:ilvl w:val="0"/>
          <w:numId w:val="4"/>
        </w:numPr>
        <w:spacing w:line="360" w:lineRule="auto"/>
        <w:ind w:left="0" w:firstLine="1120" w:firstLineChars="400"/>
        <w:jc w:val="left"/>
        <w:rPr>
          <w:rFonts w:ascii="宋体" w:hAnsi="宋体"/>
          <w:color w:val="auto"/>
        </w:rPr>
      </w:pPr>
      <w:r>
        <w:rPr>
          <w:rFonts w:hint="eastAsia" w:ascii="宋体" w:hAnsi="宋体"/>
          <w:color w:val="auto"/>
        </w:rPr>
        <w:t>《生产过程危险和有害因素分类与代码》GB/T13861-20</w:t>
      </w:r>
      <w:r>
        <w:rPr>
          <w:rFonts w:ascii="宋体" w:hAnsi="宋体"/>
          <w:color w:val="auto"/>
        </w:rPr>
        <w:t>22</w:t>
      </w:r>
      <w:r>
        <w:rPr>
          <w:rFonts w:hint="eastAsia" w:ascii="宋体" w:hAnsi="宋体"/>
          <w:color w:val="auto"/>
        </w:rPr>
        <w:t>；</w:t>
      </w:r>
    </w:p>
    <w:p>
      <w:pPr>
        <w:numPr>
          <w:ilvl w:val="0"/>
          <w:numId w:val="4"/>
        </w:numPr>
        <w:spacing w:line="360" w:lineRule="auto"/>
        <w:ind w:left="0" w:firstLine="1120" w:firstLineChars="400"/>
        <w:jc w:val="left"/>
        <w:rPr>
          <w:rFonts w:ascii="宋体" w:hAnsi="宋体"/>
          <w:color w:val="auto"/>
        </w:rPr>
      </w:pPr>
      <w:r>
        <w:rPr>
          <w:rFonts w:hint="eastAsia" w:ascii="宋体" w:hAnsi="宋体"/>
          <w:color w:val="auto"/>
        </w:rPr>
        <w:t>《生产经营单位生产安全事故应急预案编制导则》（</w:t>
      </w:r>
      <w:r>
        <w:rPr>
          <w:rFonts w:ascii="宋体" w:hAnsi="宋体"/>
          <w:color w:val="auto"/>
        </w:rPr>
        <w:t>GB/T</w:t>
      </w:r>
      <w:r>
        <w:rPr>
          <w:rFonts w:hint="eastAsia" w:ascii="宋体" w:hAnsi="宋体"/>
          <w:color w:val="auto"/>
        </w:rPr>
        <w:t>29639</w:t>
      </w:r>
      <w:r>
        <w:rPr>
          <w:rFonts w:ascii="宋体" w:hAnsi="宋体"/>
          <w:color w:val="auto"/>
        </w:rPr>
        <w:t>-</w:t>
      </w:r>
      <w:r>
        <w:rPr>
          <w:rFonts w:hint="eastAsia" w:ascii="宋体" w:hAnsi="宋体"/>
          <w:color w:val="auto"/>
        </w:rPr>
        <w:t>2020，</w:t>
      </w:r>
      <w:r>
        <w:rPr>
          <w:rFonts w:ascii="宋体" w:hAnsi="宋体"/>
          <w:color w:val="auto"/>
        </w:rPr>
        <w:t>国家</w:t>
      </w:r>
      <w:r>
        <w:rPr>
          <w:rFonts w:hint="eastAsia" w:ascii="宋体" w:hAnsi="宋体"/>
          <w:color w:val="auto"/>
        </w:rPr>
        <w:t>市场监督管理</w:t>
      </w:r>
      <w:r>
        <w:rPr>
          <w:rFonts w:ascii="宋体" w:hAnsi="宋体"/>
          <w:color w:val="auto"/>
        </w:rPr>
        <w:t>总局、国家标准化管理委员会20</w:t>
      </w:r>
      <w:r>
        <w:rPr>
          <w:rFonts w:hint="eastAsia" w:ascii="宋体" w:hAnsi="宋体"/>
          <w:color w:val="auto"/>
        </w:rPr>
        <w:t>20</w:t>
      </w:r>
      <w:r>
        <w:rPr>
          <w:rFonts w:ascii="宋体" w:hAnsi="宋体"/>
          <w:color w:val="auto"/>
        </w:rPr>
        <w:t>年</w:t>
      </w:r>
      <w:r>
        <w:rPr>
          <w:rFonts w:hint="eastAsia" w:ascii="宋体" w:hAnsi="宋体"/>
          <w:color w:val="auto"/>
        </w:rPr>
        <w:t>9</w:t>
      </w:r>
      <w:r>
        <w:rPr>
          <w:rFonts w:ascii="宋体" w:hAnsi="宋体"/>
          <w:color w:val="auto"/>
        </w:rPr>
        <w:t>月</w:t>
      </w:r>
      <w:r>
        <w:rPr>
          <w:rFonts w:hint="eastAsia" w:ascii="宋体" w:hAnsi="宋体"/>
          <w:color w:val="auto"/>
        </w:rPr>
        <w:t>29</w:t>
      </w:r>
      <w:r>
        <w:rPr>
          <w:rFonts w:ascii="宋体" w:hAnsi="宋体"/>
          <w:color w:val="auto"/>
        </w:rPr>
        <w:t>日发布，</w:t>
      </w:r>
      <w:r>
        <w:rPr>
          <w:rFonts w:hint="eastAsia" w:ascii="宋体" w:hAnsi="宋体"/>
          <w:color w:val="auto"/>
        </w:rPr>
        <w:t>2020年3月</w:t>
      </w:r>
      <w:r>
        <w:rPr>
          <w:rFonts w:ascii="宋体" w:hAnsi="宋体"/>
          <w:color w:val="auto"/>
        </w:rPr>
        <w:t>1日实施</w:t>
      </w:r>
      <w:r>
        <w:rPr>
          <w:rFonts w:hint="eastAsia" w:ascii="宋体" w:hAnsi="宋体"/>
          <w:color w:val="auto"/>
        </w:rPr>
        <w:t>）；</w:t>
      </w:r>
    </w:p>
    <w:p>
      <w:pPr>
        <w:numPr>
          <w:ilvl w:val="0"/>
          <w:numId w:val="4"/>
        </w:numPr>
        <w:spacing w:line="360" w:lineRule="auto"/>
        <w:ind w:left="0" w:firstLine="1120" w:firstLineChars="400"/>
        <w:jc w:val="left"/>
        <w:rPr>
          <w:color w:val="auto"/>
        </w:rPr>
      </w:pPr>
      <w:r>
        <w:rPr>
          <w:rFonts w:hint="eastAsia" w:ascii="宋体" w:hAnsi="宋体"/>
          <w:color w:val="auto"/>
        </w:rPr>
        <w:t>《粉尘作业场所危害程度分级》(GB/T5817-2009</w:t>
      </w:r>
      <w:r>
        <w:rPr>
          <w:rFonts w:ascii="宋体" w:hAnsi="宋体"/>
          <w:color w:val="auto"/>
        </w:rPr>
        <w:t>,</w:t>
      </w:r>
      <w:r>
        <w:rPr>
          <w:rFonts w:hint="eastAsia" w:ascii="宋体" w:hAnsi="宋体"/>
          <w:color w:val="auto"/>
        </w:rPr>
        <w:t xml:space="preserve"> 国家质量监督检验检疫总局、国家标准化管理委员会20</w:t>
      </w:r>
      <w:r>
        <w:rPr>
          <w:rFonts w:ascii="宋体" w:hAnsi="宋体"/>
          <w:color w:val="auto"/>
        </w:rPr>
        <w:t>09</w:t>
      </w:r>
      <w:r>
        <w:rPr>
          <w:rFonts w:hint="eastAsia" w:ascii="宋体" w:hAnsi="宋体"/>
          <w:color w:val="auto"/>
        </w:rPr>
        <w:t>年</w:t>
      </w:r>
      <w:r>
        <w:rPr>
          <w:rFonts w:ascii="宋体" w:hAnsi="宋体"/>
          <w:color w:val="auto"/>
        </w:rPr>
        <w:t>3</w:t>
      </w:r>
      <w:r>
        <w:rPr>
          <w:rFonts w:hint="eastAsia" w:ascii="宋体" w:hAnsi="宋体"/>
          <w:color w:val="auto"/>
        </w:rPr>
        <w:t>月</w:t>
      </w:r>
      <w:r>
        <w:rPr>
          <w:rFonts w:ascii="宋体" w:hAnsi="宋体"/>
          <w:color w:val="auto"/>
        </w:rPr>
        <w:t>31</w:t>
      </w:r>
      <w:r>
        <w:rPr>
          <w:rFonts w:hint="eastAsia" w:ascii="宋体" w:hAnsi="宋体"/>
          <w:color w:val="auto"/>
        </w:rPr>
        <w:t>日发布，20</w:t>
      </w:r>
      <w:r>
        <w:rPr>
          <w:rFonts w:ascii="宋体" w:hAnsi="宋体"/>
          <w:color w:val="auto"/>
        </w:rPr>
        <w:t>09</w:t>
      </w:r>
      <w:r>
        <w:rPr>
          <w:rFonts w:hint="eastAsia" w:ascii="宋体" w:hAnsi="宋体"/>
          <w:color w:val="auto"/>
        </w:rPr>
        <w:t>年</w:t>
      </w:r>
      <w:r>
        <w:rPr>
          <w:rFonts w:ascii="宋体" w:hAnsi="宋体"/>
          <w:color w:val="auto"/>
        </w:rPr>
        <w:t>12</w:t>
      </w:r>
      <w:r>
        <w:rPr>
          <w:rFonts w:hint="eastAsia" w:ascii="宋体" w:hAnsi="宋体"/>
          <w:color w:val="auto"/>
        </w:rPr>
        <w:t>月1日实施)。</w:t>
      </w:r>
    </w:p>
    <w:p>
      <w:pPr>
        <w:adjustRightInd w:val="0"/>
        <w:spacing w:line="360" w:lineRule="auto"/>
        <w:ind w:firstLine="0" w:firstLineChars="0"/>
        <w:jc w:val="left"/>
        <w:textAlignment w:val="baseline"/>
        <w:outlineLvl w:val="3"/>
        <w:rPr>
          <w:rFonts w:ascii="宋体" w:hAnsi="宋体"/>
          <w:b/>
          <w:color w:val="auto"/>
          <w:kern w:val="0"/>
          <w:szCs w:val="20"/>
        </w:rPr>
      </w:pPr>
      <w:r>
        <w:rPr>
          <w:rFonts w:hint="eastAsia" w:ascii="宋体" w:hAnsi="宋体"/>
          <w:b/>
          <w:color w:val="auto"/>
          <w:kern w:val="0"/>
          <w:szCs w:val="20"/>
        </w:rPr>
        <w:t>1.3.2.3国</w:t>
      </w:r>
      <w:r>
        <w:rPr>
          <w:rFonts w:ascii="宋体" w:hAnsi="宋体"/>
          <w:b/>
          <w:color w:val="auto"/>
          <w:kern w:val="0"/>
          <w:szCs w:val="20"/>
        </w:rPr>
        <w:t>家工程建设标准</w:t>
      </w:r>
      <w:r>
        <w:rPr>
          <w:rFonts w:hint="eastAsia" w:ascii="宋体" w:hAnsi="宋体"/>
          <w:b/>
          <w:color w:val="auto"/>
          <w:kern w:val="0"/>
          <w:szCs w:val="20"/>
        </w:rPr>
        <w:t>（GBJ）</w:t>
      </w:r>
    </w:p>
    <w:p>
      <w:pPr>
        <w:numPr>
          <w:ilvl w:val="0"/>
          <w:numId w:val="5"/>
        </w:numPr>
        <w:spacing w:line="360" w:lineRule="auto"/>
        <w:ind w:left="0" w:firstLine="1120" w:firstLineChars="400"/>
        <w:jc w:val="left"/>
        <w:rPr>
          <w:rFonts w:ascii="宋体" w:hAnsi="宋体"/>
          <w:color w:val="auto"/>
        </w:rPr>
      </w:pPr>
      <w:r>
        <w:rPr>
          <w:rFonts w:ascii="宋体" w:hAnsi="宋体"/>
          <w:color w:val="auto"/>
        </w:rPr>
        <w:t>《厂矿道路设计规范》</w:t>
      </w:r>
      <w:r>
        <w:rPr>
          <w:rFonts w:hint="eastAsia" w:ascii="宋体" w:hAnsi="宋体"/>
          <w:color w:val="auto"/>
        </w:rPr>
        <w:t>（</w:t>
      </w:r>
      <w:r>
        <w:rPr>
          <w:rFonts w:ascii="宋体" w:hAnsi="宋体"/>
          <w:color w:val="auto"/>
        </w:rPr>
        <w:t>GBJ22-1987</w:t>
      </w:r>
      <w:r>
        <w:rPr>
          <w:rFonts w:hint="eastAsia" w:ascii="宋体" w:hAnsi="宋体"/>
          <w:color w:val="auto"/>
        </w:rPr>
        <w:t>，</w:t>
      </w:r>
      <w:r>
        <w:rPr>
          <w:rFonts w:ascii="宋体" w:hAnsi="宋体"/>
          <w:color w:val="auto"/>
        </w:rPr>
        <w:t>中华人民共和国国家计划委员会1987年12月15日</w:t>
      </w:r>
      <w:r>
        <w:rPr>
          <w:rFonts w:hint="eastAsia" w:ascii="宋体" w:hAnsi="宋体"/>
          <w:color w:val="auto"/>
        </w:rPr>
        <w:t>发布，</w:t>
      </w:r>
      <w:r>
        <w:rPr>
          <w:rFonts w:ascii="宋体" w:hAnsi="宋体"/>
          <w:color w:val="auto"/>
        </w:rPr>
        <w:t>1988年8月1日</w:t>
      </w:r>
      <w:r>
        <w:rPr>
          <w:rFonts w:hint="eastAsia" w:ascii="宋体" w:hAnsi="宋体"/>
          <w:color w:val="auto"/>
        </w:rPr>
        <w:t>实施）。</w:t>
      </w:r>
    </w:p>
    <w:p>
      <w:pPr>
        <w:adjustRightInd w:val="0"/>
        <w:spacing w:line="360" w:lineRule="auto"/>
        <w:ind w:firstLine="0" w:firstLineChars="0"/>
        <w:jc w:val="left"/>
        <w:textAlignment w:val="baseline"/>
        <w:outlineLvl w:val="3"/>
        <w:rPr>
          <w:rFonts w:ascii="宋体" w:hAnsi="宋体"/>
          <w:b/>
          <w:color w:val="auto"/>
          <w:kern w:val="0"/>
          <w:szCs w:val="20"/>
        </w:rPr>
      </w:pPr>
      <w:r>
        <w:rPr>
          <w:rFonts w:hint="eastAsia" w:ascii="宋体" w:hAnsi="宋体"/>
          <w:b/>
          <w:color w:val="auto"/>
          <w:kern w:val="0"/>
          <w:szCs w:val="20"/>
        </w:rPr>
        <w:t>1.3.2.4行业</w:t>
      </w:r>
      <w:r>
        <w:rPr>
          <w:rFonts w:ascii="宋体" w:hAnsi="宋体"/>
          <w:b/>
          <w:color w:val="auto"/>
          <w:kern w:val="0"/>
          <w:szCs w:val="20"/>
        </w:rPr>
        <w:t>标准</w:t>
      </w:r>
      <w:r>
        <w:rPr>
          <w:rFonts w:hint="eastAsia" w:ascii="宋体" w:hAnsi="宋体"/>
          <w:b/>
          <w:color w:val="auto"/>
          <w:kern w:val="0"/>
          <w:szCs w:val="20"/>
        </w:rPr>
        <w:t>（AQ）</w:t>
      </w:r>
    </w:p>
    <w:p>
      <w:pPr>
        <w:numPr>
          <w:ilvl w:val="0"/>
          <w:numId w:val="6"/>
        </w:numPr>
        <w:spacing w:line="360" w:lineRule="auto"/>
        <w:ind w:left="0" w:firstLine="1120" w:firstLineChars="400"/>
        <w:jc w:val="left"/>
        <w:rPr>
          <w:rFonts w:ascii="宋体" w:hAnsi="宋体"/>
          <w:color w:val="auto"/>
        </w:rPr>
      </w:pPr>
      <w:r>
        <w:rPr>
          <w:rFonts w:hint="eastAsia" w:ascii="宋体" w:hAnsi="宋体"/>
          <w:color w:val="auto"/>
        </w:rPr>
        <w:t>《金属非金属矿山排土场安全生产规则》（</w:t>
      </w:r>
      <w:r>
        <w:rPr>
          <w:color w:val="auto"/>
        </w:rPr>
        <w:fldChar w:fldCharType="begin"/>
      </w:r>
      <w:r>
        <w:rPr>
          <w:color w:val="auto"/>
        </w:rPr>
        <w:instrText xml:space="preserve"> HYPERLINK "http://www.so.com/link?url=http%3A%2F%2Fwww.docin.com%2Fp-65606431.html&amp;q=%E9%87%91%E5%B1%9E%E9%9D%9E%E9%87%91%E5%B1%9E%E7%9F%BF%E5%B1%B1%E6%8E%92%E5%9C%9F%E5%9C%BA%E5%AE%89%E5%85%A8%E7%94%9F%E4%BA%A7%E8%A7%84%E5%88%99&amp;ts=1494470707&amp;t=9a72d90939b7f2ad0e527e25ad96f72&amp;src=haosou" \t "_blank" </w:instrText>
      </w:r>
      <w:r>
        <w:rPr>
          <w:color w:val="auto"/>
        </w:rPr>
        <w:fldChar w:fldCharType="separate"/>
      </w:r>
      <w:r>
        <w:rPr>
          <w:rFonts w:ascii="宋体" w:hAnsi="宋体"/>
          <w:color w:val="auto"/>
        </w:rPr>
        <w:t>AQ2005-2005</w:t>
      </w:r>
      <w:r>
        <w:rPr>
          <w:rFonts w:ascii="宋体" w:hAnsi="宋体"/>
          <w:color w:val="auto"/>
        </w:rPr>
        <w:fldChar w:fldCharType="end"/>
      </w:r>
      <w:r>
        <w:rPr>
          <w:rFonts w:hint="eastAsia" w:ascii="宋体" w:hAnsi="宋体"/>
          <w:color w:val="auto"/>
        </w:rPr>
        <w:t>，国家安全生产监督管理总局2005年2月21日发布，2005年5月1日施行）；</w:t>
      </w:r>
    </w:p>
    <w:p>
      <w:pPr>
        <w:numPr>
          <w:ilvl w:val="0"/>
          <w:numId w:val="6"/>
        </w:numPr>
        <w:spacing w:line="360" w:lineRule="auto"/>
        <w:ind w:left="0" w:firstLine="1120" w:firstLineChars="400"/>
        <w:jc w:val="left"/>
        <w:rPr>
          <w:rFonts w:ascii="宋体" w:hAnsi="宋体"/>
          <w:color w:val="auto"/>
        </w:rPr>
      </w:pPr>
      <w:r>
        <w:rPr>
          <w:rFonts w:hint="eastAsia" w:ascii="宋体" w:hAnsi="宋体"/>
          <w:color w:val="auto"/>
        </w:rPr>
        <w:t>《安全评价通则》（AQ8001-2007, 国家安全生产监督管理总局2007年1月4日发布，2007年4月1日施行）；</w:t>
      </w:r>
    </w:p>
    <w:p>
      <w:pPr>
        <w:pStyle w:val="5"/>
        <w:ind w:firstLine="0" w:firstLineChars="0"/>
        <w:rPr>
          <w:rFonts w:ascii="Times New Roman" w:hAnsi="Times New Roman"/>
          <w:color w:val="auto"/>
        </w:rPr>
      </w:pPr>
      <w:bookmarkStart w:id="32" w:name="_Toc31773"/>
      <w:r>
        <w:rPr>
          <w:rFonts w:ascii="Times New Roman" w:hAnsi="Times New Roman"/>
          <w:color w:val="auto"/>
        </w:rPr>
        <w:t>1.3.3建设项目合法证明和技术文件</w:t>
      </w:r>
      <w:bookmarkEnd w:id="24"/>
      <w:bookmarkEnd w:id="25"/>
      <w:bookmarkEnd w:id="32"/>
    </w:p>
    <w:p>
      <w:pPr>
        <w:spacing w:line="360" w:lineRule="auto"/>
        <w:ind w:firstLine="560"/>
        <w:rPr>
          <w:rFonts w:ascii="宋体" w:hAnsi="宋体" w:cs="宋体"/>
          <w:color w:val="auto"/>
          <w:szCs w:val="28"/>
        </w:rPr>
      </w:pPr>
      <w:bookmarkStart w:id="33" w:name="_Toc109528106"/>
      <w:r>
        <w:rPr>
          <w:rFonts w:hint="eastAsia" w:ascii="宋体" w:hAnsi="宋体" w:cs="宋体"/>
          <w:color w:val="auto"/>
          <w:szCs w:val="28"/>
        </w:rPr>
        <w:t>1）营业执照、采矿许可证、储量备案证明；</w:t>
      </w:r>
    </w:p>
    <w:p>
      <w:pPr>
        <w:spacing w:line="360" w:lineRule="auto"/>
        <w:ind w:firstLine="560"/>
        <w:rPr>
          <w:rFonts w:ascii="宋体" w:hAnsi="宋体" w:cs="宋体"/>
          <w:color w:val="auto"/>
          <w:szCs w:val="28"/>
        </w:rPr>
      </w:pPr>
      <w:r>
        <w:rPr>
          <w:rFonts w:hint="eastAsia" w:ascii="宋体" w:hAnsi="宋体" w:cs="宋体"/>
          <w:color w:val="auto"/>
          <w:szCs w:val="28"/>
        </w:rPr>
        <w:t>2）《江西省万安县大坪矿区瓷土矿资源储量分割报告》（江西省核工业地质局二六三大队，2019年4月）；</w:t>
      </w:r>
    </w:p>
    <w:p>
      <w:pPr>
        <w:spacing w:line="360" w:lineRule="auto"/>
        <w:ind w:firstLine="560"/>
        <w:rPr>
          <w:rFonts w:ascii="宋体" w:hAnsi="宋体" w:cs="宋体"/>
          <w:color w:val="auto"/>
          <w:szCs w:val="28"/>
        </w:rPr>
      </w:pPr>
      <w:r>
        <w:rPr>
          <w:rFonts w:hint="eastAsia" w:ascii="宋体" w:hAnsi="宋体" w:cs="宋体"/>
          <w:color w:val="auto"/>
          <w:szCs w:val="28"/>
        </w:rPr>
        <w:t>3）《万安县大坪瓷土矿矿产资源开发利用、地质环境恢复治理与</w:t>
      </w:r>
    </w:p>
    <w:p>
      <w:pPr>
        <w:spacing w:line="360" w:lineRule="auto"/>
        <w:ind w:firstLine="0" w:firstLineChars="0"/>
        <w:rPr>
          <w:rFonts w:ascii="宋体" w:hAnsi="宋体" w:cs="宋体"/>
          <w:color w:val="auto"/>
          <w:szCs w:val="28"/>
        </w:rPr>
      </w:pPr>
      <w:r>
        <w:rPr>
          <w:rFonts w:hint="eastAsia" w:ascii="宋体" w:hAnsi="宋体" w:cs="宋体"/>
          <w:color w:val="auto"/>
          <w:szCs w:val="28"/>
        </w:rPr>
        <w:t>土地复垦方案》（江西省核工业地质局二六三大队，2020年3月）：</w:t>
      </w:r>
    </w:p>
    <w:p>
      <w:pPr>
        <w:spacing w:line="360" w:lineRule="auto"/>
        <w:ind w:firstLine="560"/>
        <w:rPr>
          <w:rFonts w:ascii="宋体" w:hAnsi="宋体"/>
          <w:color w:val="auto"/>
        </w:rPr>
      </w:pPr>
      <w:r>
        <w:rPr>
          <w:rFonts w:ascii="宋体" w:hAnsi="宋体" w:cs="宋体"/>
          <w:color w:val="auto"/>
          <w:szCs w:val="28"/>
        </w:rPr>
        <w:t>4</w:t>
      </w:r>
      <w:r>
        <w:rPr>
          <w:rFonts w:hint="eastAsia" w:ascii="宋体" w:hAnsi="宋体" w:cs="宋体"/>
          <w:color w:val="auto"/>
          <w:szCs w:val="28"/>
        </w:rPr>
        <w:t>)双方签订的安全评价合同。</w:t>
      </w:r>
      <w:bookmarkEnd w:id="33"/>
    </w:p>
    <w:p>
      <w:pPr>
        <w:pStyle w:val="4"/>
        <w:ind w:firstLine="0"/>
        <w:rPr>
          <w:rFonts w:ascii="Times New Roman" w:hAnsi="Times New Roman"/>
          <w:color w:val="auto"/>
        </w:rPr>
      </w:pPr>
      <w:bookmarkStart w:id="34" w:name="_Toc3151"/>
      <w:r>
        <w:rPr>
          <w:rFonts w:ascii="宋体" w:hAnsi="宋体"/>
          <w:color w:val="auto"/>
          <w:sz w:val="24"/>
        </w:rPr>
        <w:drawing>
          <wp:anchor distT="0" distB="0" distL="114300" distR="114300" simplePos="0" relativeHeight="251660288" behindDoc="0" locked="0" layoutInCell="1" allowOverlap="1">
            <wp:simplePos x="0" y="0"/>
            <wp:positionH relativeFrom="column">
              <wp:posOffset>2165985</wp:posOffset>
            </wp:positionH>
            <wp:positionV relativeFrom="paragraph">
              <wp:posOffset>17145</wp:posOffset>
            </wp:positionV>
            <wp:extent cx="2444750" cy="5090160"/>
            <wp:effectExtent l="0" t="0" r="12700" b="15240"/>
            <wp:wrapNone/>
            <wp:docPr id="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6"/>
                    <pic:cNvPicPr>
                      <a:picLocks noChangeAspect="1"/>
                    </pic:cNvPicPr>
                  </pic:nvPicPr>
                  <pic:blipFill>
                    <a:blip r:embed="rId21"/>
                    <a:stretch>
                      <a:fillRect/>
                    </a:stretch>
                  </pic:blipFill>
                  <pic:spPr>
                    <a:xfrm>
                      <a:off x="0" y="0"/>
                      <a:ext cx="2444750" cy="5090160"/>
                    </a:xfrm>
                    <a:prstGeom prst="rect">
                      <a:avLst/>
                    </a:prstGeom>
                    <a:noFill/>
                    <a:ln>
                      <a:noFill/>
                    </a:ln>
                  </pic:spPr>
                </pic:pic>
              </a:graphicData>
            </a:graphic>
          </wp:anchor>
        </w:drawing>
      </w:r>
      <w:r>
        <w:rPr>
          <w:rFonts w:ascii="Times New Roman" w:hAnsi="Times New Roman"/>
          <w:color w:val="auto"/>
        </w:rPr>
        <w:t>1.4评价程序</w:t>
      </w:r>
      <w:bookmarkEnd w:id="34"/>
    </w:p>
    <w:p>
      <w:pPr>
        <w:spacing w:line="360" w:lineRule="auto"/>
        <w:ind w:firstLine="560"/>
        <w:rPr>
          <w:color w:val="auto"/>
          <w:szCs w:val="28"/>
        </w:rPr>
      </w:pPr>
      <w:r>
        <w:rPr>
          <w:color w:val="auto"/>
          <w:szCs w:val="28"/>
        </w:rPr>
        <w:t>安全预评价程序</w:t>
      </w:r>
    </w:p>
    <w:p>
      <w:pPr>
        <w:spacing w:line="360" w:lineRule="auto"/>
        <w:ind w:firstLine="560"/>
        <w:rPr>
          <w:color w:val="auto"/>
          <w:szCs w:val="28"/>
        </w:rPr>
      </w:pPr>
      <w:r>
        <w:rPr>
          <w:color w:val="auto"/>
          <w:szCs w:val="28"/>
        </w:rPr>
        <w:t>如图1-1所示。</w:t>
      </w: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spacing w:line="400" w:lineRule="exact"/>
        <w:ind w:firstLine="2040" w:firstLineChars="850"/>
        <w:rPr>
          <w:rFonts w:ascii="宋体" w:hAnsi="宋体"/>
          <w:color w:val="auto"/>
          <w:sz w:val="24"/>
        </w:rPr>
      </w:pPr>
    </w:p>
    <w:p>
      <w:pPr>
        <w:ind w:left="0" w:leftChars="0" w:firstLine="0" w:firstLineChars="0"/>
        <w:rPr>
          <w:color w:val="auto"/>
          <w:szCs w:val="21"/>
        </w:rPr>
      </w:pPr>
    </w:p>
    <w:p>
      <w:pPr>
        <w:ind w:firstLine="2811" w:firstLineChars="1000"/>
        <w:rPr>
          <w:b/>
          <w:bCs/>
          <w:color w:val="auto"/>
          <w:szCs w:val="21"/>
        </w:rPr>
      </w:pPr>
      <w:r>
        <w:rPr>
          <w:b/>
          <w:bCs/>
          <w:color w:val="auto"/>
          <w:szCs w:val="21"/>
        </w:rPr>
        <w:t>图1-1  安全预评价程序框图</w:t>
      </w:r>
    </w:p>
    <w:p>
      <w:pPr>
        <w:pStyle w:val="3"/>
        <w:spacing w:beforeLines="0" w:afterLines="0"/>
        <w:rPr>
          <w:color w:val="auto"/>
        </w:rPr>
      </w:pPr>
      <w:bookmarkStart w:id="35" w:name="_Toc26802"/>
      <w:r>
        <w:rPr>
          <w:color w:val="auto"/>
        </w:rPr>
        <w:t>2建设项目概述</w:t>
      </w:r>
      <w:bookmarkEnd w:id="35"/>
    </w:p>
    <w:p>
      <w:pPr>
        <w:pStyle w:val="4"/>
        <w:ind w:firstLine="0"/>
        <w:rPr>
          <w:rFonts w:ascii="Times New Roman" w:hAnsi="Times New Roman"/>
          <w:color w:val="auto"/>
        </w:rPr>
      </w:pPr>
      <w:bookmarkStart w:id="36" w:name="_Toc5262"/>
      <w:bookmarkStart w:id="37" w:name="_Hlk18428251"/>
      <w:r>
        <w:rPr>
          <w:rFonts w:ascii="Times New Roman" w:hAnsi="Times New Roman"/>
          <w:color w:val="auto"/>
        </w:rPr>
        <w:t>2.1建设项目概况</w:t>
      </w:r>
      <w:bookmarkEnd w:id="36"/>
    </w:p>
    <w:p>
      <w:pPr>
        <w:spacing w:line="360" w:lineRule="auto"/>
        <w:ind w:firstLine="560"/>
        <w:rPr>
          <w:color w:val="auto"/>
        </w:rPr>
      </w:pPr>
      <w:r>
        <w:rPr>
          <w:rFonts w:hint="eastAsia"/>
          <w:color w:val="auto"/>
        </w:rPr>
        <w:t>江西省万安县大坪矿区瓷土矿属于新建矿山，于2022年7月18日取得万安县市场监督管理局颁发营业执照，证号91360828352083815N，江西省万安县大坪矿区瓷土矿2019年元月委托</w:t>
      </w:r>
      <w:r>
        <w:rPr>
          <w:color w:val="auto"/>
        </w:rPr>
        <w:t>江西省核工业地质局</w:t>
      </w:r>
      <w:r>
        <w:rPr>
          <w:rFonts w:hint="eastAsia"/>
          <w:color w:val="auto"/>
        </w:rPr>
        <w:t>进行地质勘察，勘察单位于2019年4月提交了《江西省万安县大坪瓷土矿资源量分割报告》，2019年2月委托江西省核工业地质局编制了三合一方案，编制单位于2019年5月提交了《江西省万安县大坪瓷土矿矿产资源开发利用、地质环境保护与土地复垦方案》，2020年5月30日取得了吉安市自然资源局颁发的《采矿许可证》，证号C3608002020057110149858。</w:t>
      </w:r>
    </w:p>
    <w:p>
      <w:pPr>
        <w:wordWrap/>
        <w:spacing w:line="360" w:lineRule="auto"/>
        <w:ind w:firstLine="0" w:firstLineChars="0"/>
        <w:jc w:val="left"/>
        <w:rPr>
          <w:color w:val="auto"/>
        </w:rPr>
      </w:pPr>
      <w:r>
        <w:rPr>
          <w:rFonts w:hint="eastAsia"/>
          <w:color w:val="auto"/>
        </w:rPr>
        <w:t>根据《建设项目安全设施“三同时”监督管理办法》（国家安全生产监督管理总局令第36号）规定须进行安全预评价，受业主的委托江西赣安安全生产科学技术咨询服务中心对其进行安全预评价。</w:t>
      </w:r>
    </w:p>
    <w:bookmarkEnd w:id="37"/>
    <w:p>
      <w:pPr>
        <w:pStyle w:val="5"/>
        <w:spacing w:beforeLines="50"/>
        <w:ind w:firstLine="0" w:firstLineChars="0"/>
        <w:rPr>
          <w:rFonts w:ascii="Times New Roman" w:hAnsi="Times New Roman"/>
          <w:color w:val="auto"/>
        </w:rPr>
      </w:pPr>
      <w:bookmarkStart w:id="38" w:name="_Toc528232003"/>
      <w:bookmarkStart w:id="39" w:name="_Toc530986658"/>
      <w:bookmarkStart w:id="40" w:name="_Toc514763864"/>
      <w:bookmarkStart w:id="41" w:name="_Toc22047"/>
      <w:r>
        <w:rPr>
          <w:rFonts w:hint="eastAsia" w:ascii="Times New Roman" w:hAnsi="Times New Roman"/>
          <w:color w:val="auto"/>
        </w:rPr>
        <w:t>2.1.1企业地理位置及矿区范围</w:t>
      </w:r>
      <w:bookmarkEnd w:id="38"/>
      <w:bookmarkEnd w:id="39"/>
      <w:bookmarkEnd w:id="40"/>
      <w:bookmarkEnd w:id="41"/>
    </w:p>
    <w:p>
      <w:pPr>
        <w:spacing w:line="360" w:lineRule="auto"/>
        <w:ind w:firstLine="560"/>
        <w:rPr>
          <w:color w:val="auto"/>
        </w:rPr>
      </w:pPr>
      <w:r>
        <w:rPr>
          <w:rFonts w:hint="eastAsia"/>
          <w:color w:val="auto"/>
        </w:rPr>
        <w:t>1）矿山交通位置</w:t>
      </w:r>
    </w:p>
    <w:p>
      <w:pPr>
        <w:spacing w:line="360" w:lineRule="auto"/>
        <w:ind w:firstLine="560"/>
        <w:rPr>
          <w:color w:val="auto"/>
        </w:rPr>
      </w:pPr>
      <w:r>
        <w:rPr>
          <w:color w:val="auto"/>
        </w:rPr>
        <w:t>矿区位于江西省万安县顺峰乡，地理坐标（西安80坐 标）：东经 115°03'12"--115°03'45”,北纬 26。09'00"--26。09'34”,面积约 0.1km</w:t>
      </w:r>
      <w:r>
        <w:rPr>
          <w:color w:val="auto"/>
          <w:vertAlign w:val="superscript"/>
        </w:rPr>
        <w:t>2</w:t>
      </w:r>
      <w:r>
        <w:rPr>
          <w:color w:val="auto"/>
        </w:rPr>
        <w:t>。矿 区地处万安县顺峰乡南东侧，矿区中心位于万安县县城139。方位、直线距离约 43.8Km,矿区有简易公路通往顺峰乡，顺峰乡有公路通往万安县城，交通条件较 为便利（详见交通位置图）。</w:t>
      </w:r>
    </w:p>
    <w:p>
      <w:pPr>
        <w:pStyle w:val="2"/>
        <w:ind w:left="560"/>
        <w:rPr>
          <w:color w:val="auto"/>
        </w:rPr>
      </w:pPr>
    </w:p>
    <w:p>
      <w:pPr>
        <w:ind w:firstLine="560"/>
        <w:rPr>
          <w:color w:val="auto"/>
        </w:rPr>
      </w:pPr>
    </w:p>
    <w:p>
      <w:pPr>
        <w:pStyle w:val="2"/>
        <w:ind w:left="560"/>
        <w:rPr>
          <w:color w:val="auto"/>
        </w:rPr>
      </w:pPr>
    </w:p>
    <w:p>
      <w:pPr>
        <w:ind w:firstLine="560"/>
        <w:rPr>
          <w:color w:val="auto"/>
        </w:rPr>
      </w:pPr>
    </w:p>
    <w:p>
      <w:pPr>
        <w:pStyle w:val="2"/>
        <w:ind w:left="560"/>
        <w:rPr>
          <w:color w:val="auto"/>
        </w:rPr>
      </w:pPr>
    </w:p>
    <w:p>
      <w:pPr>
        <w:ind w:firstLine="560"/>
        <w:rPr>
          <w:color w:val="auto"/>
        </w:rPr>
      </w:pPr>
      <w:r>
        <w:rPr>
          <w:color w:val="auto"/>
        </w:rPr>
        <w:drawing>
          <wp:anchor distT="0" distB="0" distL="114300" distR="114300" simplePos="0" relativeHeight="251663360" behindDoc="0" locked="0" layoutInCell="1" allowOverlap="1">
            <wp:simplePos x="0" y="0"/>
            <wp:positionH relativeFrom="column">
              <wp:posOffset>410845</wp:posOffset>
            </wp:positionH>
            <wp:positionV relativeFrom="paragraph">
              <wp:posOffset>116205</wp:posOffset>
            </wp:positionV>
            <wp:extent cx="4095750" cy="3314700"/>
            <wp:effectExtent l="19050" t="0" r="0" b="0"/>
            <wp:wrapNone/>
            <wp:docPr id="61" name="Picut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utre 21"/>
                    <pic:cNvPicPr>
                      <a:picLocks noChangeAspect="1" noChangeArrowheads="1"/>
                    </pic:cNvPicPr>
                  </pic:nvPicPr>
                  <pic:blipFill>
                    <a:blip r:embed="rId22"/>
                    <a:srcRect/>
                    <a:stretch>
                      <a:fillRect/>
                    </a:stretch>
                  </pic:blipFill>
                  <pic:spPr>
                    <a:xfrm>
                      <a:off x="0" y="0"/>
                      <a:ext cx="4095750" cy="3314700"/>
                    </a:xfrm>
                    <a:prstGeom prst="rect">
                      <a:avLst/>
                    </a:prstGeom>
                    <a:noFill/>
                    <a:ln w="9525" cmpd="sng">
                      <a:noFill/>
                      <a:miter lim="800000"/>
                      <a:headEnd/>
                      <a:tailEnd/>
                    </a:ln>
                  </pic:spPr>
                </pic:pic>
              </a:graphicData>
            </a:graphic>
          </wp:anchor>
        </w:drawing>
      </w: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480"/>
        <w:textAlignment w:val="baseline"/>
        <w:rPr>
          <w:rFonts w:ascii="宋体" w:hAnsi="宋体" w:cs="宋体"/>
          <w:snapToGrid w:val="0"/>
          <w:color w:val="auto"/>
          <w:kern w:val="0"/>
          <w:sz w:val="24"/>
        </w:rPr>
      </w:pPr>
    </w:p>
    <w:p>
      <w:pPr>
        <w:adjustRightInd w:val="0"/>
        <w:snapToGrid w:val="0"/>
        <w:spacing w:line="500" w:lineRule="exact"/>
        <w:ind w:firstLine="2094" w:firstLineChars="745"/>
        <w:textAlignment w:val="baseline"/>
        <w:rPr>
          <w:rFonts w:ascii="宋体" w:hAnsi="宋体" w:cs="宋体"/>
          <w:b/>
          <w:snapToGrid w:val="0"/>
          <w:color w:val="auto"/>
          <w:kern w:val="0"/>
          <w:szCs w:val="21"/>
        </w:rPr>
      </w:pPr>
      <w:r>
        <w:rPr>
          <w:rFonts w:hint="eastAsia" w:ascii="宋体" w:hAnsi="宋体" w:cs="宋体"/>
          <w:b/>
          <w:snapToGrid w:val="0"/>
          <w:color w:val="auto"/>
          <w:kern w:val="0"/>
          <w:szCs w:val="21"/>
        </w:rPr>
        <w:t>图2-1   矿区交通位置图</w:t>
      </w:r>
    </w:p>
    <w:p>
      <w:pPr>
        <w:spacing w:line="360" w:lineRule="auto"/>
        <w:ind w:firstLine="560"/>
        <w:rPr>
          <w:color w:val="auto"/>
        </w:rPr>
      </w:pPr>
      <w:r>
        <w:rPr>
          <w:rFonts w:hint="eastAsia"/>
          <w:color w:val="auto"/>
        </w:rPr>
        <w:t xml:space="preserve">2）矿区范围 </w:t>
      </w:r>
    </w:p>
    <w:p>
      <w:pPr>
        <w:spacing w:line="360" w:lineRule="auto"/>
        <w:ind w:firstLine="560"/>
        <w:rPr>
          <w:color w:val="auto"/>
        </w:rPr>
      </w:pPr>
      <w:r>
        <w:rPr>
          <w:rFonts w:hint="eastAsia"/>
          <w:color w:val="auto"/>
        </w:rPr>
        <w:t>本次设计开采范围为采矿许可证批准的范围内及坐标见下表,矿区共分五个矿体各矿体开采坐标见表2-1。</w:t>
      </w:r>
    </w:p>
    <w:p>
      <w:pPr>
        <w:spacing w:line="360" w:lineRule="auto"/>
        <w:ind w:left="-42" w:leftChars="-15" w:firstLine="2479" w:firstLineChars="1029"/>
        <w:rPr>
          <w:color w:val="auto"/>
        </w:rPr>
      </w:pPr>
      <w:r>
        <w:rPr>
          <w:rFonts w:hint="eastAsia"/>
          <w:b/>
          <w:bCs/>
          <w:color w:val="auto"/>
          <w:sz w:val="24"/>
          <w:lang w:bidi="en-US"/>
        </w:rPr>
        <w:t xml:space="preserve">表2-1  </w:t>
      </w:r>
      <w:r>
        <w:rPr>
          <w:b/>
          <w:bCs/>
          <w:color w:val="auto"/>
          <w:sz w:val="24"/>
          <w:lang w:bidi="en-US"/>
        </w:rPr>
        <w:t>矿</w:t>
      </w:r>
      <w:r>
        <w:rPr>
          <w:rFonts w:hint="eastAsia"/>
          <w:b/>
          <w:bCs/>
          <w:color w:val="auto"/>
          <w:sz w:val="24"/>
          <w:lang w:bidi="en-US"/>
        </w:rPr>
        <w:t>区</w:t>
      </w:r>
      <w:r>
        <w:rPr>
          <w:b/>
          <w:bCs/>
          <w:color w:val="auto"/>
          <w:sz w:val="24"/>
          <w:lang w:bidi="en-US"/>
        </w:rPr>
        <w:t>范围拐点坐标表</w:t>
      </w:r>
    </w:p>
    <w:tbl>
      <w:tblPr>
        <w:tblStyle w:val="36"/>
        <w:tblW w:w="10432" w:type="dxa"/>
        <w:tblInd w:w="-176" w:type="dxa"/>
        <w:tblLayout w:type="fixed"/>
        <w:tblCellMar>
          <w:top w:w="0" w:type="dxa"/>
          <w:left w:w="108" w:type="dxa"/>
          <w:bottom w:w="0" w:type="dxa"/>
          <w:right w:w="108" w:type="dxa"/>
        </w:tblCellMar>
      </w:tblPr>
      <w:tblGrid>
        <w:gridCol w:w="1135"/>
        <w:gridCol w:w="1570"/>
        <w:gridCol w:w="1569"/>
        <w:gridCol w:w="1116"/>
        <w:gridCol w:w="1586"/>
        <w:gridCol w:w="1728"/>
        <w:gridCol w:w="1728"/>
      </w:tblGrid>
      <w:tr>
        <w:tblPrEx>
          <w:tblLayout w:type="fixed"/>
          <w:tblCellMar>
            <w:top w:w="0" w:type="dxa"/>
            <w:left w:w="108" w:type="dxa"/>
            <w:bottom w:w="0" w:type="dxa"/>
            <w:right w:w="108" w:type="dxa"/>
          </w:tblCellMar>
        </w:tblPrEx>
        <w:trPr>
          <w:gridAfter w:val="1"/>
          <w:wAfter w:w="1728" w:type="dxa"/>
          <w:trHeight w:val="600" w:hRule="atLeast"/>
        </w:trPr>
        <w:tc>
          <w:tcPr>
            <w:tcW w:w="1135" w:type="dxa"/>
            <w:tcBorders>
              <w:top w:val="single" w:color="auto" w:sz="8" w:space="0"/>
              <w:left w:val="single" w:color="auto" w:sz="8" w:space="0"/>
              <w:bottom w:val="nil"/>
              <w:right w:val="single" w:color="auto" w:sz="8" w:space="0"/>
            </w:tcBorders>
            <w:vAlign w:val="center"/>
          </w:tcPr>
          <w:p>
            <w:pPr>
              <w:wordWrap/>
              <w:spacing w:line="400" w:lineRule="exact"/>
              <w:ind w:firstLine="0" w:firstLineChars="0"/>
              <w:rPr>
                <w:rFonts w:ascii="宋体" w:hAnsi="宋体"/>
                <w:color w:val="auto"/>
                <w:sz w:val="24"/>
              </w:rPr>
            </w:pPr>
            <w:r>
              <w:rPr>
                <w:rFonts w:ascii="宋体" w:hAnsi="宋体"/>
                <w:color w:val="auto"/>
                <w:sz w:val="24"/>
              </w:rPr>
              <w:t>拐点</w:t>
            </w:r>
          </w:p>
        </w:tc>
        <w:tc>
          <w:tcPr>
            <w:tcW w:w="3139" w:type="dxa"/>
            <w:gridSpan w:val="2"/>
            <w:tcBorders>
              <w:top w:val="single" w:color="auto" w:sz="8" w:space="0"/>
              <w:left w:val="nil"/>
              <w:bottom w:val="single" w:color="auto" w:sz="8" w:space="0"/>
              <w:right w:val="single" w:color="000000" w:sz="8" w:space="0"/>
            </w:tcBorders>
            <w:vAlign w:val="center"/>
          </w:tcPr>
          <w:p>
            <w:pPr>
              <w:wordWrap/>
              <w:spacing w:line="400" w:lineRule="exact"/>
              <w:ind w:firstLine="1200" w:firstLineChars="500"/>
              <w:rPr>
                <w:rFonts w:ascii="宋体" w:hAnsi="宋体"/>
                <w:color w:val="auto"/>
                <w:sz w:val="24"/>
              </w:rPr>
            </w:pPr>
            <w:r>
              <w:rPr>
                <w:rFonts w:ascii="宋体" w:hAnsi="宋体"/>
                <w:color w:val="auto"/>
                <w:sz w:val="24"/>
              </w:rPr>
              <w:t>西安80坐标</w:t>
            </w:r>
          </w:p>
        </w:tc>
        <w:tc>
          <w:tcPr>
            <w:tcW w:w="1116" w:type="dxa"/>
            <w:tcBorders>
              <w:top w:val="single" w:color="auto" w:sz="8" w:space="0"/>
              <w:left w:val="nil"/>
              <w:bottom w:val="nil"/>
              <w:right w:val="single" w:color="auto" w:sz="8" w:space="0"/>
            </w:tcBorders>
            <w:vAlign w:val="center"/>
          </w:tcPr>
          <w:p>
            <w:pPr>
              <w:wordWrap/>
              <w:spacing w:line="400" w:lineRule="exact"/>
              <w:ind w:firstLine="0" w:firstLineChars="0"/>
              <w:rPr>
                <w:rFonts w:ascii="宋体" w:hAnsi="宋体"/>
                <w:color w:val="auto"/>
                <w:sz w:val="24"/>
              </w:rPr>
            </w:pPr>
            <w:r>
              <w:rPr>
                <w:rFonts w:ascii="宋体" w:hAnsi="宋体"/>
                <w:color w:val="auto"/>
                <w:sz w:val="24"/>
              </w:rPr>
              <w:t>拐点</w:t>
            </w:r>
          </w:p>
        </w:tc>
        <w:tc>
          <w:tcPr>
            <w:tcW w:w="3314" w:type="dxa"/>
            <w:gridSpan w:val="2"/>
            <w:tcBorders>
              <w:top w:val="single" w:color="auto" w:sz="8" w:space="0"/>
              <w:left w:val="nil"/>
              <w:bottom w:val="single" w:color="auto" w:sz="8" w:space="0"/>
              <w:right w:val="single" w:color="000000"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西安80坐标</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ascii="宋体" w:hAnsi="宋体"/>
                <w:color w:val="auto"/>
                <w:sz w:val="24"/>
              </w:rPr>
              <w:t>编号</w:t>
            </w:r>
          </w:p>
        </w:tc>
        <w:tc>
          <w:tcPr>
            <w:tcW w:w="1570"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X</w:t>
            </w:r>
          </w:p>
        </w:tc>
        <w:tc>
          <w:tcPr>
            <w:tcW w:w="1569"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Y</w:t>
            </w:r>
          </w:p>
        </w:tc>
        <w:tc>
          <w:tcPr>
            <w:tcW w:w="111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ascii="宋体" w:hAnsi="宋体"/>
                <w:color w:val="auto"/>
                <w:sz w:val="24"/>
              </w:rPr>
              <w:t>编号</w:t>
            </w:r>
          </w:p>
        </w:tc>
        <w:tc>
          <w:tcPr>
            <w:tcW w:w="1586"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X</w:t>
            </w:r>
          </w:p>
        </w:tc>
        <w:tc>
          <w:tcPr>
            <w:tcW w:w="1728"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Y</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2893880.54</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ascii="宋体" w:hAnsi="宋体"/>
                <w:color w:val="auto"/>
                <w:sz w:val="24"/>
              </w:rPr>
              <w:t>3</w:t>
            </w:r>
            <w:r>
              <w:rPr>
                <w:rFonts w:hint="eastAsia" w:ascii="宋体" w:hAnsi="宋体"/>
                <w:color w:val="auto"/>
                <w:sz w:val="24"/>
              </w:rPr>
              <w:t>8605549.95</w:t>
            </w:r>
          </w:p>
        </w:tc>
        <w:tc>
          <w:tcPr>
            <w:tcW w:w="1116"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24</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2894354.69</w:t>
            </w:r>
          </w:p>
        </w:tc>
        <w:tc>
          <w:tcPr>
            <w:tcW w:w="1728" w:type="dxa"/>
            <w:tcBorders>
              <w:top w:val="nil"/>
              <w:left w:val="nil"/>
              <w:bottom w:val="single" w:color="auto" w:sz="8" w:space="0"/>
              <w:right w:val="single" w:color="auto" w:sz="8" w:space="0"/>
            </w:tcBorders>
            <w:vAlign w:val="center"/>
          </w:tcPr>
          <w:p>
            <w:pPr>
              <w:wordWrap/>
              <w:spacing w:line="400" w:lineRule="exact"/>
              <w:ind w:firstLine="120" w:firstLineChars="50"/>
              <w:jc w:val="center"/>
              <w:rPr>
                <w:rFonts w:ascii="宋体" w:hAnsi="宋体"/>
                <w:color w:val="auto"/>
                <w:sz w:val="24"/>
              </w:rPr>
            </w:pPr>
            <w:r>
              <w:rPr>
                <w:rFonts w:hint="eastAsia" w:ascii="宋体" w:hAnsi="宋体"/>
                <w:color w:val="auto"/>
                <w:sz w:val="24"/>
              </w:rPr>
              <w:t>38605900.70</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J2</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hint="eastAsia" w:ascii="宋体" w:hAnsi="宋体"/>
                <w:color w:val="auto"/>
                <w:sz w:val="24"/>
              </w:rPr>
              <w:t>2893888.40</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ascii="宋体" w:hAnsi="宋体"/>
                <w:color w:val="auto"/>
                <w:sz w:val="24"/>
              </w:rPr>
              <w:t>3</w:t>
            </w:r>
            <w:r>
              <w:rPr>
                <w:rFonts w:hint="eastAsia" w:ascii="宋体" w:hAnsi="宋体"/>
                <w:color w:val="auto"/>
                <w:sz w:val="24"/>
              </w:rPr>
              <w:t>8605529.46</w:t>
            </w:r>
          </w:p>
        </w:tc>
        <w:tc>
          <w:tcPr>
            <w:tcW w:w="1116"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25</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2894379.09</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38605984.01</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J3</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hint="eastAsia" w:ascii="宋体" w:hAnsi="宋体"/>
                <w:color w:val="auto"/>
                <w:sz w:val="24"/>
              </w:rPr>
              <w:t>2893923.79</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ascii="宋体" w:hAnsi="宋体"/>
                <w:color w:val="auto"/>
                <w:sz w:val="24"/>
              </w:rPr>
              <w:t>3</w:t>
            </w:r>
            <w:r>
              <w:rPr>
                <w:rFonts w:hint="eastAsia" w:ascii="宋体" w:hAnsi="宋体"/>
                <w:color w:val="auto"/>
                <w:sz w:val="24"/>
              </w:rPr>
              <w:t>8605517.40</w:t>
            </w:r>
          </w:p>
        </w:tc>
        <w:tc>
          <w:tcPr>
            <w:tcW w:w="1116"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26</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2894355.49</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38605992.69</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J4</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hint="eastAsia" w:ascii="宋体" w:hAnsi="宋体"/>
                <w:color w:val="auto"/>
                <w:sz w:val="24"/>
              </w:rPr>
              <w:t>2894063.27</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ascii="宋体" w:hAnsi="宋体"/>
                <w:color w:val="auto"/>
                <w:sz w:val="24"/>
              </w:rPr>
              <w:t>3</w:t>
            </w:r>
            <w:r>
              <w:rPr>
                <w:rFonts w:hint="eastAsia" w:ascii="宋体" w:hAnsi="宋体"/>
                <w:color w:val="auto"/>
                <w:sz w:val="24"/>
              </w:rPr>
              <w:t>8605655</w:t>
            </w:r>
            <w:r>
              <w:rPr>
                <w:rFonts w:ascii="宋体" w:hAnsi="宋体"/>
                <w:color w:val="auto"/>
                <w:sz w:val="24"/>
              </w:rPr>
              <w:t>.</w:t>
            </w:r>
            <w:r>
              <w:rPr>
                <w:rFonts w:hint="eastAsia" w:ascii="宋体" w:hAnsi="宋体"/>
                <w:color w:val="auto"/>
                <w:sz w:val="24"/>
              </w:rPr>
              <w:t>25</w:t>
            </w:r>
          </w:p>
        </w:tc>
        <w:tc>
          <w:tcPr>
            <w:tcW w:w="1116"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27</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2894268.56</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38605936.42</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J5</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hint="eastAsia" w:ascii="宋体" w:hAnsi="宋体"/>
                <w:color w:val="auto"/>
                <w:sz w:val="24"/>
              </w:rPr>
              <w:t>2894074.78</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hint="eastAsia" w:ascii="宋体" w:hAnsi="宋体"/>
                <w:color w:val="auto"/>
                <w:sz w:val="24"/>
              </w:rPr>
              <w:t>38605693.75</w:t>
            </w:r>
          </w:p>
        </w:tc>
        <w:tc>
          <w:tcPr>
            <w:tcW w:w="1116"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28</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2894257.80</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38605818059</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J6</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hint="eastAsia" w:ascii="宋体" w:hAnsi="宋体"/>
                <w:color w:val="auto"/>
                <w:sz w:val="24"/>
              </w:rPr>
              <w:t>2894095.90</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ascii="宋体" w:hAnsi="宋体"/>
                <w:color w:val="auto"/>
                <w:sz w:val="24"/>
              </w:rPr>
              <w:t>3</w:t>
            </w:r>
            <w:r>
              <w:rPr>
                <w:rFonts w:hint="eastAsia" w:ascii="宋体" w:hAnsi="宋体"/>
                <w:color w:val="auto"/>
                <w:sz w:val="24"/>
              </w:rPr>
              <w:t>8605719.89</w:t>
            </w:r>
          </w:p>
        </w:tc>
        <w:tc>
          <w:tcPr>
            <w:tcW w:w="1116" w:type="dxa"/>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29</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2894287.79</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38605757.77</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J7</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2894116</w:t>
            </w:r>
            <w:r>
              <w:rPr>
                <w:rFonts w:ascii="宋体" w:hAnsi="宋体"/>
                <w:color w:val="auto"/>
                <w:sz w:val="24"/>
              </w:rPr>
              <w:t>.</w:t>
            </w:r>
            <w:r>
              <w:rPr>
                <w:rFonts w:hint="eastAsia" w:ascii="宋体" w:hAnsi="宋体"/>
                <w:color w:val="auto"/>
                <w:sz w:val="24"/>
              </w:rPr>
              <w:t>15</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ascii="宋体" w:hAnsi="宋体"/>
                <w:color w:val="auto"/>
                <w:sz w:val="24"/>
              </w:rPr>
              <w:t>3</w:t>
            </w:r>
            <w:r>
              <w:rPr>
                <w:rFonts w:hint="eastAsia" w:ascii="宋体" w:hAnsi="宋体"/>
                <w:color w:val="auto"/>
                <w:sz w:val="24"/>
              </w:rPr>
              <w:t>8605732</w:t>
            </w:r>
            <w:r>
              <w:rPr>
                <w:rFonts w:ascii="宋体" w:hAnsi="宋体"/>
                <w:color w:val="auto"/>
                <w:sz w:val="24"/>
              </w:rPr>
              <w:t>.</w:t>
            </w:r>
            <w:r>
              <w:rPr>
                <w:rFonts w:hint="eastAsia" w:ascii="宋体" w:hAnsi="宋体"/>
                <w:color w:val="auto"/>
                <w:sz w:val="24"/>
              </w:rPr>
              <w:t>93</w:t>
            </w:r>
          </w:p>
        </w:tc>
        <w:tc>
          <w:tcPr>
            <w:tcW w:w="4430" w:type="dxa"/>
            <w:gridSpan w:val="3"/>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highlight w:val="yellow"/>
              </w:rPr>
            </w:pPr>
            <w:r>
              <w:rPr>
                <w:rFonts w:hint="eastAsia" w:ascii="宋体" w:hAnsi="宋体"/>
                <w:color w:val="auto"/>
                <w:sz w:val="24"/>
              </w:rPr>
              <w:t>开采标高：+260m～+156m</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highlight w:val="yellow"/>
              </w:rPr>
            </w:pPr>
            <w:r>
              <w:rPr>
                <w:rFonts w:ascii="宋体" w:hAnsi="宋体"/>
                <w:color w:val="auto"/>
                <w:sz w:val="24"/>
              </w:rPr>
              <w:t>J8</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hint="eastAsia" w:ascii="宋体" w:hAnsi="宋体"/>
                <w:color w:val="auto"/>
                <w:sz w:val="24"/>
              </w:rPr>
              <w:t>2894114</w:t>
            </w:r>
            <w:r>
              <w:rPr>
                <w:rFonts w:ascii="宋体" w:hAnsi="宋体"/>
                <w:color w:val="auto"/>
                <w:sz w:val="24"/>
              </w:rPr>
              <w:t>.</w:t>
            </w:r>
            <w:r>
              <w:rPr>
                <w:rFonts w:hint="eastAsia" w:ascii="宋体" w:hAnsi="宋体"/>
                <w:color w:val="auto"/>
                <w:sz w:val="24"/>
              </w:rPr>
              <w:t>02</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ascii="宋体" w:hAnsi="宋体"/>
                <w:color w:val="auto"/>
                <w:sz w:val="24"/>
              </w:rPr>
              <w:t>3</w:t>
            </w:r>
            <w:r>
              <w:rPr>
                <w:rFonts w:hint="eastAsia" w:ascii="宋体" w:hAnsi="宋体"/>
                <w:color w:val="auto"/>
                <w:sz w:val="24"/>
              </w:rPr>
              <w:t>8605756</w:t>
            </w:r>
            <w:r>
              <w:rPr>
                <w:rFonts w:ascii="宋体" w:hAnsi="宋体"/>
                <w:color w:val="auto"/>
                <w:sz w:val="24"/>
              </w:rPr>
              <w:t>.</w:t>
            </w:r>
            <w:r>
              <w:rPr>
                <w:rFonts w:hint="eastAsia" w:ascii="宋体" w:hAnsi="宋体"/>
                <w:color w:val="auto"/>
                <w:sz w:val="24"/>
              </w:rPr>
              <w:t>49</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30</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2894337.07</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38606059.05</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J9</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hint="eastAsia" w:ascii="宋体" w:hAnsi="宋体"/>
                <w:color w:val="auto"/>
                <w:sz w:val="24"/>
              </w:rPr>
              <w:t>2894047</w:t>
            </w:r>
            <w:r>
              <w:rPr>
                <w:rFonts w:ascii="宋体" w:hAnsi="宋体"/>
                <w:color w:val="auto"/>
                <w:sz w:val="24"/>
              </w:rPr>
              <w:t>.</w:t>
            </w:r>
            <w:r>
              <w:rPr>
                <w:rFonts w:hint="eastAsia" w:ascii="宋体" w:hAnsi="宋体"/>
                <w:color w:val="auto"/>
                <w:sz w:val="24"/>
              </w:rPr>
              <w:t>91</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ascii="宋体" w:hAnsi="宋体"/>
                <w:color w:val="auto"/>
                <w:sz w:val="24"/>
              </w:rPr>
              <w:t>3</w:t>
            </w:r>
            <w:r>
              <w:rPr>
                <w:rFonts w:hint="eastAsia" w:ascii="宋体" w:hAnsi="宋体"/>
                <w:color w:val="auto"/>
                <w:sz w:val="24"/>
              </w:rPr>
              <w:t>8605732</w:t>
            </w:r>
            <w:r>
              <w:rPr>
                <w:rFonts w:ascii="宋体" w:hAnsi="宋体"/>
                <w:color w:val="auto"/>
                <w:sz w:val="24"/>
              </w:rPr>
              <w:t>.</w:t>
            </w:r>
            <w:r>
              <w:rPr>
                <w:rFonts w:hint="eastAsia" w:ascii="宋体" w:hAnsi="宋体"/>
                <w:color w:val="auto"/>
                <w:sz w:val="24"/>
              </w:rPr>
              <w:t>02</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31</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2894377.88</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386606021.80</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J10</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hint="eastAsia" w:ascii="宋体" w:hAnsi="宋体"/>
                <w:color w:val="auto"/>
                <w:sz w:val="24"/>
              </w:rPr>
              <w:t>2893946.70</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highlight w:val="yellow"/>
              </w:rPr>
            </w:pPr>
            <w:r>
              <w:rPr>
                <w:rFonts w:ascii="宋体" w:hAnsi="宋体"/>
                <w:color w:val="auto"/>
                <w:sz w:val="24"/>
              </w:rPr>
              <w:t>3</w:t>
            </w:r>
            <w:r>
              <w:rPr>
                <w:rFonts w:hint="eastAsia" w:ascii="宋体" w:hAnsi="宋体"/>
                <w:color w:val="auto"/>
                <w:sz w:val="24"/>
              </w:rPr>
              <w:t>8605660</w:t>
            </w:r>
            <w:r>
              <w:rPr>
                <w:rFonts w:ascii="宋体" w:hAnsi="宋体"/>
                <w:color w:val="auto"/>
                <w:sz w:val="24"/>
              </w:rPr>
              <w:t>.</w:t>
            </w:r>
            <w:r>
              <w:rPr>
                <w:rFonts w:hint="eastAsia" w:ascii="宋体" w:hAnsi="宋体"/>
                <w:color w:val="auto"/>
                <w:sz w:val="24"/>
              </w:rPr>
              <w:t>21</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32</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2894413.62</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3860627.50</w:t>
            </w: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J11</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2893881.63</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ascii="宋体" w:hAnsi="宋体"/>
                <w:color w:val="auto"/>
                <w:sz w:val="24"/>
              </w:rPr>
              <w:t>3</w:t>
            </w:r>
            <w:r>
              <w:rPr>
                <w:rFonts w:hint="eastAsia" w:ascii="宋体" w:hAnsi="宋体"/>
                <w:color w:val="auto"/>
                <w:sz w:val="24"/>
              </w:rPr>
              <w:t>8605592</w:t>
            </w:r>
            <w:r>
              <w:rPr>
                <w:rFonts w:ascii="宋体" w:hAnsi="宋体"/>
                <w:color w:val="auto"/>
                <w:sz w:val="24"/>
              </w:rPr>
              <w:t>.</w:t>
            </w:r>
            <w:r>
              <w:rPr>
                <w:rFonts w:hint="eastAsia" w:ascii="宋体" w:hAnsi="宋体"/>
                <w:color w:val="auto"/>
                <w:sz w:val="24"/>
              </w:rPr>
              <w:t>78</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33</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2894489.63</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38606024.38</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4274" w:type="dxa"/>
            <w:gridSpan w:val="3"/>
            <w:tcBorders>
              <w:top w:val="nil"/>
              <w:left w:val="single" w:color="auto" w:sz="8" w:space="0"/>
              <w:bottom w:val="single" w:color="auto" w:sz="8" w:space="0"/>
              <w:right w:val="single" w:color="auto" w:sz="8" w:space="0"/>
            </w:tcBorders>
            <w:vAlign w:val="center"/>
          </w:tcPr>
          <w:p>
            <w:pPr>
              <w:wordWrap/>
              <w:spacing w:line="400" w:lineRule="exact"/>
              <w:ind w:firstLine="480"/>
              <w:rPr>
                <w:rFonts w:ascii="宋体" w:hAnsi="宋体"/>
                <w:color w:val="auto"/>
                <w:sz w:val="24"/>
              </w:rPr>
            </w:pPr>
            <w:r>
              <w:rPr>
                <w:rFonts w:hint="eastAsia" w:ascii="宋体" w:hAnsi="宋体"/>
                <w:color w:val="auto"/>
                <w:sz w:val="24"/>
              </w:rPr>
              <w:t>开采标高：+260m～+176m</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34</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2894523.79</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38606033.73</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w:t>
            </w:r>
            <w:r>
              <w:rPr>
                <w:rFonts w:hint="eastAsia" w:ascii="宋体" w:hAnsi="宋体"/>
                <w:color w:val="auto"/>
                <w:sz w:val="24"/>
              </w:rPr>
              <w:t>2</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2894198.66</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38605657.48</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35</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2894557.54</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38606085.33</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w:t>
            </w:r>
            <w:r>
              <w:rPr>
                <w:rFonts w:hint="eastAsia" w:ascii="宋体" w:hAnsi="宋体"/>
                <w:color w:val="auto"/>
                <w:sz w:val="24"/>
              </w:rPr>
              <w:t>3</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2894290.97</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38605676.49</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36</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2894559.19</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38606085.76</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w:t>
            </w:r>
            <w:r>
              <w:rPr>
                <w:rFonts w:hint="eastAsia" w:ascii="宋体" w:hAnsi="宋体"/>
                <w:color w:val="auto"/>
                <w:sz w:val="24"/>
              </w:rPr>
              <w:t>4</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2894232.79</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38605754.43</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37</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2894531.79</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38606136.77</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w:t>
            </w:r>
            <w:r>
              <w:rPr>
                <w:rFonts w:hint="eastAsia" w:ascii="宋体" w:hAnsi="宋体"/>
                <w:color w:val="auto"/>
                <w:sz w:val="24"/>
              </w:rPr>
              <w:t>5</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2894221.85</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38605754.43</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38</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2894442.67</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38606115.64</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w:t>
            </w:r>
            <w:r>
              <w:rPr>
                <w:rFonts w:hint="eastAsia" w:ascii="宋体" w:hAnsi="宋体"/>
                <w:color w:val="auto"/>
                <w:sz w:val="24"/>
              </w:rPr>
              <w:t>6</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2894198.68</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38605747.02</w:t>
            </w:r>
          </w:p>
        </w:tc>
        <w:tc>
          <w:tcPr>
            <w:tcW w:w="4430" w:type="dxa"/>
            <w:gridSpan w:val="3"/>
            <w:tcBorders>
              <w:top w:val="nil"/>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hint="eastAsia" w:ascii="宋体" w:hAnsi="宋体"/>
                <w:color w:val="auto"/>
                <w:sz w:val="24"/>
              </w:rPr>
              <w:t>开采标高：+210m～+156m</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w:t>
            </w:r>
            <w:r>
              <w:rPr>
                <w:rFonts w:hint="eastAsia" w:ascii="宋体" w:hAnsi="宋体"/>
                <w:color w:val="auto"/>
                <w:sz w:val="24"/>
              </w:rPr>
              <w:t>7</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5894190.87</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38605728.06</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39</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2894591.15</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38606052.49</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w:t>
            </w:r>
            <w:r>
              <w:rPr>
                <w:rFonts w:hint="eastAsia" w:ascii="宋体" w:hAnsi="宋体"/>
                <w:color w:val="auto"/>
                <w:sz w:val="24"/>
              </w:rPr>
              <w:t>8</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2894175.55</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38605730.14</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40</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2894673.90</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38606099.45</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4274" w:type="dxa"/>
            <w:gridSpan w:val="3"/>
            <w:tcBorders>
              <w:top w:val="nil"/>
              <w:left w:val="single" w:color="auto" w:sz="8" w:space="0"/>
              <w:bottom w:val="single" w:color="auto" w:sz="8" w:space="0"/>
              <w:right w:val="single" w:color="auto" w:sz="8" w:space="0"/>
            </w:tcBorders>
            <w:vAlign w:val="center"/>
          </w:tcPr>
          <w:p>
            <w:pPr>
              <w:wordWrap/>
              <w:spacing w:line="400" w:lineRule="exact"/>
              <w:ind w:firstLine="480"/>
              <w:rPr>
                <w:rFonts w:ascii="宋体" w:hAnsi="宋体"/>
                <w:color w:val="auto"/>
                <w:sz w:val="24"/>
              </w:rPr>
            </w:pPr>
            <w:r>
              <w:rPr>
                <w:rFonts w:hint="eastAsia" w:ascii="宋体" w:hAnsi="宋体"/>
                <w:color w:val="auto"/>
                <w:sz w:val="24"/>
              </w:rPr>
              <w:t>开采标高：+260m～+156m</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41</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2894664.80</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38606130.14</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J1</w:t>
            </w:r>
            <w:r>
              <w:rPr>
                <w:rFonts w:hint="eastAsia" w:ascii="宋体" w:hAnsi="宋体"/>
                <w:color w:val="auto"/>
                <w:sz w:val="24"/>
              </w:rPr>
              <w:t>9</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2894302.52</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38605701.84</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42</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2894591.26</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38606122.41</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20</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2894361.03</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38605691.75</w:t>
            </w:r>
          </w:p>
        </w:tc>
        <w:tc>
          <w:tcPr>
            <w:tcW w:w="1116" w:type="dxa"/>
            <w:tcBorders>
              <w:top w:val="nil"/>
              <w:left w:val="nil"/>
              <w:bottom w:val="single" w:color="auto" w:sz="8" w:space="0"/>
              <w:right w:val="single" w:color="auto" w:sz="8" w:space="0"/>
            </w:tcBorders>
            <w:vAlign w:val="center"/>
          </w:tcPr>
          <w:p>
            <w:pPr>
              <w:wordWrap/>
              <w:spacing w:line="400" w:lineRule="exact"/>
              <w:ind w:firstLine="348" w:firstLineChars="145"/>
              <w:rPr>
                <w:rFonts w:ascii="宋体" w:hAnsi="宋体"/>
                <w:color w:val="auto"/>
                <w:sz w:val="24"/>
              </w:rPr>
            </w:pPr>
            <w:r>
              <w:rPr>
                <w:rFonts w:ascii="宋体" w:hAnsi="宋体"/>
                <w:color w:val="auto"/>
                <w:sz w:val="24"/>
              </w:rPr>
              <w:t>J</w:t>
            </w:r>
            <w:r>
              <w:rPr>
                <w:rFonts w:hint="eastAsia" w:ascii="宋体" w:hAnsi="宋体"/>
                <w:color w:val="auto"/>
                <w:sz w:val="24"/>
              </w:rPr>
              <w:t>43</w:t>
            </w:r>
          </w:p>
        </w:tc>
        <w:tc>
          <w:tcPr>
            <w:tcW w:w="1586"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2894586.33</w:t>
            </w:r>
          </w:p>
        </w:tc>
        <w:tc>
          <w:tcPr>
            <w:tcW w:w="1728"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38606086.74</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21</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2894467.77</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38605798.80</w:t>
            </w:r>
          </w:p>
        </w:tc>
        <w:tc>
          <w:tcPr>
            <w:tcW w:w="4430" w:type="dxa"/>
            <w:gridSpan w:val="3"/>
            <w:tcBorders>
              <w:top w:val="nil"/>
              <w:left w:val="nil"/>
              <w:bottom w:val="single" w:color="auto" w:sz="8" w:space="0"/>
              <w:right w:val="single" w:color="auto" w:sz="8" w:space="0"/>
            </w:tcBorders>
            <w:vAlign w:val="center"/>
          </w:tcPr>
          <w:p>
            <w:pPr>
              <w:wordWrap/>
              <w:spacing w:line="400" w:lineRule="exact"/>
              <w:ind w:firstLine="480"/>
              <w:rPr>
                <w:rFonts w:ascii="宋体" w:hAnsi="宋体"/>
                <w:color w:val="auto"/>
                <w:sz w:val="24"/>
              </w:rPr>
            </w:pPr>
            <w:r>
              <w:rPr>
                <w:rFonts w:hint="eastAsia" w:ascii="宋体" w:hAnsi="宋体"/>
                <w:color w:val="auto"/>
                <w:sz w:val="24"/>
              </w:rPr>
              <w:t>开采标高：+210m～+156m</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22</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2894437.62</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38605798.80</w:t>
            </w:r>
          </w:p>
        </w:tc>
        <w:tc>
          <w:tcPr>
            <w:tcW w:w="4430" w:type="dxa"/>
            <w:gridSpan w:val="3"/>
            <w:vMerge w:val="restart"/>
            <w:tcBorders>
              <w:top w:val="nil"/>
              <w:left w:val="nil"/>
              <w:right w:val="single" w:color="auto" w:sz="8" w:space="0"/>
            </w:tcBorders>
          </w:tcPr>
          <w:p>
            <w:pPr>
              <w:pStyle w:val="60"/>
              <w:rPr>
                <w:color w:val="auto"/>
              </w:rPr>
            </w:pPr>
            <w:r>
              <w:rPr>
                <w:color w:val="auto"/>
              </w:rPr>
              <w:t>矿区面积</w:t>
            </w:r>
            <w:r>
              <w:rPr>
                <w:rFonts w:ascii="Times New Roman" w:hAnsi="Times New Roman" w:eastAsia="Times New Roman" w:cs="Times New Roman"/>
                <w:color w:val="auto"/>
                <w:sz w:val="16"/>
                <w:szCs w:val="16"/>
                <w:lang w:val="en-US" w:eastAsia="zh-CN" w:bidi="en-US"/>
              </w:rPr>
              <w:t>0.0844</w:t>
            </w:r>
            <w:r>
              <w:rPr>
                <w:color w:val="auto"/>
              </w:rPr>
              <w:t>平方公里，由</w:t>
            </w:r>
            <w:r>
              <w:rPr>
                <w:rFonts w:ascii="Times New Roman" w:hAnsi="Times New Roman" w:eastAsia="Times New Roman" w:cs="Times New Roman"/>
                <w:color w:val="auto"/>
                <w:sz w:val="16"/>
                <w:szCs w:val="16"/>
              </w:rPr>
              <w:t>+260</w:t>
            </w:r>
            <w:r>
              <w:rPr>
                <w:color w:val="auto"/>
              </w:rPr>
              <w:t>米至</w:t>
            </w:r>
            <w:r>
              <w:rPr>
                <w:rFonts w:ascii="Times New Roman" w:hAnsi="Times New Roman" w:eastAsia="Times New Roman" w:cs="Times New Roman"/>
                <w:color w:val="auto"/>
                <w:sz w:val="16"/>
                <w:szCs w:val="16"/>
              </w:rPr>
              <w:t>+156</w:t>
            </w:r>
            <w:r>
              <w:rPr>
                <w:color w:val="auto"/>
              </w:rPr>
              <w:t>米标高。</w:t>
            </w: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23</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2894379.17</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38605862.18</w:t>
            </w:r>
          </w:p>
        </w:tc>
        <w:tc>
          <w:tcPr>
            <w:tcW w:w="4430" w:type="dxa"/>
            <w:gridSpan w:val="3"/>
            <w:vMerge w:val="continue"/>
            <w:tcBorders>
              <w:left w:val="nil"/>
              <w:right w:val="single" w:color="auto" w:sz="8" w:space="0"/>
            </w:tcBorders>
            <w:vAlign w:val="center"/>
          </w:tcPr>
          <w:p>
            <w:pPr>
              <w:wordWrap/>
              <w:spacing w:line="400" w:lineRule="exact"/>
              <w:ind w:firstLine="480"/>
              <w:jc w:val="center"/>
              <w:rPr>
                <w:rFonts w:ascii="宋体" w:hAnsi="宋体"/>
                <w:color w:val="auto"/>
                <w:sz w:val="24"/>
              </w:rPr>
            </w:pP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r>
              <w:rPr>
                <w:rFonts w:ascii="宋体" w:hAnsi="宋体"/>
                <w:color w:val="auto"/>
                <w:sz w:val="24"/>
              </w:rPr>
              <w:t>J</w:t>
            </w:r>
            <w:r>
              <w:rPr>
                <w:rFonts w:hint="eastAsia" w:ascii="宋体" w:hAnsi="宋体"/>
                <w:color w:val="auto"/>
                <w:sz w:val="24"/>
              </w:rPr>
              <w:t>24</w:t>
            </w:r>
          </w:p>
        </w:tc>
        <w:tc>
          <w:tcPr>
            <w:tcW w:w="1570"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2894354.69</w:t>
            </w:r>
          </w:p>
        </w:tc>
        <w:tc>
          <w:tcPr>
            <w:tcW w:w="1569" w:type="dxa"/>
            <w:tcBorders>
              <w:top w:val="nil"/>
              <w:left w:val="nil"/>
              <w:bottom w:val="single" w:color="auto" w:sz="8" w:space="0"/>
              <w:right w:val="single" w:color="auto" w:sz="8" w:space="0"/>
            </w:tcBorders>
            <w:vAlign w:val="center"/>
          </w:tcPr>
          <w:p>
            <w:pPr>
              <w:wordWrap/>
              <w:spacing w:line="400" w:lineRule="exact"/>
              <w:ind w:firstLine="0" w:firstLineChars="0"/>
              <w:rPr>
                <w:rFonts w:ascii="宋体" w:hAnsi="宋体"/>
                <w:color w:val="auto"/>
                <w:sz w:val="24"/>
              </w:rPr>
            </w:pPr>
            <w:r>
              <w:rPr>
                <w:rFonts w:hint="eastAsia" w:ascii="宋体" w:hAnsi="宋体"/>
                <w:color w:val="auto"/>
                <w:sz w:val="24"/>
              </w:rPr>
              <w:t>38605900.70</w:t>
            </w:r>
          </w:p>
        </w:tc>
        <w:tc>
          <w:tcPr>
            <w:tcW w:w="4430" w:type="dxa"/>
            <w:gridSpan w:val="3"/>
            <w:vMerge w:val="continue"/>
            <w:tcBorders>
              <w:left w:val="nil"/>
              <w:bottom w:val="single" w:color="auto" w:sz="8" w:space="0"/>
              <w:right w:val="single" w:color="auto" w:sz="8" w:space="0"/>
            </w:tcBorders>
            <w:vAlign w:val="center"/>
          </w:tcPr>
          <w:p>
            <w:pPr>
              <w:wordWrap/>
              <w:spacing w:line="400" w:lineRule="exact"/>
              <w:ind w:firstLine="480"/>
              <w:jc w:val="center"/>
              <w:rPr>
                <w:rFonts w:ascii="宋体" w:hAnsi="宋体"/>
                <w:color w:val="auto"/>
                <w:sz w:val="24"/>
              </w:rPr>
            </w:pPr>
          </w:p>
        </w:tc>
        <w:tc>
          <w:tcPr>
            <w:tcW w:w="1728" w:type="dxa"/>
            <w:vAlign w:val="center"/>
          </w:tcPr>
          <w:p>
            <w:pPr>
              <w:wordWrap/>
              <w:spacing w:line="400" w:lineRule="exact"/>
              <w:ind w:firstLine="480"/>
              <w:jc w:val="center"/>
              <w:rPr>
                <w:rFonts w:ascii="宋体" w:hAnsi="宋体"/>
                <w:color w:val="auto"/>
                <w:sz w:val="24"/>
              </w:rPr>
            </w:pPr>
          </w:p>
        </w:tc>
      </w:tr>
      <w:tr>
        <w:tblPrEx>
          <w:tblLayout w:type="fixed"/>
          <w:tblCellMar>
            <w:top w:w="0" w:type="dxa"/>
            <w:left w:w="108" w:type="dxa"/>
            <w:bottom w:w="0" w:type="dxa"/>
            <w:right w:w="108" w:type="dxa"/>
          </w:tblCellMar>
        </w:tblPrEx>
        <w:trPr>
          <w:trHeight w:val="330" w:hRule="atLeast"/>
        </w:trPr>
        <w:tc>
          <w:tcPr>
            <w:tcW w:w="1135" w:type="dxa"/>
          </w:tcPr>
          <w:p>
            <w:pPr>
              <w:wordWrap/>
              <w:spacing w:line="400" w:lineRule="exact"/>
              <w:ind w:firstLine="0" w:firstLineChars="0"/>
              <w:rPr>
                <w:rFonts w:ascii="宋体" w:hAnsi="宋体"/>
                <w:color w:val="auto"/>
                <w:sz w:val="24"/>
              </w:rPr>
            </w:pPr>
          </w:p>
        </w:tc>
        <w:tc>
          <w:tcPr>
            <w:tcW w:w="1570" w:type="dxa"/>
          </w:tcPr>
          <w:p>
            <w:pPr>
              <w:wordWrap/>
              <w:spacing w:line="400" w:lineRule="exact"/>
              <w:ind w:firstLine="0" w:firstLineChars="0"/>
              <w:rPr>
                <w:rFonts w:ascii="宋体" w:hAnsi="宋体"/>
                <w:color w:val="auto"/>
                <w:sz w:val="24"/>
              </w:rPr>
            </w:pPr>
          </w:p>
        </w:tc>
        <w:tc>
          <w:tcPr>
            <w:tcW w:w="1569" w:type="dxa"/>
          </w:tcPr>
          <w:p>
            <w:pPr>
              <w:wordWrap/>
              <w:spacing w:line="400" w:lineRule="exact"/>
              <w:ind w:firstLine="0" w:firstLineChars="0"/>
              <w:rPr>
                <w:rFonts w:ascii="宋体" w:hAnsi="宋体"/>
                <w:color w:val="auto"/>
                <w:sz w:val="24"/>
              </w:rPr>
            </w:pPr>
          </w:p>
        </w:tc>
        <w:tc>
          <w:tcPr>
            <w:tcW w:w="4430" w:type="dxa"/>
            <w:gridSpan w:val="3"/>
          </w:tcPr>
          <w:p>
            <w:pPr>
              <w:pStyle w:val="60"/>
              <w:rPr>
                <w:color w:val="auto"/>
                <w:sz w:val="24"/>
              </w:rPr>
            </w:pPr>
            <w:r>
              <w:rPr>
                <w:color w:val="auto"/>
                <w:lang w:val="en-US" w:eastAsia="en-US" w:bidi="en-US"/>
              </w:rPr>
              <w:t>.</w:t>
            </w:r>
          </w:p>
        </w:tc>
        <w:tc>
          <w:tcPr>
            <w:tcW w:w="1728" w:type="dxa"/>
          </w:tcPr>
          <w:p>
            <w:pPr>
              <w:wordWrap/>
              <w:spacing w:line="400" w:lineRule="exact"/>
              <w:ind w:firstLine="480"/>
              <w:jc w:val="center"/>
              <w:rPr>
                <w:rFonts w:ascii="宋体" w:hAnsi="宋体"/>
                <w:color w:val="auto"/>
                <w:sz w:val="24"/>
              </w:rPr>
            </w:pPr>
          </w:p>
        </w:tc>
      </w:tr>
    </w:tbl>
    <w:p>
      <w:pPr>
        <w:pStyle w:val="13"/>
        <w:ind w:firstLine="0" w:firstLineChars="0"/>
        <w:outlineLvl w:val="2"/>
        <w:rPr>
          <w:rFonts w:ascii="Times New Roman" w:hAnsi="Times New Roman"/>
          <w:b/>
          <w:bCs/>
          <w:color w:val="auto"/>
        </w:rPr>
      </w:pPr>
      <w:bookmarkStart w:id="42" w:name="_Toc26994"/>
      <w:bookmarkStart w:id="43" w:name="_Toc398643447"/>
      <w:bookmarkStart w:id="44" w:name="_Toc3092"/>
      <w:bookmarkStart w:id="45" w:name="_Toc514763865"/>
      <w:bookmarkStart w:id="46" w:name="_Toc528232004"/>
      <w:bookmarkStart w:id="47" w:name="_Toc530986659"/>
      <w:r>
        <w:rPr>
          <w:rFonts w:hint="eastAsia" w:ascii="Times New Roman" w:hAnsi="Times New Roman"/>
          <w:b/>
          <w:bCs/>
          <w:color w:val="auto"/>
        </w:rPr>
        <w:t>2.1.2周边环境</w:t>
      </w:r>
      <w:bookmarkEnd w:id="42"/>
      <w:bookmarkEnd w:id="43"/>
      <w:bookmarkEnd w:id="44"/>
      <w:bookmarkEnd w:id="45"/>
      <w:bookmarkEnd w:id="46"/>
      <w:bookmarkEnd w:id="47"/>
    </w:p>
    <w:p>
      <w:pPr>
        <w:spacing w:line="360" w:lineRule="auto"/>
        <w:ind w:firstLine="560"/>
        <w:rPr>
          <w:color w:val="auto"/>
        </w:rPr>
      </w:pPr>
      <w:r>
        <w:rPr>
          <w:rFonts w:hint="eastAsia"/>
          <w:color w:val="auto"/>
        </w:rPr>
        <w:t>矿山共分五分个矿区，分别为：</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rFonts w:hint="eastAsia"/>
          <w:color w:val="auto"/>
        </w:rPr>
        <w:t>号矿体北区、</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rFonts w:hint="eastAsia"/>
          <w:color w:val="auto"/>
        </w:rPr>
        <w:t>号矿体南区、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号矿体北区、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号矿体中区、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号矿体南区，矿周边民房较多，有部分在矿区范围内，有部分在矿旁侧，矿区300m范围内周边民房距离矿区统计（每个民房只统计一次）结果如下：</w:t>
      </w:r>
    </w:p>
    <w:p>
      <w:pPr>
        <w:adjustRightInd w:val="0"/>
        <w:snapToGrid w:val="0"/>
        <w:spacing w:line="500" w:lineRule="exact"/>
        <w:ind w:firstLine="2607" w:firstLineChars="1082"/>
        <w:textAlignment w:val="baseline"/>
        <w:rPr>
          <w:rFonts w:ascii="宋体" w:hAnsi="宋体" w:cs="宋体"/>
          <w:b/>
          <w:snapToGrid w:val="0"/>
          <w:color w:val="auto"/>
          <w:kern w:val="0"/>
          <w:sz w:val="24"/>
        </w:rPr>
      </w:pPr>
      <w:r>
        <w:rPr>
          <w:rFonts w:hint="eastAsia" w:ascii="宋体" w:hAnsi="宋体" w:cs="宋体"/>
          <w:b/>
          <w:snapToGrid w:val="0"/>
          <w:color w:val="auto"/>
          <w:kern w:val="0"/>
          <w:sz w:val="24"/>
        </w:rPr>
        <w:t>表2-2   矿区内及周边房屋统计表</w:t>
      </w:r>
    </w:p>
    <w:tbl>
      <w:tblPr>
        <w:tblStyle w:val="36"/>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293"/>
        <w:gridCol w:w="1481"/>
        <w:gridCol w:w="1481"/>
        <w:gridCol w:w="1481"/>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293" w:type="dxa"/>
          </w:tcPr>
          <w:p>
            <w:pPr>
              <w:adjustRightInd w:val="0"/>
              <w:snapToGrid w:val="0"/>
              <w:spacing w:line="500" w:lineRule="exact"/>
              <w:ind w:firstLine="480"/>
              <w:textAlignment w:val="baseline"/>
              <w:rPr>
                <w:rFonts w:ascii="宋体" w:hAnsi="宋体" w:cs="宋体"/>
                <w:snapToGrid w:val="0"/>
                <w:color w:val="auto"/>
                <w:kern w:val="0"/>
                <w:sz w:val="24"/>
              </w:rPr>
            </w:pPr>
            <w:r>
              <w:rPr>
                <w:rFonts w:hint="eastAsia" w:ascii="宋体" w:hAnsi="宋体" w:cs="宋体"/>
                <w:snapToGrid w:val="0"/>
                <w:color w:val="auto"/>
                <w:kern w:val="0"/>
                <w:sz w:val="24"/>
              </w:rPr>
              <w:t>东面</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r>
              <w:rPr>
                <w:rFonts w:hint="eastAsia" w:ascii="宋体" w:hAnsi="宋体" w:cs="宋体"/>
                <w:snapToGrid w:val="0"/>
                <w:color w:val="auto"/>
                <w:kern w:val="0"/>
                <w:sz w:val="24"/>
              </w:rPr>
              <w:t>西面</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r>
              <w:rPr>
                <w:rFonts w:hint="eastAsia" w:ascii="宋体" w:hAnsi="宋体" w:cs="宋体"/>
                <w:snapToGrid w:val="0"/>
                <w:color w:val="auto"/>
                <w:kern w:val="0"/>
                <w:sz w:val="24"/>
              </w:rPr>
              <w:t>南面</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r>
              <w:rPr>
                <w:rFonts w:hint="eastAsia" w:ascii="宋体" w:hAnsi="宋体" w:cs="宋体"/>
                <w:snapToGrid w:val="0"/>
                <w:color w:val="auto"/>
                <w:kern w:val="0"/>
                <w:sz w:val="24"/>
              </w:rPr>
              <w:t>北面</w:t>
            </w:r>
          </w:p>
        </w:tc>
        <w:tc>
          <w:tcPr>
            <w:tcW w:w="1481" w:type="dxa"/>
          </w:tcPr>
          <w:p>
            <w:pPr>
              <w:adjustRightInd w:val="0"/>
              <w:snapToGrid w:val="0"/>
              <w:spacing w:line="500" w:lineRule="exact"/>
              <w:ind w:firstLine="199" w:firstLineChars="83"/>
              <w:textAlignment w:val="baseline"/>
              <w:rPr>
                <w:rFonts w:ascii="宋体" w:hAnsi="宋体" w:cs="宋体"/>
                <w:snapToGrid w:val="0"/>
                <w:color w:val="auto"/>
                <w:kern w:val="0"/>
                <w:sz w:val="24"/>
              </w:rPr>
            </w:pPr>
            <w:r>
              <w:rPr>
                <w:rFonts w:hint="eastAsia" w:ascii="宋体" w:hAnsi="宋体" w:cs="宋体"/>
                <w:snapToGrid w:val="0"/>
                <w:color w:val="auto"/>
                <w:kern w:val="0"/>
                <w:sz w:val="24"/>
              </w:rPr>
              <w:t>矿区内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2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号矿体北区</w:t>
            </w:r>
          </w:p>
        </w:tc>
        <w:tc>
          <w:tcPr>
            <w:tcW w:w="1293"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20m处、13m处、17m处、57m、65m、76m、95m、118m、106m、123m、128m、137m、161m、180m、230m、263m、275m处各有一处房屋</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有5处民房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2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号矿体南区</w:t>
            </w:r>
          </w:p>
        </w:tc>
        <w:tc>
          <w:tcPr>
            <w:tcW w:w="1293"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25m、37m、133m、158m、174m处各有一处房屋</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42m、59m、79m、153m、249m、346m处各有一处房屋</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矿区内有7处民房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1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号矿体北区</w:t>
            </w:r>
          </w:p>
        </w:tc>
        <w:tc>
          <w:tcPr>
            <w:tcW w:w="1293"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23m、62m、75m、64m、73m处各一处房，0m处2处房，15m、22m、41m、24m、43m、50m、62m、75m、71m、93m、116m、107m、141m、154m各一处房</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1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号矿体中区</w:t>
            </w:r>
          </w:p>
        </w:tc>
        <w:tc>
          <w:tcPr>
            <w:tcW w:w="1293"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28m处有一处房</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5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1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号矿体南区</w:t>
            </w:r>
          </w:p>
        </w:tc>
        <w:tc>
          <w:tcPr>
            <w:tcW w:w="1293"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p>
        </w:tc>
      </w:tr>
    </w:tbl>
    <w:p>
      <w:pPr>
        <w:pStyle w:val="13"/>
        <w:rPr>
          <w:rFonts w:ascii="Times New Roman" w:hAnsi="Times New Roman"/>
          <w:color w:val="auto"/>
        </w:rPr>
      </w:pPr>
      <w:r>
        <w:rPr>
          <w:rFonts w:hint="eastAsia" w:ascii="Times New Roman" w:hAnsi="Times New Roman"/>
          <w:color w:val="auto"/>
        </w:rPr>
        <w:t>矿区范围内共有5个矿体，矿区内及矿区外均有较多民房，矿山开采过程中，矿山开采边坡与矿区内的民房要求保持一定的安全距离，矿区外的民房将维持现状，由于本矿开采不采用爆破工艺，矿山开采对周边民房仍有影响。</w:t>
      </w:r>
    </w:p>
    <w:p>
      <w:pPr>
        <w:pStyle w:val="13"/>
        <w:rPr>
          <w:rFonts w:ascii="Times New Roman" w:hAnsi="Times New Roman"/>
          <w:color w:val="auto"/>
        </w:rPr>
      </w:pPr>
      <w:r>
        <w:rPr>
          <w:rFonts w:hint="eastAsia" w:ascii="Times New Roman" w:hAnsi="Times New Roman"/>
          <w:color w:val="auto"/>
        </w:rPr>
        <w:t>矿区300m范围内无相邻的其他矿山、无省道、国道，500m范围内无高压线，1000m范围内无高速公路、高速铁路。</w:t>
      </w:r>
    </w:p>
    <w:p>
      <w:pPr>
        <w:pStyle w:val="4"/>
        <w:ind w:firstLine="0"/>
        <w:rPr>
          <w:rFonts w:ascii="Times New Roman" w:hAnsi="Times New Roman"/>
          <w:color w:val="auto"/>
          <w:sz w:val="28"/>
          <w:szCs w:val="28"/>
        </w:rPr>
      </w:pPr>
      <w:bookmarkStart w:id="48" w:name="_Toc28948"/>
      <w:r>
        <w:rPr>
          <w:rFonts w:ascii="Times New Roman" w:hAnsi="Times New Roman"/>
          <w:color w:val="auto"/>
          <w:sz w:val="28"/>
          <w:szCs w:val="28"/>
        </w:rPr>
        <w:t>2.2自然环境概况</w:t>
      </w:r>
      <w:bookmarkEnd w:id="48"/>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1）地形地貌</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矿区</w:t>
      </w:r>
      <w:r>
        <w:rPr>
          <w:rFonts w:ascii="仿宋_GB2312" w:hAnsi="仿宋_GB2312" w:cs="仿宋_GB2312"/>
          <w:color w:val="auto"/>
        </w:rPr>
        <w:t>属丘陵地形，区内地势最高海拔高度在170-225m</w:t>
      </w:r>
      <w:r>
        <w:rPr>
          <w:rFonts w:hint="eastAsia" w:ascii="仿宋_GB2312" w:hAnsi="仿宋_GB2312" w:cs="仿宋_GB2312"/>
          <w:color w:val="auto"/>
        </w:rPr>
        <w:t>，</w:t>
      </w:r>
      <w:r>
        <w:rPr>
          <w:rFonts w:ascii="仿宋_GB2312" w:hAnsi="仿宋_GB2312" w:cs="仿宋_GB2312"/>
          <w:color w:val="auto"/>
        </w:rPr>
        <w:t>矿区地形切割 较深，植被较发育，浮土覆盖较厚，岩石裸露较差。地形坡度一般10-20°</w:t>
      </w:r>
      <w:r>
        <w:rPr>
          <w:rFonts w:hint="eastAsia" w:ascii="仿宋_GB2312" w:hAnsi="仿宋_GB2312" w:cs="仿宋_GB2312"/>
          <w:color w:val="auto"/>
        </w:rPr>
        <w:t>。</w:t>
      </w:r>
    </w:p>
    <w:p>
      <w:pPr>
        <w:tabs>
          <w:tab w:val="center" w:pos="4605"/>
        </w:tabs>
        <w:adjustRightInd w:val="0"/>
        <w:snapToGrid w:val="0"/>
        <w:spacing w:line="500" w:lineRule="exact"/>
        <w:ind w:firstLine="480"/>
        <w:textAlignment w:val="baseline"/>
        <w:rPr>
          <w:rFonts w:ascii="宋体" w:hAnsi="宋体" w:cs="宋体"/>
          <w:snapToGrid w:val="0"/>
          <w:color w:val="auto"/>
          <w:kern w:val="0"/>
          <w:sz w:val="24"/>
        </w:rPr>
      </w:pPr>
      <w:r>
        <w:rPr>
          <w:rFonts w:ascii="宋体" w:hAnsi="宋体" w:cs="宋体"/>
          <w:color w:val="auto"/>
          <w:kern w:val="0"/>
          <w:sz w:val="24"/>
        </w:rPr>
        <w:drawing>
          <wp:anchor distT="0" distB="0" distL="114300" distR="114300" simplePos="0" relativeHeight="251664384" behindDoc="0" locked="0" layoutInCell="1" allowOverlap="1">
            <wp:simplePos x="0" y="0"/>
            <wp:positionH relativeFrom="column">
              <wp:posOffset>448945</wp:posOffset>
            </wp:positionH>
            <wp:positionV relativeFrom="paragraph">
              <wp:posOffset>83185</wp:posOffset>
            </wp:positionV>
            <wp:extent cx="4368800" cy="2178050"/>
            <wp:effectExtent l="19050" t="0" r="0" b="0"/>
            <wp:wrapNone/>
            <wp:docPr id="62" name="Picut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utre 39"/>
                    <pic:cNvPicPr>
                      <a:picLocks noChangeAspect="1" noChangeArrowheads="1"/>
                    </pic:cNvPicPr>
                  </pic:nvPicPr>
                  <pic:blipFill>
                    <a:blip r:embed="rId23"/>
                    <a:srcRect/>
                    <a:stretch>
                      <a:fillRect/>
                    </a:stretch>
                  </pic:blipFill>
                  <pic:spPr>
                    <a:xfrm>
                      <a:off x="0" y="0"/>
                      <a:ext cx="4368800" cy="2178050"/>
                    </a:xfrm>
                    <a:prstGeom prst="rect">
                      <a:avLst/>
                    </a:prstGeom>
                    <a:noFill/>
                    <a:ln w="9525" cmpd="sng">
                      <a:noFill/>
                      <a:miter lim="800000"/>
                      <a:headEnd/>
                      <a:tailEnd/>
                    </a:ln>
                  </pic:spPr>
                </pic:pic>
              </a:graphicData>
            </a:graphic>
          </wp:anchor>
        </w:drawing>
      </w:r>
    </w:p>
    <w:p>
      <w:pPr>
        <w:tabs>
          <w:tab w:val="center" w:pos="4605"/>
        </w:tabs>
        <w:adjustRightInd w:val="0"/>
        <w:snapToGrid w:val="0"/>
        <w:spacing w:line="500" w:lineRule="exact"/>
        <w:ind w:firstLine="480"/>
        <w:textAlignment w:val="baseline"/>
        <w:rPr>
          <w:rFonts w:ascii="宋体" w:hAnsi="宋体" w:cs="宋体"/>
          <w:snapToGrid w:val="0"/>
          <w:color w:val="auto"/>
          <w:kern w:val="0"/>
          <w:sz w:val="24"/>
        </w:rPr>
      </w:pPr>
    </w:p>
    <w:p>
      <w:pPr>
        <w:tabs>
          <w:tab w:val="center" w:pos="4605"/>
        </w:tabs>
        <w:adjustRightInd w:val="0"/>
        <w:snapToGrid w:val="0"/>
        <w:spacing w:line="500" w:lineRule="exact"/>
        <w:ind w:firstLine="480"/>
        <w:textAlignment w:val="baseline"/>
        <w:rPr>
          <w:rFonts w:ascii="宋体" w:hAnsi="宋体" w:cs="宋体"/>
          <w:snapToGrid w:val="0"/>
          <w:color w:val="auto"/>
          <w:kern w:val="0"/>
          <w:sz w:val="24"/>
        </w:rPr>
      </w:pPr>
    </w:p>
    <w:p>
      <w:pPr>
        <w:tabs>
          <w:tab w:val="center" w:pos="4605"/>
        </w:tabs>
        <w:adjustRightInd w:val="0"/>
        <w:snapToGrid w:val="0"/>
        <w:spacing w:line="500" w:lineRule="exact"/>
        <w:ind w:firstLine="480"/>
        <w:textAlignment w:val="baseline"/>
        <w:rPr>
          <w:rFonts w:ascii="宋体" w:hAnsi="宋体" w:cs="宋体"/>
          <w:snapToGrid w:val="0"/>
          <w:color w:val="auto"/>
          <w:kern w:val="0"/>
          <w:sz w:val="24"/>
        </w:rPr>
      </w:pPr>
    </w:p>
    <w:p>
      <w:pPr>
        <w:tabs>
          <w:tab w:val="center" w:pos="4605"/>
        </w:tabs>
        <w:adjustRightInd w:val="0"/>
        <w:snapToGrid w:val="0"/>
        <w:spacing w:line="500" w:lineRule="exact"/>
        <w:ind w:firstLine="480"/>
        <w:textAlignment w:val="baseline"/>
        <w:rPr>
          <w:rFonts w:ascii="宋体" w:hAnsi="宋体" w:cs="宋体"/>
          <w:snapToGrid w:val="0"/>
          <w:color w:val="auto"/>
          <w:kern w:val="0"/>
          <w:sz w:val="24"/>
        </w:rPr>
      </w:pPr>
    </w:p>
    <w:p>
      <w:pPr>
        <w:tabs>
          <w:tab w:val="center" w:pos="4605"/>
        </w:tabs>
        <w:adjustRightInd w:val="0"/>
        <w:snapToGrid w:val="0"/>
        <w:spacing w:line="500" w:lineRule="exact"/>
        <w:ind w:firstLine="480"/>
        <w:textAlignment w:val="baseline"/>
        <w:rPr>
          <w:rFonts w:ascii="宋体" w:hAnsi="宋体" w:cs="宋体"/>
          <w:snapToGrid w:val="0"/>
          <w:color w:val="auto"/>
          <w:kern w:val="0"/>
          <w:sz w:val="24"/>
        </w:rPr>
      </w:pPr>
    </w:p>
    <w:p>
      <w:pPr>
        <w:tabs>
          <w:tab w:val="center" w:pos="4605"/>
        </w:tabs>
        <w:adjustRightInd w:val="0"/>
        <w:snapToGrid w:val="0"/>
        <w:spacing w:line="500" w:lineRule="exact"/>
        <w:ind w:firstLine="480"/>
        <w:textAlignment w:val="baseline"/>
        <w:rPr>
          <w:rFonts w:ascii="宋体" w:hAnsi="宋体" w:cs="宋体"/>
          <w:snapToGrid w:val="0"/>
          <w:color w:val="auto"/>
          <w:kern w:val="0"/>
          <w:sz w:val="24"/>
        </w:rPr>
      </w:pPr>
    </w:p>
    <w:p>
      <w:pPr>
        <w:tabs>
          <w:tab w:val="center" w:pos="4605"/>
        </w:tabs>
        <w:adjustRightInd w:val="0"/>
        <w:snapToGrid w:val="0"/>
        <w:spacing w:line="500" w:lineRule="exact"/>
        <w:ind w:firstLine="1308" w:firstLineChars="543"/>
        <w:textAlignment w:val="baseline"/>
        <w:rPr>
          <w:rFonts w:ascii="宋体" w:hAnsi="宋体"/>
          <w:b/>
          <w:color w:val="auto"/>
          <w:sz w:val="24"/>
        </w:rPr>
      </w:pPr>
      <w:r>
        <w:rPr>
          <w:rFonts w:hint="eastAsia" w:ascii="宋体" w:hAnsi="宋体"/>
          <w:b/>
          <w:color w:val="auto"/>
          <w:sz w:val="24"/>
        </w:rPr>
        <w:t>图</w:t>
      </w:r>
      <w:r>
        <w:rPr>
          <w:rFonts w:hint="eastAsia" w:ascii="宋体" w:hAnsi="宋体"/>
          <w:b/>
          <w:iCs/>
          <w:color w:val="auto"/>
          <w:sz w:val="24"/>
        </w:rPr>
        <w:t>2-2</w:t>
      </w:r>
      <w:r>
        <w:rPr>
          <w:rFonts w:hint="eastAsia" w:ascii="宋体" w:hAnsi="宋体"/>
          <w:b/>
          <w:color w:val="auto"/>
          <w:sz w:val="24"/>
        </w:rPr>
        <w:t xml:space="preserve">       矿区地形地貌及现状</w:t>
      </w:r>
    </w:p>
    <w:p>
      <w:pPr>
        <w:pStyle w:val="93"/>
        <w:spacing w:line="360" w:lineRule="auto"/>
        <w:ind w:firstLine="560" w:firstLineChars="0"/>
        <w:rPr>
          <w:rFonts w:ascii="仿宋_GB2312" w:hAnsi="仿宋_GB2312" w:cs="仿宋_GB2312"/>
          <w:color w:val="auto"/>
        </w:rPr>
      </w:pPr>
      <w:bookmarkStart w:id="49" w:name="_Toc217354467"/>
      <w:r>
        <w:rPr>
          <w:rFonts w:hint="eastAsia" w:ascii="仿宋_GB2312" w:hAnsi="仿宋_GB2312" w:cs="仿宋_GB2312"/>
          <w:color w:val="auto"/>
        </w:rPr>
        <w:t>2）气象条件</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万安县</w:t>
      </w:r>
      <w:r>
        <w:rPr>
          <w:rFonts w:ascii="仿宋_GB2312" w:hAnsi="仿宋_GB2312" w:cs="仿宋_GB2312"/>
          <w:color w:val="auto"/>
        </w:rPr>
        <w:t>属</w:t>
      </w:r>
      <w:r>
        <w:rPr>
          <w:rFonts w:hint="eastAsia" w:ascii="仿宋_GB2312" w:hAnsi="仿宋_GB2312" w:cs="仿宋_GB2312"/>
          <w:color w:val="auto"/>
        </w:rPr>
        <w:t>中</w:t>
      </w:r>
      <w:r>
        <w:rPr>
          <w:rFonts w:ascii="仿宋_GB2312" w:hAnsi="仿宋_GB2312" w:cs="仿宋_GB2312"/>
          <w:color w:val="auto"/>
        </w:rPr>
        <w:t>亚热带季风性湿润气候，雨量充沛，光照充足，四季分明</w:t>
      </w:r>
      <w:r>
        <w:rPr>
          <w:rFonts w:hint="eastAsia" w:ascii="仿宋_GB2312" w:hAnsi="仿宋_GB2312" w:cs="仿宋_GB2312"/>
          <w:color w:val="auto"/>
        </w:rPr>
        <w:t>，无霜期长。一年中春季阴雨连绵，夏季多为暴雨，秋季晴朗凉爽，年平均气温17℃，年平均降雨量1</w:t>
      </w:r>
      <w:r>
        <w:rPr>
          <w:rFonts w:ascii="仿宋_GB2312" w:hAnsi="仿宋_GB2312" w:cs="仿宋_GB2312"/>
          <w:color w:val="auto"/>
        </w:rPr>
        <w:t>5</w:t>
      </w:r>
      <w:r>
        <w:rPr>
          <w:rFonts w:hint="eastAsia" w:ascii="仿宋_GB2312" w:hAnsi="仿宋_GB2312" w:cs="仿宋_GB2312"/>
          <w:color w:val="auto"/>
        </w:rPr>
        <w:t>91.29mm，日平均降雨量4.3597</w:t>
      </w:r>
      <w:r>
        <w:rPr>
          <w:rFonts w:ascii="仿宋_GB2312" w:hAnsi="仿宋_GB2312" w:cs="仿宋_GB2312"/>
          <w:color w:val="auto"/>
        </w:rPr>
        <w:t>mm</w:t>
      </w:r>
      <w:r>
        <w:rPr>
          <w:rFonts w:hint="eastAsia" w:ascii="仿宋_GB2312" w:hAnsi="仿宋_GB2312" w:cs="仿宋_GB2312"/>
          <w:color w:val="auto"/>
        </w:rPr>
        <w:t>，历年日最大降雨量</w:t>
      </w:r>
      <w:r>
        <w:rPr>
          <w:rFonts w:ascii="仿宋_GB2312" w:hAnsi="仿宋_GB2312" w:cs="仿宋_GB2312"/>
          <w:color w:val="auto"/>
        </w:rPr>
        <w:t>215.3mm(2009</w:t>
      </w:r>
      <w:r>
        <w:rPr>
          <w:rFonts w:hint="eastAsia" w:ascii="仿宋_GB2312" w:hAnsi="仿宋_GB2312" w:cs="仿宋_GB2312"/>
          <w:color w:val="auto"/>
        </w:rPr>
        <w:t>年7月</w:t>
      </w:r>
      <w:r>
        <w:rPr>
          <w:rFonts w:ascii="仿宋_GB2312" w:hAnsi="仿宋_GB2312" w:cs="仿宋_GB2312"/>
          <w:color w:val="auto"/>
        </w:rPr>
        <w:t>)</w:t>
      </w:r>
      <w:r>
        <w:rPr>
          <w:rFonts w:hint="eastAsia" w:ascii="仿宋_GB2312" w:hAnsi="仿宋_GB2312" w:cs="仿宋_GB2312"/>
          <w:color w:val="auto"/>
        </w:rPr>
        <w:t>，年平均无霜期285天，4～6月份为雨季，1月、11月、12月为干枯季节。矿区冬季主导风向是西北风，夏委主导风向是东南风。矿区范围内主要为沟溪地表水体，沟溪水为季节性山涧水。次为：矿区内北西侧有小水塘，随季节变化蓄水或干枯，小溪下部矿区西侧外有水塘，水量受季节变化而变化，水量较小，但基本不会干枯。</w:t>
      </w:r>
    </w:p>
    <w:bookmarkEnd w:id="49"/>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3）区域经济概况</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矿区周边经济主要以种植水稻和蔬菜为主。矿山电力充足，可以满足矿山生产、生活之用电所需。区内气候适宜，降雨充沛，附近山塘一般有水，基本能满足采场生产、生活用水需求。地方劳力富余，开采的陶瓷用砂岩矿质量较好，易于加工，生产的产品有一定市场。周边无其它采矿权和探矿权，无矿权重置。矿山对开采农业生产、生活影响不大。矿山区域可使用移动通讯联系，也可使用无线和有线程控电话联系，通讯较方便。综上所述，矿区自然地理和经济条件对矿产资源的开采比较有利。</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4）历史最高洪水位及地震情况</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本地区历史最高洪水位+130m</w:t>
      </w:r>
      <w:r>
        <w:rPr>
          <w:rFonts w:hint="eastAsia" w:ascii="仿宋_GB2312" w:hAnsi="仿宋_GB2312" w:cs="仿宋_GB2312"/>
          <w:color w:val="auto"/>
          <w:lang w:val="en-US" w:eastAsia="zh-CN"/>
        </w:rPr>
        <w:t>,</w:t>
      </w:r>
      <w:r>
        <w:rPr>
          <w:rFonts w:hint="eastAsia" w:ascii="仿宋_GB2312" w:hAnsi="仿宋_GB2312" w:cs="仿宋_GB2312"/>
          <w:color w:val="auto"/>
        </w:rPr>
        <w:t>矿区历史是</w:t>
      </w:r>
      <w:r>
        <w:rPr>
          <w:rFonts w:ascii="仿宋_GB2312" w:hAnsi="仿宋_GB2312" w:cs="仿宋_GB2312"/>
          <w:color w:val="auto"/>
        </w:rPr>
        <w:t>未发生过洪水</w:t>
      </w:r>
      <w:r>
        <w:rPr>
          <w:rFonts w:hint="eastAsia" w:ascii="仿宋_GB2312" w:hAnsi="仿宋_GB2312" w:cs="仿宋_GB2312"/>
          <w:color w:val="auto"/>
        </w:rPr>
        <w:t>。</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该区</w:t>
      </w:r>
      <w:r>
        <w:rPr>
          <w:rFonts w:ascii="仿宋_GB2312" w:hAnsi="仿宋_GB2312" w:cs="仿宋_GB2312"/>
          <w:color w:val="auto"/>
        </w:rPr>
        <w:t>抗震设防烈度为6度，设计基本地震加速度值0.05g。</w:t>
      </w:r>
    </w:p>
    <w:p>
      <w:pPr>
        <w:pStyle w:val="4"/>
        <w:ind w:firstLine="0"/>
        <w:rPr>
          <w:rFonts w:ascii="Times New Roman" w:hAnsi="Times New Roman"/>
          <w:color w:val="auto"/>
        </w:rPr>
      </w:pPr>
      <w:bookmarkStart w:id="50" w:name="_Toc30795"/>
      <w:r>
        <w:rPr>
          <w:rFonts w:ascii="Times New Roman" w:hAnsi="Times New Roman"/>
          <w:color w:val="auto"/>
        </w:rPr>
        <w:t>2.3工程地质概况</w:t>
      </w:r>
      <w:bookmarkEnd w:id="50"/>
    </w:p>
    <w:p>
      <w:pPr>
        <w:pStyle w:val="5"/>
        <w:ind w:firstLine="0" w:firstLineChars="0"/>
        <w:rPr>
          <w:rFonts w:ascii="Times New Roman" w:hAnsi="Times New Roman"/>
          <w:color w:val="auto"/>
        </w:rPr>
      </w:pPr>
      <w:bookmarkStart w:id="51" w:name="_Toc112037005"/>
      <w:bookmarkStart w:id="52" w:name="_Toc8067"/>
      <w:bookmarkStart w:id="53" w:name="_Hlk14552046"/>
      <w:r>
        <w:rPr>
          <w:rFonts w:ascii="Times New Roman" w:hAnsi="Times New Roman"/>
          <w:color w:val="auto"/>
        </w:rPr>
        <w:t>2.3.1</w:t>
      </w:r>
      <w:bookmarkEnd w:id="51"/>
      <w:bookmarkStart w:id="54" w:name="_Toc525911404"/>
      <w:bookmarkStart w:id="55" w:name="_Toc28170"/>
      <w:bookmarkStart w:id="56" w:name="_Toc112037006"/>
      <w:r>
        <w:rPr>
          <w:rFonts w:hint="eastAsia" w:ascii="Times New Roman" w:hAnsi="Times New Roman"/>
          <w:color w:val="auto"/>
        </w:rPr>
        <w:t>矿区</w:t>
      </w:r>
      <w:r>
        <w:rPr>
          <w:rFonts w:ascii="Times New Roman" w:hAnsi="Times New Roman"/>
          <w:color w:val="auto"/>
        </w:rPr>
        <w:t>地质概况</w:t>
      </w:r>
      <w:bookmarkEnd w:id="52"/>
      <w:bookmarkEnd w:id="54"/>
      <w:bookmarkEnd w:id="55"/>
    </w:p>
    <w:p>
      <w:pPr>
        <w:pStyle w:val="49"/>
        <w:spacing w:after="140" w:line="401" w:lineRule="exact"/>
        <w:ind w:firstLine="482"/>
        <w:jc w:val="both"/>
        <w:rPr>
          <w:b/>
          <w:color w:val="auto"/>
          <w:sz w:val="28"/>
          <w:szCs w:val="28"/>
        </w:rPr>
      </w:pPr>
      <w:r>
        <w:rPr>
          <w:rFonts w:ascii="Times New Roman" w:hAnsi="Times New Roman" w:eastAsia="Times New Roman" w:cs="Times New Roman"/>
          <w:b/>
          <w:bCs/>
          <w:color w:val="auto"/>
          <w:sz w:val="28"/>
          <w:szCs w:val="28"/>
          <w:lang w:val="en-US" w:eastAsia="zh-CN" w:bidi="en-US"/>
        </w:rPr>
        <w:t>2.2.1</w:t>
      </w:r>
      <w:r>
        <w:rPr>
          <w:b/>
          <w:color w:val="auto"/>
          <w:sz w:val="28"/>
          <w:szCs w:val="28"/>
        </w:rPr>
        <w:t>矿区地质及构造特征</w:t>
      </w:r>
    </w:p>
    <w:p>
      <w:pPr>
        <w:pStyle w:val="58"/>
        <w:spacing w:after="40" w:line="401" w:lineRule="exact"/>
        <w:ind w:left="0" w:firstLine="460"/>
        <w:jc w:val="both"/>
        <w:rPr>
          <w:color w:val="auto"/>
          <w:sz w:val="28"/>
          <w:szCs w:val="28"/>
        </w:rPr>
      </w:pPr>
      <w:r>
        <w:rPr>
          <w:rFonts w:eastAsia="Times New Roman"/>
          <w:b/>
          <w:bCs/>
          <w:color w:val="auto"/>
          <w:sz w:val="28"/>
          <w:szCs w:val="28"/>
          <w:lang w:val="en-US" w:eastAsia="zh-CN" w:bidi="en-US"/>
        </w:rPr>
        <w:t xml:space="preserve">2.2.1.1 </w:t>
      </w:r>
      <w:r>
        <w:rPr>
          <w:rFonts w:ascii="宋体" w:hAnsi="宋体" w:cs="宋体"/>
          <w:color w:val="auto"/>
          <w:sz w:val="28"/>
          <w:szCs w:val="28"/>
        </w:rPr>
        <w:t>地层</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矿区区基本为寒武系牛角河组下段，矿区东南侧一角分布有少量寒武系牛角 河组中段，仅在低洼处分布有第四系（Q）。</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第四系（Q）：主要为残坡积物，多分布于山坡地形较缓和低洼的地带，呈黄 褐色、灰黑色，由亚粘土、亚砂土、砂砾、耕植土组成，厚度0〜5米。亚砂土成 份主要为板岩、变质砂岩碎粒组成，亚粘土现为稻田耕积，成分肉眼难以辩认。</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寒武系牛角河组下段（ein'）；分布于大部分地区，岩性主要为浅灰绿色绢云 母板岩、板岩、变质砂岩和变余中细粒岩屑杂砂岩等，地层厚度大于500米。</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寒武系牛角河组中段（e,n2）:仅分布在矿区东南侧一角，岩性主要为主要为 浅灰色中层一厚层状变余（长石）岩屑杂砂岩、变余长石石英（杂）砂岩与浅黄 一浅绿色粉砂质板岩、绢云板岩及泥质板岩呈近等厚互层，间夹条纹条带状板岩 浅灰绿色绢云母板岩、板岩、变质砂岩和变余中细粒岩屑杂砂岩等。</w:t>
      </w:r>
    </w:p>
    <w:p>
      <w:pPr>
        <w:pStyle w:val="58"/>
        <w:spacing w:after="40" w:line="401" w:lineRule="exact"/>
        <w:ind w:left="0"/>
        <w:jc w:val="both"/>
        <w:rPr>
          <w:rFonts w:eastAsia="Times New Roman"/>
          <w:b/>
          <w:bCs/>
          <w:color w:val="auto"/>
          <w:sz w:val="28"/>
          <w:szCs w:val="28"/>
          <w:lang w:val="en-US" w:eastAsia="zh-CN" w:bidi="en-US"/>
        </w:rPr>
      </w:pPr>
      <w:r>
        <w:rPr>
          <w:rFonts w:eastAsia="Times New Roman"/>
          <w:b/>
          <w:bCs/>
          <w:color w:val="auto"/>
          <w:sz w:val="28"/>
          <w:szCs w:val="28"/>
          <w:lang w:val="en-US" w:eastAsia="zh-CN" w:bidi="en-US"/>
        </w:rPr>
        <w:t>2.2.1.2 构造</w:t>
      </w:r>
    </w:p>
    <w:p>
      <w:pPr>
        <w:pStyle w:val="49"/>
        <w:spacing w:after="0" w:line="466" w:lineRule="exact"/>
        <w:ind w:firstLine="460"/>
        <w:jc w:val="both"/>
        <w:rPr>
          <w:color w:val="auto"/>
        </w:rPr>
      </w:pPr>
      <w:r>
        <w:rPr>
          <w:rFonts w:ascii="仿宋_GB2312" w:hAnsi="仿宋_GB2312" w:cs="仿宋_GB2312"/>
          <w:color w:val="auto"/>
          <w:kern w:val="2"/>
          <w:sz w:val="28"/>
          <w:szCs w:val="24"/>
          <w:lang w:val="en-US" w:eastAsia="zh-CN" w:bidi="ar-SA"/>
        </w:rPr>
        <w:t>矿区构造简单，主要为一些小褶皱</w:t>
      </w:r>
      <w:r>
        <w:rPr>
          <w:color w:val="auto"/>
        </w:rPr>
        <w:t>。</w:t>
      </w:r>
    </w:p>
    <w:p>
      <w:pPr>
        <w:pStyle w:val="58"/>
        <w:spacing w:after="40" w:line="401" w:lineRule="exact"/>
        <w:ind w:left="0"/>
        <w:jc w:val="both"/>
        <w:rPr>
          <w:rFonts w:eastAsia="Times New Roman"/>
          <w:b/>
          <w:bCs/>
          <w:color w:val="auto"/>
          <w:sz w:val="28"/>
          <w:szCs w:val="28"/>
          <w:lang w:val="en-US" w:eastAsia="zh-CN" w:bidi="en-US"/>
        </w:rPr>
      </w:pPr>
      <w:r>
        <w:rPr>
          <w:rFonts w:eastAsia="Times New Roman"/>
          <w:b/>
          <w:bCs/>
          <w:color w:val="auto"/>
          <w:sz w:val="28"/>
          <w:szCs w:val="28"/>
          <w:lang w:val="en-US" w:eastAsia="zh-CN" w:bidi="en-US"/>
        </w:rPr>
        <w:t>2.2.1.3矿区岩浆岩</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矿区内出露的岩浆岩为侏罗纪中世永丰超单元中的白鹭单元及田村单元，仅 分布于矿区东南侧，以及分布于矿区中的细晶岩脉。</w:t>
      </w:r>
    </w:p>
    <w:p>
      <w:pPr>
        <w:pStyle w:val="58"/>
        <w:spacing w:after="40" w:line="401" w:lineRule="exact"/>
        <w:ind w:left="0"/>
        <w:jc w:val="both"/>
        <w:rPr>
          <w:rFonts w:eastAsia="Times New Roman"/>
          <w:b/>
          <w:bCs/>
          <w:color w:val="auto"/>
          <w:sz w:val="28"/>
          <w:szCs w:val="28"/>
          <w:lang w:val="en-US" w:eastAsia="zh-CN" w:bidi="en-US"/>
        </w:rPr>
      </w:pPr>
      <w:r>
        <w:rPr>
          <w:rFonts w:eastAsia="Times New Roman"/>
          <w:b/>
          <w:bCs/>
          <w:color w:val="auto"/>
          <w:sz w:val="28"/>
          <w:szCs w:val="28"/>
          <w:lang w:val="en-US" w:eastAsia="zh-CN" w:bidi="en-US"/>
        </w:rPr>
        <w:t>2.2.1.4风化壳特征</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根据区内细晶岩的风化程度及其产物在风化剖面不同深度显示出的差异，在 垂直方向由下而上可划分为弱风化带、强风化带、全风化带。各带之间是渐变的， 无清晰界面。弱风化带是细晶岩风化初期阶段的产物，风化不彻底，仍残留母岩 的斜长石和正长石等原生矿物，弱风化带为瓷石矿体，综合剥采比及最低开釆标 高，考虑到目前阶段达不到其开釆经济技术条件，本次资源量未估算瓷石矿体。 强风化带中母岩强烈风化的深度可达51m,全风化带、强风化带是瓷土矿主要矿 体。</w:t>
      </w:r>
    </w:p>
    <w:p>
      <w:pPr>
        <w:pStyle w:val="58"/>
        <w:spacing w:after="40" w:line="401" w:lineRule="exact"/>
        <w:ind w:left="0"/>
        <w:jc w:val="both"/>
        <w:rPr>
          <w:rFonts w:eastAsia="Times New Roman"/>
          <w:b/>
          <w:bCs/>
          <w:color w:val="auto"/>
          <w:sz w:val="28"/>
          <w:szCs w:val="28"/>
          <w:lang w:val="en-US" w:eastAsia="zh-CN" w:bidi="en-US"/>
        </w:rPr>
      </w:pPr>
      <w:r>
        <w:rPr>
          <w:rFonts w:eastAsia="Times New Roman"/>
          <w:b/>
          <w:bCs/>
          <w:color w:val="auto"/>
          <w:sz w:val="28"/>
          <w:szCs w:val="28"/>
          <w:lang w:val="en-US" w:eastAsia="zh-CN" w:bidi="en-US"/>
        </w:rPr>
        <w:t>2.2.2矿床地质特征</w:t>
      </w:r>
    </w:p>
    <w:p>
      <w:pPr>
        <w:pStyle w:val="58"/>
        <w:spacing w:after="80" w:line="402" w:lineRule="exact"/>
        <w:ind w:left="0"/>
        <w:jc w:val="both"/>
        <w:rPr>
          <w:color w:val="auto"/>
          <w:sz w:val="28"/>
          <w:szCs w:val="28"/>
        </w:rPr>
      </w:pPr>
      <w:r>
        <w:rPr>
          <w:rFonts w:eastAsia="Times New Roman"/>
          <w:b/>
          <w:bCs/>
          <w:color w:val="auto"/>
          <w:sz w:val="28"/>
          <w:szCs w:val="28"/>
          <w:lang w:val="en-US" w:eastAsia="zh-CN" w:bidi="en-US"/>
        </w:rPr>
        <w:t>2.2.2.1</w:t>
      </w:r>
      <w:r>
        <w:rPr>
          <w:rFonts w:ascii="宋体" w:hAnsi="宋体" w:cs="宋体"/>
          <w:color w:val="auto"/>
          <w:sz w:val="28"/>
          <w:szCs w:val="28"/>
        </w:rPr>
        <w:t>矿体地质特征</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I号矿体呈规则的脉状产出，矿体的走向为北北东向，一般为19。_42。，倾 向北西，倾角一般为57</w:t>
      </w:r>
      <w:r>
        <w:rPr>
          <w:rFonts w:hint="eastAsia" w:ascii="宋体" w:hAnsi="宋体" w:cs="宋体"/>
          <w:color w:val="auto"/>
        </w:rPr>
        <w:t>°</w:t>
      </w:r>
      <w:r>
        <w:rPr>
          <w:rFonts w:ascii="仿宋_GB2312" w:hAnsi="仿宋_GB2312" w:cs="仿宋_GB2312"/>
          <w:color w:val="auto"/>
        </w:rPr>
        <w:t>一81</w:t>
      </w:r>
      <w:r>
        <w:rPr>
          <w:rFonts w:hint="eastAsia" w:ascii="宋体" w:hAnsi="宋体" w:cs="宋体"/>
          <w:color w:val="auto"/>
        </w:rPr>
        <w:t>°</w:t>
      </w:r>
      <w:r>
        <w:rPr>
          <w:rFonts w:ascii="仿宋_GB2312" w:hAnsi="仿宋_GB2312" w:cs="仿宋_GB2312"/>
          <w:color w:val="auto"/>
        </w:rPr>
        <w:t>最陡为81</w:t>
      </w:r>
      <w:r>
        <w:rPr>
          <w:rFonts w:hint="eastAsia" w:ascii="宋体" w:hAnsi="宋体" w:cs="宋体"/>
          <w:color w:val="auto"/>
        </w:rPr>
        <w:t>°</w:t>
      </w:r>
      <w:r>
        <w:rPr>
          <w:rFonts w:ascii="仿宋_GB2312" w:hAnsi="仿宋_GB2312" w:cs="仿宋_GB2312"/>
          <w:color w:val="auto"/>
        </w:rPr>
        <w:t>左右，最缓57</w:t>
      </w:r>
      <w:r>
        <w:rPr>
          <w:rFonts w:hint="eastAsia" w:ascii="宋体" w:hAnsi="宋体" w:cs="宋体"/>
          <w:color w:val="auto"/>
        </w:rPr>
        <w:t>°</w:t>
      </w:r>
      <w:r>
        <w:rPr>
          <w:rFonts w:ascii="仿宋_GB2312" w:hAnsi="仿宋_GB2312" w:cs="仿宋_GB2312"/>
          <w:color w:val="auto"/>
        </w:rPr>
        <w:t>左右。沿走向方向延长 约650</w:t>
      </w:r>
      <w:r>
        <w:rPr>
          <w:rFonts w:hint="eastAsia" w:ascii="仿宋_GB2312" w:hAnsi="仿宋_GB2312" w:cs="仿宋_GB2312"/>
          <w:color w:val="auto"/>
        </w:rPr>
        <w:t>m</w:t>
      </w:r>
      <w:r>
        <w:rPr>
          <w:rFonts w:ascii="仿宋_GB2312" w:hAnsi="仿宋_GB2312" w:cs="仿宋_GB2312"/>
          <w:color w:val="auto"/>
        </w:rPr>
        <w:t>左右，0线矿体最厚，水平厚度为40.12</w:t>
      </w:r>
      <w:r>
        <w:rPr>
          <w:rFonts w:hint="eastAsia" w:ascii="仿宋_GB2312" w:hAnsi="仿宋_GB2312" w:cs="仿宋_GB2312"/>
          <w:color w:val="auto"/>
        </w:rPr>
        <w:t>m</w:t>
      </w:r>
      <w:r>
        <w:rPr>
          <w:rFonts w:ascii="仿宋_GB2312" w:hAnsi="仿宋_GB2312" w:cs="仿宋_GB2312"/>
          <w:color w:val="auto"/>
        </w:rPr>
        <w:t>；9线矿体最薄，水平厚度为 20.47</w:t>
      </w:r>
      <w:r>
        <w:rPr>
          <w:rFonts w:hint="eastAsia" w:ascii="仿宋_GB2312" w:hAnsi="仿宋_GB2312" w:cs="仿宋_GB2312"/>
          <w:color w:val="auto"/>
        </w:rPr>
        <w:t>m</w:t>
      </w:r>
      <w:r>
        <w:rPr>
          <w:rFonts w:ascii="仿宋_GB2312" w:hAnsi="仿宋_GB2312" w:cs="仿宋_GB2312"/>
          <w:color w:val="auto"/>
        </w:rPr>
        <w:t>，沿走向矿体向两端逐渐变小尖灭，矿体北端在2线附近村落尖灭，南段 在9线以南矿区边界附近尖灭；矿体由15个钻孔和9条探槽、3条剥土控制，工 程揭穿最大矿体铅直深度51</w:t>
      </w:r>
      <w:r>
        <w:rPr>
          <w:rFonts w:hint="eastAsia" w:ascii="仿宋_GB2312" w:hAnsi="仿宋_GB2312" w:cs="仿宋_GB2312"/>
          <w:color w:val="auto"/>
        </w:rPr>
        <w:t>m</w:t>
      </w:r>
      <w:r>
        <w:rPr>
          <w:rFonts w:ascii="仿宋_GB2312" w:hAnsi="仿宋_GB2312" w:cs="仿宋_GB2312"/>
          <w:color w:val="auto"/>
        </w:rPr>
        <w:t>，矿体沿倾斜方向延伸长度较稳定。矿体大部分矿 段直接裸露，仅1线、3线覆盖层厚度2.20-5.60</w:t>
      </w:r>
      <w:r>
        <w:rPr>
          <w:rFonts w:hint="eastAsia" w:ascii="仿宋_GB2312" w:hAnsi="仿宋_GB2312" w:cs="仿宋_GB2312"/>
          <w:color w:val="auto"/>
        </w:rPr>
        <w:t>m</w:t>
      </w:r>
      <w:r>
        <w:rPr>
          <w:rFonts w:ascii="仿宋_GB2312" w:hAnsi="仿宋_GB2312" w:cs="仿宋_GB2312"/>
          <w:color w:val="auto"/>
        </w:rPr>
        <w:t>。从见矿钻孔风化层统计可知， 全风化层、强风化层主要分布在工程铅直深度0到35</w:t>
      </w:r>
      <w:r>
        <w:rPr>
          <w:rFonts w:hint="eastAsia" w:ascii="仿宋_GB2312" w:hAnsi="仿宋_GB2312" w:cs="仿宋_GB2312"/>
          <w:color w:val="auto"/>
        </w:rPr>
        <w:t>m</w:t>
      </w:r>
      <w:r>
        <w:rPr>
          <w:rFonts w:ascii="仿宋_GB2312" w:hAnsi="仿宋_GB2312" w:cs="仿宋_GB2312"/>
          <w:color w:val="auto"/>
        </w:rPr>
        <w:t>之间，弱风化层主要分布 在工程铅直深度35到75</w:t>
      </w:r>
      <w:r>
        <w:rPr>
          <w:rFonts w:hint="eastAsia" w:ascii="仿宋_GB2312" w:hAnsi="仿宋_GB2312" w:cs="仿宋_GB2312"/>
          <w:color w:val="auto"/>
        </w:rPr>
        <w:t>m</w:t>
      </w:r>
      <w:r>
        <w:rPr>
          <w:rFonts w:ascii="仿宋_GB2312" w:hAnsi="仿宋_GB2312" w:cs="仿宋_GB2312"/>
          <w:color w:val="auto"/>
        </w:rPr>
        <w:t>之间。</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II号矿体呈规则的脉状产出，矿体的走向为北北东向，一般为16</w:t>
      </w:r>
      <w:r>
        <w:rPr>
          <w:rFonts w:hint="eastAsia" w:ascii="宋体" w:hAnsi="宋体" w:cs="宋体"/>
          <w:color w:val="auto"/>
        </w:rPr>
        <w:t>°</w:t>
      </w:r>
      <w:r>
        <w:rPr>
          <w:rFonts w:ascii="仿宋_GB2312" w:hAnsi="仿宋_GB2312" w:cs="仿宋_GB2312"/>
          <w:color w:val="auto"/>
        </w:rPr>
        <w:t>—2</w:t>
      </w:r>
      <w:r>
        <w:rPr>
          <w:rFonts w:hint="eastAsia" w:ascii="宋体" w:hAnsi="宋体" w:cs="宋体"/>
          <w:color w:val="auto"/>
        </w:rPr>
        <w:t>°</w:t>
      </w:r>
      <w:r>
        <w:rPr>
          <w:rFonts w:ascii="仿宋_GB2312" w:hAnsi="仿宋_GB2312" w:cs="仿宋_GB2312"/>
          <w:color w:val="auto"/>
        </w:rPr>
        <w:t>，倾 向北西，倾角一般为42</w:t>
      </w:r>
      <w:r>
        <w:rPr>
          <w:rFonts w:hint="eastAsia" w:ascii="宋体" w:hAnsi="宋体" w:cs="宋体"/>
          <w:color w:val="auto"/>
        </w:rPr>
        <w:t>°</w:t>
      </w:r>
      <w:r>
        <w:rPr>
          <w:rFonts w:ascii="仿宋_GB2312" w:hAnsi="仿宋_GB2312" w:cs="仿宋_GB2312"/>
          <w:color w:val="auto"/>
        </w:rPr>
        <w:t>一75</w:t>
      </w:r>
      <w:r>
        <w:rPr>
          <w:rFonts w:hint="eastAsia" w:ascii="宋体" w:hAnsi="宋体" w:cs="宋体"/>
          <w:color w:val="auto"/>
        </w:rPr>
        <w:t>°</w:t>
      </w:r>
      <w:r>
        <w:rPr>
          <w:rFonts w:ascii="仿宋_GB2312" w:hAnsi="仿宋_GB2312" w:cs="仿宋_GB2312"/>
          <w:color w:val="auto"/>
        </w:rPr>
        <w:t>，最陡为75</w:t>
      </w:r>
      <w:r>
        <w:rPr>
          <w:rFonts w:hint="eastAsia" w:ascii="宋体" w:hAnsi="宋体" w:cs="宋体"/>
          <w:color w:val="auto"/>
        </w:rPr>
        <w:t>°</w:t>
      </w:r>
      <w:r>
        <w:rPr>
          <w:rFonts w:ascii="仿宋_GB2312" w:hAnsi="仿宋_GB2312" w:cs="仿宋_GB2312"/>
          <w:color w:val="auto"/>
        </w:rPr>
        <w:t>左右，最缓42</w:t>
      </w:r>
      <w:r>
        <w:rPr>
          <w:rFonts w:hint="eastAsia" w:ascii="宋体" w:hAnsi="宋体" w:cs="宋体"/>
          <w:color w:val="auto"/>
        </w:rPr>
        <w:t>°</w:t>
      </w:r>
      <w:r>
        <w:rPr>
          <w:rFonts w:ascii="仿宋_GB2312" w:hAnsi="仿宋_GB2312" w:cs="仿宋_GB2312"/>
          <w:color w:val="auto"/>
        </w:rPr>
        <w:t>左右。沿走向方向延长 约450</w:t>
      </w:r>
      <w:r>
        <w:rPr>
          <w:rFonts w:hint="eastAsia" w:ascii="仿宋_GB2312" w:hAnsi="仿宋_GB2312" w:cs="仿宋_GB2312"/>
          <w:color w:val="auto"/>
        </w:rPr>
        <w:t>m</w:t>
      </w:r>
      <w:r>
        <w:rPr>
          <w:rFonts w:ascii="仿宋_GB2312" w:hAnsi="仿宋_GB2312" w:cs="仿宋_GB2312"/>
          <w:color w:val="auto"/>
        </w:rPr>
        <w:t>左右，2线矿体最厚，水平厚度为48.10</w:t>
      </w:r>
      <w:r>
        <w:rPr>
          <w:rFonts w:hint="eastAsia" w:ascii="仿宋_GB2312" w:hAnsi="仿宋_GB2312" w:cs="仿宋_GB2312"/>
          <w:color w:val="auto"/>
        </w:rPr>
        <w:t>m</w:t>
      </w:r>
      <w:r>
        <w:rPr>
          <w:rFonts w:ascii="仿宋_GB2312" w:hAnsi="仿宋_GB2312" w:cs="仿宋_GB2312"/>
          <w:color w:val="auto"/>
        </w:rPr>
        <w:t>；8线矿体最薄，水平厚度为 27.38</w:t>
      </w:r>
      <w:r>
        <w:rPr>
          <w:rFonts w:hint="eastAsia" w:ascii="仿宋_GB2312" w:hAnsi="仿宋_GB2312" w:cs="仿宋_GB2312"/>
          <w:color w:val="auto"/>
        </w:rPr>
        <w:t>m</w:t>
      </w:r>
      <w:r>
        <w:rPr>
          <w:rFonts w:ascii="仿宋_GB2312" w:hAnsi="仿宋_GB2312" w:cs="仿宋_GB2312"/>
          <w:color w:val="auto"/>
        </w:rPr>
        <w:t>，沿走向矿体向两端逐渐变小尖灭，矿体北端在8线以北附近尖灭，南段 在0线以南附近尖灭；矿体由6个钻孔和9条探槽、1条剥土控制，工程揭穿最大 矿体铅直深度39.3</w:t>
      </w:r>
      <w:r>
        <w:rPr>
          <w:rFonts w:hint="eastAsia" w:ascii="仿宋_GB2312" w:hAnsi="仿宋_GB2312" w:cs="仿宋_GB2312"/>
          <w:color w:val="auto"/>
        </w:rPr>
        <w:t>m</w:t>
      </w:r>
      <w:r>
        <w:rPr>
          <w:rFonts w:ascii="仿宋_GB2312" w:hAnsi="仿宋_GB2312" w:cs="仿宋_GB2312"/>
          <w:color w:val="auto"/>
        </w:rPr>
        <w:t>，矿体沿倾斜方向延伸长度较稳定。矿体大部分矿段直接裸 露，仅2线、4线覆盖层厚度0.60-1.40</w:t>
      </w:r>
      <w:r>
        <w:rPr>
          <w:rFonts w:hint="eastAsia" w:ascii="仿宋_GB2312" w:hAnsi="仿宋_GB2312" w:cs="仿宋_GB2312"/>
          <w:color w:val="auto"/>
        </w:rPr>
        <w:t>m</w:t>
      </w:r>
      <w:r>
        <w:rPr>
          <w:rFonts w:ascii="仿宋_GB2312" w:hAnsi="仿宋_GB2312" w:cs="仿宋_GB2312"/>
          <w:color w:val="auto"/>
        </w:rPr>
        <w:t>。从见矿钻孔风化层统计可知，全风化 层、强风化层主要分布在工程铅直深度0到30</w:t>
      </w:r>
      <w:r>
        <w:rPr>
          <w:rFonts w:hint="eastAsia" w:ascii="仿宋_GB2312" w:hAnsi="仿宋_GB2312" w:cs="仿宋_GB2312"/>
          <w:color w:val="auto"/>
        </w:rPr>
        <w:t>m</w:t>
      </w:r>
      <w:r>
        <w:rPr>
          <w:rFonts w:ascii="仿宋_GB2312" w:hAnsi="仿宋_GB2312" w:cs="仿宋_GB2312"/>
          <w:color w:val="auto"/>
        </w:rPr>
        <w:t>之间，弱风化层主要分布在工程 铅直深度30到42</w:t>
      </w:r>
      <w:r>
        <w:rPr>
          <w:rFonts w:hint="eastAsia" w:ascii="仿宋_GB2312" w:hAnsi="仿宋_GB2312" w:cs="仿宋_GB2312"/>
          <w:color w:val="auto"/>
        </w:rPr>
        <w:t>m</w:t>
      </w:r>
      <w:r>
        <w:rPr>
          <w:rFonts w:ascii="仿宋_GB2312" w:hAnsi="仿宋_GB2312" w:cs="仿宋_GB2312"/>
          <w:color w:val="auto"/>
        </w:rPr>
        <w:t>之间。</w:t>
      </w:r>
    </w:p>
    <w:p>
      <w:pPr>
        <w:pStyle w:val="58"/>
        <w:spacing w:after="0" w:line="350" w:lineRule="auto"/>
        <w:ind w:left="0"/>
        <w:jc w:val="both"/>
        <w:rPr>
          <w:color w:val="auto"/>
          <w:sz w:val="28"/>
          <w:szCs w:val="28"/>
        </w:rPr>
      </w:pPr>
      <w:r>
        <w:rPr>
          <w:rFonts w:hint="eastAsia"/>
          <w:b/>
          <w:bCs/>
          <w:color w:val="auto"/>
          <w:sz w:val="28"/>
          <w:szCs w:val="28"/>
          <w:lang w:val="en-US" w:eastAsia="zh-CN" w:bidi="en-US"/>
        </w:rPr>
        <w:t>2</w:t>
      </w:r>
      <w:r>
        <w:rPr>
          <w:rFonts w:eastAsia="Times New Roman"/>
          <w:b/>
          <w:bCs/>
          <w:color w:val="auto"/>
          <w:sz w:val="28"/>
          <w:szCs w:val="28"/>
          <w:lang w:val="en-US" w:eastAsia="zh-CN" w:bidi="en-US"/>
        </w:rPr>
        <w:t>.2.2.2</w:t>
      </w:r>
      <w:r>
        <w:rPr>
          <w:rFonts w:ascii="宋体" w:hAnsi="宋体" w:cs="宋体"/>
          <w:color w:val="auto"/>
          <w:sz w:val="28"/>
          <w:szCs w:val="28"/>
        </w:rPr>
        <w:t>矿石质量</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1）</w:t>
      </w:r>
      <w:r>
        <w:rPr>
          <w:rFonts w:ascii="仿宋_GB2312" w:hAnsi="仿宋_GB2312" w:cs="仿宋_GB2312"/>
          <w:color w:val="auto"/>
        </w:rPr>
        <w:t>矿石物质组成、结构、构造</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矿石中主要矿物成份为斜长石、正长石，次有石英、黑云母、萤石及暗色矿 物等，少量错石、磷灰石、黄玉等。</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矿石（细晶岩）呈浅灰色，风化后呈灰白色。矿石中主要矿物为斜长石（约 占65%—72%）、正长石、石英、黑云母及少量萤石、黄玉、磷灰石、钻石等组成。 斜长石呈半自形板状，已强粘土化，仅剩下外形轮廓。正长石呈他形一半自形板 状，具中一强泥化。石英呈他形一半自形粒状，局部具熔蚀及长英质环边。黑云 母呈半自形片状，多绿泥石化。其中正长石具强泥化，斜长石具强粘土化。</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瓷土矿呈灰白色、黄色、浅紫色，强风化、泥化、粘土化，细晶结构，松散土 状构造、块状构造。</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矿石矿物组合为：斜长石一正长石一石英一黑云母。</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2）</w:t>
      </w:r>
      <w:r>
        <w:rPr>
          <w:rFonts w:ascii="仿宋_GB2312" w:hAnsi="仿宋_GB2312" w:cs="仿宋_GB2312"/>
          <w:color w:val="auto"/>
        </w:rPr>
        <w:t>矿石的化学成份及品位</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经统计，矿区矿石中I号矿体含AI</w:t>
      </w:r>
      <w:r>
        <w:rPr>
          <w:rFonts w:ascii="仿宋_GB2312" w:hAnsi="仿宋_GB2312" w:cs="仿宋_GB2312"/>
          <w:color w:val="auto"/>
          <w:vertAlign w:val="subscript"/>
        </w:rPr>
        <w:t>2</w:t>
      </w:r>
      <w:r>
        <w:rPr>
          <w:rFonts w:ascii="仿宋_GB2312" w:hAnsi="仿宋_GB2312" w:cs="仿宋_GB2312"/>
          <w:color w:val="auto"/>
        </w:rPr>
        <w:t>O</w:t>
      </w:r>
      <w:r>
        <w:rPr>
          <w:rFonts w:ascii="仿宋_GB2312" w:hAnsi="仿宋_GB2312" w:cs="仿宋_GB2312"/>
          <w:color w:val="auto"/>
          <w:vertAlign w:val="subscript"/>
        </w:rPr>
        <w:t>3</w:t>
      </w:r>
      <w:r>
        <w:rPr>
          <w:rFonts w:ascii="仿宋_GB2312" w:hAnsi="仿宋_GB2312" w:cs="仿宋_GB2312"/>
          <w:color w:val="auto"/>
        </w:rPr>
        <w:t>11.48</w:t>
      </w:r>
      <w:r>
        <w:rPr>
          <w:rFonts w:hint="eastAsia" w:ascii="仿宋_GB2312" w:hAnsi="仿宋_GB2312" w:cs="仿宋_GB2312"/>
          <w:color w:val="auto"/>
        </w:rPr>
        <w:t>%</w:t>
      </w:r>
      <w:r>
        <w:rPr>
          <w:rFonts w:ascii="仿宋_GB2312" w:hAnsi="仿宋_GB2312" w:cs="仿宋_GB2312"/>
          <w:color w:val="auto"/>
        </w:rPr>
        <w:t>〜17.65%,平均14.29%,TiO</w:t>
      </w:r>
      <w:r>
        <w:rPr>
          <w:rFonts w:ascii="仿宋_GB2312" w:hAnsi="仿宋_GB2312" w:cs="仿宋_GB2312"/>
          <w:color w:val="auto"/>
          <w:vertAlign w:val="subscript"/>
        </w:rPr>
        <w:t>2</w:t>
      </w:r>
      <w:r>
        <w:rPr>
          <w:rFonts w:ascii="仿宋_GB2312" w:hAnsi="仿宋_GB2312" w:cs="仿宋_GB2312"/>
          <w:color w:val="auto"/>
        </w:rPr>
        <w:t>0.02- 0.09%,平均 0.03%, Fe</w:t>
      </w:r>
      <w:r>
        <w:rPr>
          <w:rFonts w:ascii="仿宋_GB2312" w:hAnsi="仿宋_GB2312" w:cs="仿宋_GB2312"/>
          <w:color w:val="auto"/>
          <w:vertAlign w:val="subscript"/>
        </w:rPr>
        <w:t>2</w:t>
      </w:r>
      <w:r>
        <w:rPr>
          <w:rFonts w:ascii="仿宋_GB2312" w:hAnsi="仿宋_GB2312" w:cs="仿宋_GB2312"/>
          <w:color w:val="auto"/>
        </w:rPr>
        <w:t>O</w:t>
      </w:r>
      <w:r>
        <w:rPr>
          <w:rFonts w:ascii="仿宋_GB2312" w:hAnsi="仿宋_GB2312" w:cs="仿宋_GB2312"/>
          <w:color w:val="auto"/>
          <w:vertAlign w:val="subscript"/>
        </w:rPr>
        <w:t>3</w:t>
      </w:r>
      <w:r>
        <w:rPr>
          <w:rFonts w:ascii="仿宋_GB2312" w:hAnsi="仿宋_GB2312" w:cs="仿宋_GB2312"/>
          <w:color w:val="auto"/>
        </w:rPr>
        <w:t>O.35</w:t>
      </w:r>
      <w:r>
        <w:rPr>
          <w:rFonts w:hint="eastAsia" w:ascii="仿宋_GB2312" w:hAnsi="仿宋_GB2312" w:cs="仿宋_GB2312"/>
          <w:color w:val="auto"/>
        </w:rPr>
        <w:t>%</w:t>
      </w:r>
      <w:r>
        <w:rPr>
          <w:rFonts w:ascii="仿宋_GB2312" w:hAnsi="仿宋_GB2312" w:cs="仿宋_GB2312"/>
          <w:color w:val="auto"/>
        </w:rPr>
        <w:t>~l.26%,平均 0.76%,跖03.83〜6.39%,平均 5.34%, Na</w:t>
      </w:r>
      <w:r>
        <w:rPr>
          <w:rFonts w:ascii="仿宋_GB2312" w:hAnsi="仿宋_GB2312" w:cs="仿宋_GB2312"/>
          <w:color w:val="auto"/>
          <w:vertAlign w:val="subscript"/>
        </w:rPr>
        <w:t>2</w:t>
      </w:r>
      <w:r>
        <w:rPr>
          <w:rFonts w:ascii="仿宋_GB2312" w:hAnsi="仿宋_GB2312" w:cs="仿宋_GB2312"/>
          <w:color w:val="auto"/>
        </w:rPr>
        <w:t>O0.14—2.44%,平均 0.68%, SiO</w:t>
      </w:r>
      <w:r>
        <w:rPr>
          <w:rFonts w:ascii="仿宋_GB2312" w:hAnsi="仿宋_GB2312" w:cs="仿宋_GB2312"/>
          <w:color w:val="auto"/>
          <w:vertAlign w:val="subscript"/>
        </w:rPr>
        <w:t>2</w:t>
      </w:r>
      <w:r>
        <w:rPr>
          <w:rFonts w:ascii="仿宋_GB2312" w:hAnsi="仿宋_GB2312" w:cs="仿宋_GB2312"/>
          <w:color w:val="auto"/>
        </w:rPr>
        <w:t>6O.ll〜76.52%,平均 71.50%,白度 31.80〜 69.50,平均 52.83O</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II 号矿体含 Al</w:t>
      </w:r>
      <w:r>
        <w:rPr>
          <w:rFonts w:ascii="仿宋_GB2312" w:hAnsi="仿宋_GB2312" w:cs="仿宋_GB2312"/>
          <w:color w:val="auto"/>
          <w:vertAlign w:val="subscript"/>
        </w:rPr>
        <w:t>2</w:t>
      </w:r>
      <w:r>
        <w:rPr>
          <w:rFonts w:ascii="仿宋_GB2312" w:hAnsi="仿宋_GB2312" w:cs="仿宋_GB2312"/>
          <w:color w:val="auto"/>
        </w:rPr>
        <w:t>O</w:t>
      </w:r>
      <w:r>
        <w:rPr>
          <w:rFonts w:ascii="仿宋_GB2312" w:hAnsi="仿宋_GB2312" w:cs="仿宋_GB2312"/>
          <w:color w:val="auto"/>
          <w:vertAlign w:val="subscript"/>
        </w:rPr>
        <w:t>3</w:t>
      </w:r>
      <w:r>
        <w:rPr>
          <w:rFonts w:ascii="仿宋_GB2312" w:hAnsi="仿宋_GB2312" w:cs="仿宋_GB2312"/>
          <w:color w:val="auto"/>
        </w:rPr>
        <w:t>12.90%〜17.38%,平均 14.80%, Ti0</w:t>
      </w:r>
      <w:r>
        <w:rPr>
          <w:rFonts w:ascii="仿宋_GB2312" w:hAnsi="仿宋_GB2312" w:cs="仿宋_GB2312"/>
          <w:color w:val="auto"/>
          <w:vertAlign w:val="subscript"/>
        </w:rPr>
        <w:t>2</w:t>
      </w:r>
      <w:r>
        <w:rPr>
          <w:rFonts w:ascii="仿宋_GB2312" w:hAnsi="仿宋_GB2312" w:cs="仿宋_GB2312"/>
          <w:color w:val="auto"/>
        </w:rPr>
        <w:t>0.02%~0.08%,平均 0.03%, Fe</w:t>
      </w:r>
      <w:r>
        <w:rPr>
          <w:rFonts w:ascii="仿宋_GB2312" w:hAnsi="仿宋_GB2312" w:cs="仿宋_GB2312"/>
          <w:color w:val="auto"/>
          <w:vertAlign w:val="subscript"/>
        </w:rPr>
        <w:t>2</w:t>
      </w:r>
      <w:r>
        <w:rPr>
          <w:rFonts w:ascii="仿宋_GB2312" w:hAnsi="仿宋_GB2312" w:cs="仿宋_GB2312"/>
          <w:color w:val="auto"/>
        </w:rPr>
        <w:t>O</w:t>
      </w:r>
      <w:r>
        <w:rPr>
          <w:rFonts w:ascii="仿宋_GB2312" w:hAnsi="仿宋_GB2312" w:cs="仿宋_GB2312"/>
          <w:color w:val="auto"/>
          <w:vertAlign w:val="subscript"/>
        </w:rPr>
        <w:t>3</w:t>
      </w:r>
      <w:r>
        <w:rPr>
          <w:rFonts w:ascii="仿宋_GB2312" w:hAnsi="仿宋_GB2312" w:cs="仿宋_GB2312"/>
          <w:color w:val="auto"/>
        </w:rPr>
        <w:t>0.33%~1.51%,平均 0.69%,跖04.22%〜6.14%,平均 5.40%, Na</w:t>
      </w:r>
      <w:r>
        <w:rPr>
          <w:rFonts w:ascii="仿宋_GB2312" w:hAnsi="仿宋_GB2312" w:cs="仿宋_GB2312"/>
          <w:color w:val="auto"/>
          <w:vertAlign w:val="subscript"/>
        </w:rPr>
        <w:t>2</w:t>
      </w:r>
      <w:r>
        <w:rPr>
          <w:rFonts w:ascii="仿宋_GB2312" w:hAnsi="仿宋_GB2312" w:cs="仿宋_GB2312"/>
          <w:color w:val="auto"/>
        </w:rPr>
        <w:t>O0.10-0.26%, 平均 0.16%, SiO</w:t>
      </w:r>
      <w:r>
        <w:rPr>
          <w:rFonts w:ascii="仿宋_GB2312" w:hAnsi="仿宋_GB2312" w:cs="仿宋_GB2312"/>
          <w:color w:val="auto"/>
          <w:vertAlign w:val="subscript"/>
        </w:rPr>
        <w:t>2</w:t>
      </w:r>
      <w:r>
        <w:rPr>
          <w:rFonts w:ascii="仿宋_GB2312" w:hAnsi="仿宋_GB2312" w:cs="仿宋_GB2312"/>
          <w:color w:val="auto"/>
        </w:rPr>
        <w:t>68.41%-76.33%,平均 72.62%,白度 50.00〜70.90,平均 60.72。</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3）</w:t>
      </w:r>
      <w:r>
        <w:rPr>
          <w:rFonts w:ascii="仿宋_GB2312" w:hAnsi="仿宋_GB2312" w:cs="仿宋_GB2312"/>
          <w:color w:val="auto"/>
        </w:rPr>
        <w:t>矿石类型及品级</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（1）</w:t>
      </w:r>
      <w:r>
        <w:rPr>
          <w:rFonts w:ascii="仿宋_GB2312" w:hAnsi="仿宋_GB2312" w:cs="仿宋_GB2312"/>
          <w:color w:val="auto"/>
        </w:rPr>
        <w:t>矿石的自然类型</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区内矿石的自然类型为全风化-强风化细晶岩脉型。矿石呈灰白色局部黄色、 浅紫色，地表矿体受风化后呈灰白色、浅黄土状瓷土矿。</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（2）</w:t>
      </w:r>
      <w:r>
        <w:rPr>
          <w:rFonts w:ascii="仿宋_GB2312" w:hAnsi="仿宋_GB2312" w:cs="仿宋_GB2312"/>
          <w:color w:val="auto"/>
        </w:rPr>
        <w:t>矿石工业类型</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依据矿区矿石矿物组合、化学成分，将全区矿石工业类型划分为：陶瓷砖生 产用瓷土原料，主要用于陶瓷原料等，</w:t>
      </w:r>
    </w:p>
    <w:p>
      <w:pPr>
        <w:pStyle w:val="58"/>
        <w:spacing w:after="0" w:line="350" w:lineRule="auto"/>
        <w:ind w:left="0"/>
        <w:jc w:val="both"/>
        <w:rPr>
          <w:b/>
          <w:bCs/>
          <w:color w:val="auto"/>
          <w:sz w:val="28"/>
          <w:szCs w:val="28"/>
          <w:lang w:val="en-US" w:eastAsia="zh-CN" w:bidi="en-US"/>
        </w:rPr>
      </w:pPr>
      <w:r>
        <w:rPr>
          <w:b/>
          <w:bCs/>
          <w:color w:val="auto"/>
          <w:sz w:val="28"/>
          <w:szCs w:val="28"/>
          <w:lang w:val="en-US" w:eastAsia="zh-CN" w:bidi="en-US"/>
        </w:rPr>
        <w:t>2.2.2.3围岩及蚀变、夹石</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 xml:space="preserve">矿体下盘围岩为灰色、深灰色绢云母板岩，灰色变质砂岩。从工程揭露及取 样结果，矿体仅有少量的夹石，仅在ZK7-03见绢云母板岩夹层，夹层厚度为3.10 </w:t>
      </w:r>
      <w:r>
        <w:rPr>
          <w:rFonts w:hint="eastAsia" w:ascii="仿宋_GB2312" w:hAnsi="仿宋_GB2312" w:cs="仿宋_GB2312"/>
          <w:color w:val="auto"/>
        </w:rPr>
        <w:t>m</w:t>
      </w:r>
      <w:r>
        <w:rPr>
          <w:rFonts w:ascii="仿宋_GB2312" w:hAnsi="仿宋_GB2312" w:cs="仿宋_GB2312"/>
          <w:color w:val="auto"/>
        </w:rPr>
        <w:t>。矿体大部分直接裸露，覆盖层较薄。</w:t>
      </w:r>
    </w:p>
    <w:p>
      <w:pPr>
        <w:pStyle w:val="58"/>
        <w:spacing w:after="0" w:line="350" w:lineRule="auto"/>
        <w:ind w:left="0"/>
        <w:jc w:val="both"/>
        <w:rPr>
          <w:b/>
          <w:bCs/>
          <w:color w:val="auto"/>
          <w:sz w:val="28"/>
          <w:szCs w:val="28"/>
          <w:lang w:val="en-US" w:eastAsia="zh-CN" w:bidi="en-US"/>
        </w:rPr>
      </w:pPr>
      <w:r>
        <w:rPr>
          <w:b/>
          <w:bCs/>
          <w:color w:val="auto"/>
          <w:sz w:val="28"/>
          <w:szCs w:val="28"/>
          <w:lang w:val="en-US" w:eastAsia="zh-CN" w:bidi="en-US"/>
        </w:rPr>
        <w:t>2.2.2.4矿石加工技术性能</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矿石呈灰白色、结构较单一，呈块状，且矿体中夹石很少，只需在开釆时注意 围岩的混入，无需选矿，矿石无需加工只需简单破碎即可以销售。</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据陶瓷厂技术人员介绍，该区瓷土矿主要经过用顎式碎破机粗粉碎，之后分 别将各种原料装入瓷球磨中细粉碎，将粉碎的各单一原料按配方组成配料，最终 满足工业需要。</w:t>
      </w:r>
    </w:p>
    <w:p>
      <w:pPr>
        <w:pStyle w:val="58"/>
        <w:spacing w:after="0" w:line="350" w:lineRule="auto"/>
        <w:ind w:left="0"/>
        <w:jc w:val="both"/>
        <w:rPr>
          <w:b/>
          <w:bCs/>
          <w:color w:val="auto"/>
          <w:sz w:val="28"/>
          <w:szCs w:val="28"/>
          <w:lang w:val="en-US" w:eastAsia="zh-CN" w:bidi="en-US"/>
        </w:rPr>
      </w:pPr>
      <w:r>
        <w:rPr>
          <w:b/>
          <w:bCs/>
          <w:color w:val="auto"/>
          <w:sz w:val="28"/>
          <w:szCs w:val="28"/>
          <w:lang w:val="en-US" w:eastAsia="zh-CN" w:bidi="en-US"/>
        </w:rPr>
        <w:t>2.2.3矿床开采技术条件</w:t>
      </w:r>
    </w:p>
    <w:p>
      <w:pPr>
        <w:pStyle w:val="58"/>
        <w:spacing w:after="0" w:line="350" w:lineRule="auto"/>
        <w:ind w:left="0"/>
        <w:jc w:val="both"/>
        <w:rPr>
          <w:b/>
          <w:bCs/>
          <w:color w:val="auto"/>
          <w:sz w:val="28"/>
          <w:szCs w:val="28"/>
          <w:lang w:val="en-US" w:eastAsia="zh-CN" w:bidi="en-US"/>
        </w:rPr>
      </w:pPr>
      <w:r>
        <w:rPr>
          <w:b/>
          <w:bCs/>
          <w:color w:val="auto"/>
          <w:sz w:val="28"/>
          <w:szCs w:val="28"/>
          <w:lang w:val="en-US" w:eastAsia="zh-CN" w:bidi="en-US"/>
        </w:rPr>
        <w:t>2.2.3.1水文地质条件</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1）</w:t>
      </w:r>
      <w:r>
        <w:rPr>
          <w:rFonts w:ascii="仿宋_GB2312" w:hAnsi="仿宋_GB2312" w:cs="仿宋_GB2312"/>
          <w:color w:val="auto"/>
        </w:rPr>
        <w:t>矿区水文地质特征</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（1）</w:t>
      </w:r>
      <w:r>
        <w:rPr>
          <w:rFonts w:ascii="仿宋_GB2312" w:hAnsi="仿宋_GB2312" w:cs="仿宋_GB2312"/>
          <w:color w:val="auto"/>
        </w:rPr>
        <w:t>自然地理概况</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矿区属低山丘陵地形，区内地势最高海拔高度+275.0m,最低海拔高度 +155.3m,相对高差最大为119.7m, 一般海拔高度多在170-225m。矿区地形切割 较深，植被较发育，山坡地形坡度一般为10</w:t>
      </w:r>
      <w:r>
        <w:rPr>
          <w:rFonts w:hint="eastAsia" w:ascii="宋体" w:hAnsi="宋体" w:cs="宋体"/>
          <w:color w:val="auto"/>
        </w:rPr>
        <w:t>°</w:t>
      </w:r>
      <w:r>
        <w:rPr>
          <w:rFonts w:ascii="仿宋_GB2312" w:hAnsi="仿宋_GB2312" w:cs="仿宋_GB2312"/>
          <w:color w:val="auto"/>
        </w:rPr>
        <w:t>〜20</w:t>
      </w:r>
      <w:r>
        <w:rPr>
          <w:rFonts w:hint="eastAsia" w:ascii="宋体" w:hAnsi="宋体" w:cs="宋体"/>
          <w:color w:val="auto"/>
        </w:rPr>
        <w:t>°</w:t>
      </w:r>
      <w:r>
        <w:rPr>
          <w:rFonts w:ascii="仿宋_GB2312" w:hAnsi="仿宋_GB2312" w:cs="仿宋_GB2312"/>
          <w:color w:val="auto"/>
        </w:rPr>
        <w:t>，局部地段大于30</w:t>
      </w:r>
      <w:r>
        <w:rPr>
          <w:rFonts w:hint="eastAsia" w:ascii="宋体" w:hAnsi="宋体" w:cs="宋体"/>
          <w:color w:val="auto"/>
        </w:rPr>
        <w:t>°</w:t>
      </w:r>
      <w:r>
        <w:rPr>
          <w:rFonts w:ascii="仿宋_GB2312" w:hAnsi="仿宋_GB2312" w:cs="仿宋_GB2312"/>
          <w:color w:val="auto"/>
        </w:rPr>
        <w:t>。矿区西北 部有一小河，为长期性积水的地表水体，属降雨迳流排泄区。矿区矿体开釆最低 标高+156</w:t>
      </w:r>
      <w:r>
        <w:rPr>
          <w:rFonts w:hint="eastAsia" w:ascii="仿宋_GB2312" w:hAnsi="仿宋_GB2312" w:cs="仿宋_GB2312"/>
          <w:color w:val="auto"/>
        </w:rPr>
        <w:t>m</w:t>
      </w:r>
      <w:r>
        <w:rPr>
          <w:rFonts w:ascii="仿宋_GB2312" w:hAnsi="仿宋_GB2312" w:cs="仿宋_GB2312"/>
          <w:color w:val="auto"/>
        </w:rPr>
        <w:t>，高于当地侵蚀基准面（+155.3</w:t>
      </w:r>
      <w:r>
        <w:rPr>
          <w:rFonts w:hint="eastAsia" w:ascii="仿宋_GB2312" w:hAnsi="仿宋_GB2312" w:cs="仿宋_GB2312"/>
          <w:color w:val="auto"/>
        </w:rPr>
        <w:t>m</w:t>
      </w:r>
      <w:r>
        <w:rPr>
          <w:rFonts w:ascii="仿宋_GB2312" w:hAnsi="仿宋_GB2312" w:cs="仿宋_GB2312"/>
          <w:color w:val="auto"/>
        </w:rPr>
        <w:t>），大气降水易沿矿区内几条南北 向、东西向小溪排泄到矿区外。</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该区属亚热带季风气候区，温暖潮湿多雨，四季分明。年平均气温为18.7°C, 极端最高温度40°C,极端最低温度-6.5°C,年平均降水量1415,0mm.多年日平 均降雨量4mm,日最大降雨量260mm,年平均无霜期288天。本区年温差大，降 水量大于蒸发量，降水量集中并有暴雨发生，对矿坑充水有一定影响，但由于地 形易于形成地表迳流，易排泄到矿区外，较大地削弱了这一不利因素的影响。</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（2）</w:t>
      </w:r>
      <w:r>
        <w:rPr>
          <w:rFonts w:ascii="仿宋_GB2312" w:hAnsi="仿宋_GB2312" w:cs="仿宋_GB2312"/>
          <w:color w:val="auto"/>
        </w:rPr>
        <w:t>矿区含水层划分</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矿区瓷土矿呈脉状产出，围岩为寒武系牛角河组下段变质砂岩、绢云母板岩、 板岩。矿区地下水有以下三种类型：</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fldChar w:fldCharType="begin"/>
      </w:r>
      <w:r>
        <w:rPr>
          <w:rFonts w:hint="eastAsia" w:ascii="仿宋_GB2312" w:hAnsi="仿宋_GB2312" w:cs="仿宋_GB2312"/>
          <w:color w:val="auto"/>
        </w:rPr>
        <w:instrText xml:space="preserve">= 1 \* GB3</w:instrText>
      </w:r>
      <w:r>
        <w:rPr>
          <w:rFonts w:ascii="仿宋_GB2312" w:hAnsi="仿宋_GB2312" w:cs="仿宋_GB2312"/>
          <w:color w:val="auto"/>
        </w:rPr>
        <w:fldChar w:fldCharType="separate"/>
      </w:r>
      <w:r>
        <w:rPr>
          <w:rFonts w:hint="eastAsia" w:ascii="仿宋_GB2312" w:hAnsi="仿宋_GB2312" w:cs="仿宋_GB2312"/>
          <w:color w:val="auto"/>
        </w:rPr>
        <w:t>①</w:t>
      </w:r>
      <w:r>
        <w:rPr>
          <w:rFonts w:ascii="仿宋_GB2312" w:hAnsi="仿宋_GB2312" w:cs="仿宋_GB2312"/>
          <w:color w:val="auto"/>
        </w:rPr>
        <w:fldChar w:fldCharType="end"/>
      </w:r>
      <w:r>
        <w:rPr>
          <w:rFonts w:ascii="仿宋_GB2312" w:hAnsi="仿宋_GB2312" w:cs="仿宋_GB2312"/>
          <w:color w:val="auto"/>
        </w:rPr>
        <w:t>第四系松散孔隙含水层</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第四系松散层孔隙潜水含水层，由残坡积层、冲积层组成，分布于山麓地带 和沟谷两侧，岩层为混杂的粘土碎石，呈半胶结松散状，透水性强，富水性弱。 厚度不一，约2〜9</w:t>
      </w:r>
      <w:r>
        <w:rPr>
          <w:rFonts w:hint="eastAsia" w:ascii="仿宋_GB2312" w:hAnsi="仿宋_GB2312" w:cs="仿宋_GB2312"/>
          <w:color w:val="auto"/>
        </w:rPr>
        <w:t>m</w:t>
      </w:r>
      <w:r>
        <w:rPr>
          <w:rFonts w:ascii="仿宋_GB2312" w:hAnsi="仿宋_GB2312" w:cs="仿宋_GB2312"/>
          <w:color w:val="auto"/>
        </w:rPr>
        <w:t>，平均厚度5.6</w:t>
      </w:r>
      <w:r>
        <w:rPr>
          <w:rFonts w:hint="eastAsia" w:ascii="仿宋_GB2312" w:hAnsi="仿宋_GB2312" w:cs="仿宋_GB2312"/>
          <w:color w:val="auto"/>
        </w:rPr>
        <w:t>m</w:t>
      </w:r>
      <w:r>
        <w:rPr>
          <w:rFonts w:ascii="仿宋_GB2312" w:hAnsi="仿宋_GB2312" w:cs="仿宋_GB2312"/>
          <w:color w:val="auto"/>
        </w:rPr>
        <w:t>，水位埋深0.60〜6.90</w:t>
      </w:r>
      <w:r>
        <w:rPr>
          <w:rFonts w:hint="eastAsia" w:ascii="仿宋_GB2312" w:hAnsi="仿宋_GB2312" w:cs="仿宋_GB2312"/>
          <w:color w:val="auto"/>
        </w:rPr>
        <w:t>m</w:t>
      </w:r>
      <w:r>
        <w:rPr>
          <w:rFonts w:ascii="仿宋_GB2312" w:hAnsi="仿宋_GB2312" w:cs="仿宋_GB2312"/>
          <w:color w:val="auto"/>
        </w:rPr>
        <w:t>，本身不能形成 独立含水层，对矿床开采影响较小。</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fldChar w:fldCharType="begin"/>
      </w:r>
      <w:r>
        <w:rPr>
          <w:rFonts w:hint="eastAsia" w:ascii="仿宋_GB2312" w:hAnsi="仿宋_GB2312" w:cs="仿宋_GB2312"/>
          <w:color w:val="auto"/>
        </w:rPr>
        <w:instrText xml:space="preserve">= 2 \* GB3</w:instrText>
      </w:r>
      <w:r>
        <w:rPr>
          <w:rFonts w:ascii="仿宋_GB2312" w:hAnsi="仿宋_GB2312" w:cs="仿宋_GB2312"/>
          <w:color w:val="auto"/>
        </w:rPr>
        <w:fldChar w:fldCharType="separate"/>
      </w:r>
      <w:r>
        <w:rPr>
          <w:rFonts w:hint="eastAsia" w:ascii="仿宋_GB2312" w:hAnsi="仿宋_GB2312" w:cs="仿宋_GB2312"/>
          <w:color w:val="auto"/>
        </w:rPr>
        <w:t>②</w:t>
      </w:r>
      <w:r>
        <w:rPr>
          <w:rFonts w:ascii="仿宋_GB2312" w:hAnsi="仿宋_GB2312" w:cs="仿宋_GB2312"/>
          <w:color w:val="auto"/>
        </w:rPr>
        <w:fldChar w:fldCharType="end"/>
      </w:r>
      <w:r>
        <w:rPr>
          <w:rFonts w:ascii="仿宋_GB2312" w:hAnsi="仿宋_GB2312" w:cs="仿宋_GB2312"/>
          <w:color w:val="auto"/>
        </w:rPr>
        <w:t>基岩裂隙含水层</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基岩裂隙含水层为变质岩与瓷土矿体，由于裂隙的相互沟通，使之形成一个 统一的含水系统，但由于受岩性、裂隙发育、构造的不均一性及风化程度的影响, 使该含水组的水动力特征和含水程度在各段有所不同。通过钻孔揭露发现，全风 化层-强风化层厚度与地下水位埋深等变化有关，地下水位埋深一般3〜7m。钻进 过程中强风化段部分漏水。</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主要分布于山洼和坡脚地带。网状裂隙不发育，据地表统计，裂隙发育密度 0.1〜0.3条/m,以闭合裂隙为主，富水性差。山脊地带无蓄水条件，为透水不含水。 该含水带高于侵蚀基准面，含水性差。对矿体开釆影响不大。</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矿区瓷土矿体埋藏标高大都高于当地最低侵蚀基准面标高，地形坡度一般大于20</w:t>
      </w:r>
      <w:r>
        <w:rPr>
          <w:rFonts w:hint="eastAsia" w:ascii="宋体" w:hAnsi="宋体" w:cs="宋体"/>
          <w:color w:val="auto"/>
        </w:rPr>
        <w:t>°</w:t>
      </w:r>
      <w:r>
        <w:rPr>
          <w:rFonts w:ascii="仿宋_GB2312" w:hAnsi="仿宋_GB2312" w:cs="仿宋_GB2312"/>
          <w:color w:val="auto"/>
        </w:rPr>
        <w:t>，地表水迳流排泄条件良好，矿床开采不受地表水影响。残坡积层孔隙水、 基岩风化裂隙水富水性弱，对矿床开采影响也不大，矿床水文地质条件简单。</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（3）</w:t>
      </w:r>
      <w:r>
        <w:rPr>
          <w:rFonts w:ascii="仿宋_GB2312" w:hAnsi="仿宋_GB2312" w:cs="仿宋_GB2312"/>
          <w:color w:val="auto"/>
        </w:rPr>
        <w:t>地下水的补给、迳流、排泄</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补给特征：地势较高的残坡层孔隙水主要由大气降水补给,宽阔平坦地势和 低洼处除大气降水补给外还有上游基岩风化裂隙水的补给和地表水的渗入补给。</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径流特征：地势较高的残坡层孔隙水一般向谷底径流，径流途径稍长。山谷 孔隙水其径流方向与山谷的走向基本一致，矿区无大的河流，仅为沟谷小溪。</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排泄特征：区内地下水大多具有就地补给就地排泄的特征，稻田边陡坎下常 是潜水层的排汇场所。</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（4）</w:t>
      </w:r>
      <w:r>
        <w:rPr>
          <w:rFonts w:ascii="仿宋_GB2312" w:hAnsi="仿宋_GB2312" w:cs="仿宋_GB2312"/>
          <w:color w:val="auto"/>
        </w:rPr>
        <w:t>矿床充水因素</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矿山拟露天开采，采后形成的底板标高和原山坡坡形大体一致，I号矿体底板高程+156</w:t>
      </w:r>
      <w:r>
        <w:rPr>
          <w:rFonts w:hint="eastAsia" w:ascii="仿宋_GB2312" w:hAnsi="仿宋_GB2312" w:cs="仿宋_GB2312"/>
          <w:color w:val="auto"/>
        </w:rPr>
        <w:t>m，</w:t>
      </w:r>
      <w:r>
        <w:rPr>
          <w:rFonts w:ascii="仿宋_GB2312" w:hAnsi="仿宋_GB2312" w:cs="仿宋_GB2312"/>
          <w:color w:val="auto"/>
        </w:rPr>
        <w:t>边坡最大高差约54m、长约77m,宽约103m的楔形釆坑；II号矿 体底板高程+156m,边坡最大高差约68m、长约95m,最宽约86m的楔形釆坑。</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区内两个矿体釆坑充水主要为自然降水，可采用集水井用水泵排入下游的水 渠及附近的河流中。矿山露采时应做好防范，确保安全。</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2）</w:t>
      </w:r>
      <w:r>
        <w:rPr>
          <w:rFonts w:ascii="仿宋_GB2312" w:hAnsi="仿宋_GB2312" w:cs="仿宋_GB2312"/>
          <w:color w:val="auto"/>
        </w:rPr>
        <w:t>矿山供水方向</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矿区无大的河流，仅为沟谷小溪，由低洼处流淌入矿区西北部小河。</w:t>
      </w:r>
    </w:p>
    <w:p>
      <w:pPr>
        <w:pStyle w:val="93"/>
        <w:spacing w:line="360" w:lineRule="auto"/>
        <w:ind w:firstLine="560" w:firstLineChars="0"/>
        <w:rPr>
          <w:rFonts w:ascii="仿宋_GB2312" w:hAnsi="仿宋_GB2312" w:cs="仿宋_GB2312"/>
          <w:color w:val="auto"/>
        </w:rPr>
        <w:sectPr>
          <w:headerReference r:id="rId10" w:type="first"/>
          <w:footerReference r:id="rId12" w:type="first"/>
          <w:footerReference r:id="rId11" w:type="default"/>
          <w:pgSz w:w="11900" w:h="16840"/>
          <w:pgMar w:top="709" w:right="1508" w:bottom="1446" w:left="1723" w:header="737" w:footer="850" w:gutter="0"/>
          <w:pgNumType w:start="1"/>
          <w:cols w:space="720" w:num="1"/>
          <w:titlePg/>
          <w:docGrid w:linePitch="381" w:charSpace="0"/>
        </w:sectPr>
      </w:pPr>
      <w:r>
        <w:rPr>
          <w:rFonts w:ascii="仿宋_GB2312" w:hAnsi="仿宋_GB2312" w:cs="仿宋_GB2312"/>
          <w:color w:val="auto"/>
        </w:rPr>
        <w:t>根据实地调查，矿区地下水主要为第四系孔隙水。水无色、无味、无嗅、透 明。对地下水、地表水分别取样，送江西省核工业地质局测试中心检测，检测结 果见表2-</w:t>
      </w:r>
      <w:r>
        <w:rPr>
          <w:rFonts w:hint="eastAsia" w:ascii="仿宋_GB2312" w:hAnsi="仿宋_GB2312" w:cs="仿宋_GB2312"/>
          <w:color w:val="auto"/>
        </w:rPr>
        <w:t>3</w:t>
      </w:r>
      <w:r>
        <w:rPr>
          <w:rFonts w:ascii="仿宋_GB2312" w:hAnsi="仿宋_GB2312" w:cs="仿宋_GB2312"/>
          <w:color w:val="auto"/>
        </w:rPr>
        <w:t>。矿区水水质类型为HCOs-Ca-Mg型低矿化度酸性硬水。</w:t>
      </w:r>
    </w:p>
    <w:tbl>
      <w:tblPr>
        <w:tblStyle w:val="36"/>
        <w:tblW w:w="8531" w:type="dxa"/>
        <w:tblInd w:w="0" w:type="dxa"/>
        <w:tblLayout w:type="fixed"/>
        <w:tblCellMar>
          <w:top w:w="0" w:type="dxa"/>
          <w:left w:w="108" w:type="dxa"/>
          <w:bottom w:w="0" w:type="dxa"/>
          <w:right w:w="108" w:type="dxa"/>
        </w:tblCellMar>
      </w:tblPr>
      <w:tblGrid>
        <w:gridCol w:w="888"/>
        <w:gridCol w:w="490"/>
        <w:gridCol w:w="494"/>
        <w:gridCol w:w="509"/>
        <w:gridCol w:w="586"/>
        <w:gridCol w:w="619"/>
        <w:gridCol w:w="619"/>
        <w:gridCol w:w="624"/>
        <w:gridCol w:w="802"/>
        <w:gridCol w:w="802"/>
        <w:gridCol w:w="802"/>
        <w:gridCol w:w="802"/>
        <w:gridCol w:w="494"/>
      </w:tblGrid>
      <w:tr>
        <w:tblPrEx>
          <w:tblLayout w:type="fixed"/>
          <w:tblCellMar>
            <w:top w:w="0" w:type="dxa"/>
            <w:left w:w="108" w:type="dxa"/>
            <w:bottom w:w="0" w:type="dxa"/>
            <w:right w:w="108" w:type="dxa"/>
          </w:tblCellMar>
        </w:tblPrEx>
        <w:trPr>
          <w:trHeight w:val="509" w:hRule="exact"/>
        </w:trPr>
        <w:tc>
          <w:tcPr>
            <w:tcW w:w="888" w:type="dxa"/>
            <w:vMerge w:val="restart"/>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rPr>
            </w:pPr>
            <w:r>
              <w:rPr>
                <w:b/>
                <w:bCs/>
                <w:color w:val="auto"/>
              </w:rPr>
              <w:t>样号</w:t>
            </w:r>
          </w:p>
        </w:tc>
        <w:tc>
          <w:tcPr>
            <w:tcW w:w="2079" w:type="dxa"/>
            <w:gridSpan w:val="4"/>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b/>
                <w:bCs/>
                <w:color w:val="auto"/>
              </w:rPr>
              <w:t>阳离子</w:t>
            </w:r>
            <w:r>
              <w:rPr>
                <w:rFonts w:ascii="Times New Roman" w:hAnsi="Times New Roman" w:eastAsia="Times New Roman" w:cs="Times New Roman"/>
                <w:b/>
                <w:bCs/>
                <w:color w:val="auto"/>
                <w:sz w:val="19"/>
                <w:szCs w:val="19"/>
                <w:lang w:val="en-US" w:eastAsia="en-US" w:bidi="en-US"/>
              </w:rPr>
              <w:t>(mg/L)</w:t>
            </w:r>
          </w:p>
        </w:tc>
        <w:tc>
          <w:tcPr>
            <w:tcW w:w="2664" w:type="dxa"/>
            <w:gridSpan w:val="4"/>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b/>
                <w:bCs/>
                <w:color w:val="auto"/>
              </w:rPr>
              <w:t>阴离子</w:t>
            </w:r>
            <w:r>
              <w:rPr>
                <w:rFonts w:ascii="Times New Roman" w:hAnsi="Times New Roman" w:eastAsia="Times New Roman" w:cs="Times New Roman"/>
                <w:b/>
                <w:bCs/>
                <w:color w:val="auto"/>
                <w:sz w:val="19"/>
                <w:szCs w:val="19"/>
                <w:lang w:val="en-US" w:eastAsia="en-US" w:bidi="en-US"/>
              </w:rPr>
              <w:t>(mg/L)</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rPr>
            </w:pPr>
            <w:r>
              <w:rPr>
                <w:b/>
                <w:bCs/>
                <w:color w:val="auto"/>
              </w:rPr>
              <w:t>总碱度</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rPr>
            </w:pPr>
            <w:r>
              <w:rPr>
                <w:b/>
                <w:bCs/>
                <w:color w:val="auto"/>
              </w:rPr>
              <w:t>总硬度</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right"/>
              <w:rPr>
                <w:b/>
                <w:bCs/>
                <w:color w:val="auto"/>
              </w:rPr>
            </w:pPr>
            <w:r>
              <w:rPr>
                <w:b/>
                <w:bCs/>
                <w:color w:val="auto"/>
              </w:rPr>
              <w:t>矿化度</w:t>
            </w:r>
          </w:p>
        </w:tc>
        <w:tc>
          <w:tcPr>
            <w:tcW w:w="494" w:type="dxa"/>
            <w:tcBorders>
              <w:top w:val="single" w:color="auto" w:sz="4" w:space="0"/>
              <w:left w:val="single" w:color="auto" w:sz="4" w:space="0"/>
              <w:right w:val="single" w:color="auto" w:sz="4" w:space="0"/>
            </w:tcBorders>
            <w:shd w:val="clear" w:color="auto" w:fill="FFFFFF"/>
            <w:vAlign w:val="center"/>
          </w:tcPr>
          <w:p>
            <w:pPr>
              <w:pStyle w:val="60"/>
              <w:framePr w:w="8530" w:h="2986" w:vSpace="379" w:wrap="notBeside" w:vAnchor="text" w:hAnchor="text" w:x="70" w:y="380"/>
              <w:jc w:val="right"/>
              <w:rPr>
                <w:b/>
                <w:bCs/>
                <w:color w:val="auto"/>
                <w:sz w:val="19"/>
                <w:szCs w:val="19"/>
              </w:rPr>
            </w:pPr>
            <w:r>
              <w:rPr>
                <w:rFonts w:ascii="Times New Roman" w:hAnsi="Times New Roman" w:eastAsia="Times New Roman" w:cs="Times New Roman"/>
                <w:b/>
                <w:bCs/>
                <w:color w:val="auto"/>
                <w:sz w:val="19"/>
                <w:szCs w:val="19"/>
                <w:lang w:val="en-US" w:eastAsia="en-US" w:bidi="en-US"/>
              </w:rPr>
              <w:t>PH</w:t>
            </w:r>
          </w:p>
        </w:tc>
      </w:tr>
      <w:tr>
        <w:tblPrEx>
          <w:tblLayout w:type="fixed"/>
          <w:tblCellMar>
            <w:top w:w="0" w:type="dxa"/>
            <w:left w:w="108" w:type="dxa"/>
            <w:bottom w:w="0" w:type="dxa"/>
            <w:right w:w="108" w:type="dxa"/>
          </w:tblCellMar>
        </w:tblPrEx>
        <w:trPr>
          <w:trHeight w:val="490" w:hRule="exact"/>
        </w:trPr>
        <w:tc>
          <w:tcPr>
            <w:tcW w:w="888" w:type="dxa"/>
            <w:vMerge w:val="continue"/>
            <w:tcBorders>
              <w:left w:val="single" w:color="auto" w:sz="4" w:space="0"/>
            </w:tcBorders>
            <w:shd w:val="clear" w:color="auto" w:fill="FFFFFF"/>
            <w:vAlign w:val="center"/>
          </w:tcPr>
          <w:p>
            <w:pPr>
              <w:framePr w:w="8530" w:h="2986" w:vSpace="379" w:wrap="notBeside" w:vAnchor="text" w:hAnchor="text" w:x="70" w:y="380"/>
              <w:ind w:firstLine="562"/>
              <w:rPr>
                <w:b/>
                <w:bCs/>
                <w:color w:val="auto"/>
              </w:rPr>
            </w:pPr>
          </w:p>
        </w:tc>
        <w:tc>
          <w:tcPr>
            <w:tcW w:w="490"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K+</w:t>
            </w:r>
          </w:p>
        </w:tc>
        <w:tc>
          <w:tcPr>
            <w:tcW w:w="494"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Na*</w:t>
            </w:r>
          </w:p>
        </w:tc>
        <w:tc>
          <w:tcPr>
            <w:tcW w:w="50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Ca</w:t>
            </w:r>
            <w:r>
              <w:rPr>
                <w:rFonts w:ascii="Times New Roman" w:hAnsi="Times New Roman" w:eastAsia="Times New Roman" w:cs="Times New Roman"/>
                <w:b/>
                <w:bCs/>
                <w:color w:val="auto"/>
                <w:sz w:val="19"/>
                <w:szCs w:val="19"/>
                <w:vertAlign w:val="superscript"/>
                <w:lang w:val="en-US" w:eastAsia="en-US" w:bidi="en-US"/>
              </w:rPr>
              <w:t>2+</w:t>
            </w:r>
          </w:p>
        </w:tc>
        <w:tc>
          <w:tcPr>
            <w:tcW w:w="586"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Mg2</w:t>
            </w:r>
            <w:r>
              <w:rPr>
                <w:rFonts w:ascii="Times New Roman" w:hAnsi="Times New Roman" w:eastAsia="Times New Roman" w:cs="Times New Roman"/>
                <w:b/>
                <w:bCs/>
                <w:color w:val="auto"/>
                <w:sz w:val="19"/>
                <w:szCs w:val="19"/>
              </w:rPr>
              <w:t>+</w:t>
            </w:r>
          </w:p>
        </w:tc>
        <w:tc>
          <w:tcPr>
            <w:tcW w:w="61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SO?-</w:t>
            </w:r>
          </w:p>
        </w:tc>
        <w:tc>
          <w:tcPr>
            <w:tcW w:w="61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Cl'</w:t>
            </w:r>
          </w:p>
        </w:tc>
        <w:tc>
          <w:tcPr>
            <w:tcW w:w="624"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rPr>
            </w:pPr>
            <w:r>
              <w:rPr>
                <w:rFonts w:ascii="Times New Roman" w:hAnsi="Times New Roman" w:eastAsia="Times New Roman" w:cs="Times New Roman"/>
                <w:b/>
                <w:bCs/>
                <w:i/>
                <w:iCs/>
                <w:color w:val="auto"/>
                <w:lang w:val="en-US" w:eastAsia="en-US" w:bidi="en-US"/>
              </w:rPr>
              <w:t>COi</w:t>
            </w:r>
            <w:r>
              <w:rPr>
                <w:rFonts w:ascii="Times New Roman" w:hAnsi="Times New Roman" w:eastAsia="Times New Roman" w:cs="Times New Roman"/>
                <w:b/>
                <w:bCs/>
                <w:i/>
                <w:iCs/>
                <w:color w:val="auto"/>
                <w:vertAlign w:val="superscript"/>
                <w:lang w:val="en-US" w:eastAsia="en-US" w:bidi="en-US"/>
              </w:rPr>
              <w:t>2</w:t>
            </w:r>
            <w:r>
              <w:rPr>
                <w:rFonts w:ascii="Times New Roman" w:hAnsi="Times New Roman" w:eastAsia="Times New Roman" w:cs="Times New Roman"/>
                <w:b/>
                <w:bCs/>
                <w:i/>
                <w:iCs/>
                <w:color w:val="auto"/>
                <w:lang w:val="en-US" w:eastAsia="en-US" w:bidi="en-US"/>
              </w:rPr>
              <w:t>-</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right"/>
              <w:rPr>
                <w:b/>
                <w:bCs/>
                <w:color w:val="auto"/>
                <w:sz w:val="19"/>
                <w:szCs w:val="19"/>
              </w:rPr>
            </w:pPr>
            <w:r>
              <w:rPr>
                <w:rFonts w:ascii="Times New Roman" w:hAnsi="Times New Roman" w:eastAsia="Times New Roman" w:cs="Times New Roman"/>
                <w:b/>
                <w:bCs/>
                <w:color w:val="auto"/>
                <w:sz w:val="19"/>
                <w:szCs w:val="19"/>
                <w:lang w:val="en-US" w:eastAsia="en-US" w:bidi="en-US"/>
              </w:rPr>
              <w:t>HCOF</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mg/L</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160"/>
              <w:jc w:val="left"/>
              <w:rPr>
                <w:b/>
                <w:bCs/>
                <w:color w:val="auto"/>
                <w:sz w:val="19"/>
                <w:szCs w:val="19"/>
              </w:rPr>
            </w:pPr>
            <w:r>
              <w:rPr>
                <w:rFonts w:ascii="Times New Roman" w:hAnsi="Times New Roman" w:eastAsia="Times New Roman" w:cs="Times New Roman"/>
                <w:b/>
                <w:bCs/>
                <w:color w:val="auto"/>
                <w:sz w:val="19"/>
                <w:szCs w:val="19"/>
                <w:lang w:val="en-US" w:eastAsia="en-US" w:bidi="en-US"/>
              </w:rPr>
              <w:t>mg/L</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mg/L</w:t>
            </w:r>
          </w:p>
        </w:tc>
        <w:tc>
          <w:tcPr>
            <w:tcW w:w="494" w:type="dxa"/>
            <w:tcBorders>
              <w:top w:val="single" w:color="auto" w:sz="4" w:space="0"/>
              <w:left w:val="single" w:color="auto" w:sz="4" w:space="0"/>
              <w:right w:val="single" w:color="auto" w:sz="4" w:space="0"/>
            </w:tcBorders>
            <w:shd w:val="clear" w:color="auto" w:fill="FFFFFF"/>
            <w:vAlign w:val="center"/>
          </w:tcPr>
          <w:p>
            <w:pPr>
              <w:pStyle w:val="60"/>
              <w:framePr w:w="8530" w:h="2986" w:vSpace="379" w:wrap="notBeside" w:vAnchor="text" w:hAnchor="text" w:x="70" w:y="380"/>
              <w:ind w:right="220"/>
              <w:jc w:val="right"/>
              <w:rPr>
                <w:b/>
                <w:bCs/>
                <w:color w:val="auto"/>
                <w:sz w:val="19"/>
                <w:szCs w:val="19"/>
              </w:rPr>
            </w:pPr>
            <w:r>
              <w:rPr>
                <w:rFonts w:ascii="Times New Roman" w:hAnsi="Times New Roman" w:eastAsia="Times New Roman" w:cs="Times New Roman"/>
                <w:b/>
                <w:bCs/>
                <w:color w:val="auto"/>
                <w:sz w:val="19"/>
                <w:szCs w:val="19"/>
              </w:rPr>
              <w:t>/</w:t>
            </w:r>
          </w:p>
        </w:tc>
      </w:tr>
      <w:tr>
        <w:tblPrEx>
          <w:tblLayout w:type="fixed"/>
          <w:tblCellMar>
            <w:top w:w="0" w:type="dxa"/>
            <w:left w:w="108" w:type="dxa"/>
            <w:bottom w:w="0" w:type="dxa"/>
            <w:right w:w="108" w:type="dxa"/>
          </w:tblCellMar>
        </w:tblPrEx>
        <w:trPr>
          <w:trHeight w:val="494" w:hRule="exact"/>
        </w:trPr>
        <w:tc>
          <w:tcPr>
            <w:tcW w:w="888"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b/>
                <w:bCs/>
                <w:color w:val="auto"/>
              </w:rPr>
              <w:t>水简</w:t>
            </w:r>
            <w:r>
              <w:rPr>
                <w:rFonts w:ascii="Times New Roman" w:hAnsi="Times New Roman" w:eastAsia="Times New Roman" w:cs="Times New Roman"/>
                <w:b/>
                <w:bCs/>
                <w:color w:val="auto"/>
                <w:sz w:val="19"/>
                <w:szCs w:val="19"/>
                <w:lang w:val="en-US" w:eastAsia="en-US" w:bidi="en-US"/>
              </w:rPr>
              <w:t>S1</w:t>
            </w:r>
          </w:p>
        </w:tc>
        <w:tc>
          <w:tcPr>
            <w:tcW w:w="490"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2.18</w:t>
            </w:r>
          </w:p>
        </w:tc>
        <w:tc>
          <w:tcPr>
            <w:tcW w:w="494"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2.96</w:t>
            </w:r>
          </w:p>
        </w:tc>
        <w:tc>
          <w:tcPr>
            <w:tcW w:w="50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2.15</w:t>
            </w:r>
          </w:p>
        </w:tc>
        <w:tc>
          <w:tcPr>
            <w:tcW w:w="586"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1.61</w:t>
            </w:r>
          </w:p>
        </w:tc>
        <w:tc>
          <w:tcPr>
            <w:tcW w:w="61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1.85</w:t>
            </w:r>
          </w:p>
        </w:tc>
        <w:tc>
          <w:tcPr>
            <w:tcW w:w="61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0.051</w:t>
            </w:r>
          </w:p>
        </w:tc>
        <w:tc>
          <w:tcPr>
            <w:tcW w:w="624"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0</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25</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21</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12.01</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35</w:t>
            </w:r>
          </w:p>
        </w:tc>
        <w:tc>
          <w:tcPr>
            <w:tcW w:w="494" w:type="dxa"/>
            <w:tcBorders>
              <w:top w:val="single" w:color="auto" w:sz="4" w:space="0"/>
              <w:left w:val="single" w:color="auto" w:sz="4" w:space="0"/>
              <w:righ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6.83</w:t>
            </w:r>
          </w:p>
        </w:tc>
      </w:tr>
      <w:tr>
        <w:tblPrEx>
          <w:tblLayout w:type="fixed"/>
          <w:tblCellMar>
            <w:top w:w="0" w:type="dxa"/>
            <w:left w:w="108" w:type="dxa"/>
            <w:bottom w:w="0" w:type="dxa"/>
            <w:right w:w="108" w:type="dxa"/>
          </w:tblCellMar>
        </w:tblPrEx>
        <w:trPr>
          <w:trHeight w:val="494" w:hRule="exact"/>
        </w:trPr>
        <w:tc>
          <w:tcPr>
            <w:tcW w:w="888"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b/>
                <w:bCs/>
                <w:color w:val="auto"/>
              </w:rPr>
              <w:t>水简</w:t>
            </w:r>
            <w:r>
              <w:rPr>
                <w:rFonts w:ascii="Times New Roman" w:hAnsi="Times New Roman" w:eastAsia="Times New Roman" w:cs="Times New Roman"/>
                <w:b/>
                <w:bCs/>
                <w:color w:val="auto"/>
                <w:sz w:val="19"/>
                <w:szCs w:val="19"/>
                <w:lang w:val="en-US" w:eastAsia="en-US" w:bidi="en-US"/>
              </w:rPr>
              <w:t>S2</w:t>
            </w:r>
          </w:p>
        </w:tc>
        <w:tc>
          <w:tcPr>
            <w:tcW w:w="490"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1.94</w:t>
            </w:r>
          </w:p>
        </w:tc>
        <w:tc>
          <w:tcPr>
            <w:tcW w:w="494"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3.03</w:t>
            </w:r>
          </w:p>
        </w:tc>
        <w:tc>
          <w:tcPr>
            <w:tcW w:w="50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1.96</w:t>
            </w:r>
          </w:p>
        </w:tc>
        <w:tc>
          <w:tcPr>
            <w:tcW w:w="586"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1.03</w:t>
            </w:r>
          </w:p>
        </w:tc>
        <w:tc>
          <w:tcPr>
            <w:tcW w:w="61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1.54</w:t>
            </w:r>
          </w:p>
        </w:tc>
        <w:tc>
          <w:tcPr>
            <w:tcW w:w="61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0.074</w:t>
            </w:r>
          </w:p>
        </w:tc>
        <w:tc>
          <w:tcPr>
            <w:tcW w:w="624"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160"/>
              <w:jc w:val="left"/>
              <w:rPr>
                <w:b/>
                <w:bCs/>
                <w:color w:val="auto"/>
                <w:sz w:val="19"/>
                <w:szCs w:val="19"/>
              </w:rPr>
            </w:pPr>
            <w:r>
              <w:rPr>
                <w:rFonts w:ascii="Times New Roman" w:hAnsi="Times New Roman" w:eastAsia="Times New Roman" w:cs="Times New Roman"/>
                <w:b/>
                <w:bCs/>
                <w:color w:val="auto"/>
                <w:sz w:val="19"/>
                <w:szCs w:val="19"/>
                <w:lang w:val="en-US" w:eastAsia="en-US" w:bidi="en-US"/>
              </w:rPr>
              <w:t>&lt;5</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29</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24</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9.14</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35</w:t>
            </w:r>
          </w:p>
        </w:tc>
        <w:tc>
          <w:tcPr>
            <w:tcW w:w="494" w:type="dxa"/>
            <w:tcBorders>
              <w:top w:val="single" w:color="auto" w:sz="4" w:space="0"/>
              <w:left w:val="single" w:color="auto" w:sz="4" w:space="0"/>
              <w:righ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6.91</w:t>
            </w:r>
          </w:p>
        </w:tc>
      </w:tr>
      <w:tr>
        <w:tblPrEx>
          <w:tblLayout w:type="fixed"/>
          <w:tblCellMar>
            <w:top w:w="0" w:type="dxa"/>
            <w:left w:w="108" w:type="dxa"/>
            <w:bottom w:w="0" w:type="dxa"/>
            <w:right w:w="108" w:type="dxa"/>
          </w:tblCellMar>
        </w:tblPrEx>
        <w:trPr>
          <w:trHeight w:val="490" w:hRule="exact"/>
        </w:trPr>
        <w:tc>
          <w:tcPr>
            <w:tcW w:w="888"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b/>
                <w:bCs/>
                <w:color w:val="auto"/>
              </w:rPr>
              <w:t>水简</w:t>
            </w:r>
            <w:r>
              <w:rPr>
                <w:rFonts w:ascii="Times New Roman" w:hAnsi="Times New Roman" w:eastAsia="Times New Roman" w:cs="Times New Roman"/>
                <w:b/>
                <w:bCs/>
                <w:color w:val="auto"/>
                <w:sz w:val="19"/>
                <w:szCs w:val="19"/>
                <w:lang w:val="en-US" w:eastAsia="en-US" w:bidi="en-US"/>
              </w:rPr>
              <w:t>S3</w:t>
            </w:r>
          </w:p>
        </w:tc>
        <w:tc>
          <w:tcPr>
            <w:tcW w:w="490"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1.88</w:t>
            </w:r>
          </w:p>
        </w:tc>
        <w:tc>
          <w:tcPr>
            <w:tcW w:w="494"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3.2</w:t>
            </w:r>
          </w:p>
        </w:tc>
        <w:tc>
          <w:tcPr>
            <w:tcW w:w="50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2.63</w:t>
            </w:r>
          </w:p>
        </w:tc>
        <w:tc>
          <w:tcPr>
            <w:tcW w:w="586"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1.62</w:t>
            </w:r>
          </w:p>
        </w:tc>
        <w:tc>
          <w:tcPr>
            <w:tcW w:w="61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1.27</w:t>
            </w:r>
          </w:p>
        </w:tc>
        <w:tc>
          <w:tcPr>
            <w:tcW w:w="619"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0.371</w:t>
            </w:r>
          </w:p>
        </w:tc>
        <w:tc>
          <w:tcPr>
            <w:tcW w:w="624"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160"/>
              <w:jc w:val="left"/>
              <w:rPr>
                <w:b/>
                <w:bCs/>
                <w:color w:val="auto"/>
                <w:sz w:val="19"/>
                <w:szCs w:val="19"/>
              </w:rPr>
            </w:pPr>
            <w:r>
              <w:rPr>
                <w:rFonts w:ascii="Times New Roman" w:hAnsi="Times New Roman" w:eastAsia="Times New Roman" w:cs="Times New Roman"/>
                <w:b/>
                <w:bCs/>
                <w:color w:val="auto"/>
                <w:sz w:val="19"/>
                <w:szCs w:val="19"/>
                <w:lang w:val="en-US" w:eastAsia="en-US" w:bidi="en-US"/>
              </w:rPr>
              <w:t>&lt;5</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30</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24</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13.23</w:t>
            </w:r>
          </w:p>
        </w:tc>
        <w:tc>
          <w:tcPr>
            <w:tcW w:w="802" w:type="dxa"/>
            <w:tcBorders>
              <w:top w:val="single" w:color="auto" w:sz="4" w:space="0"/>
              <w:left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41</w:t>
            </w:r>
          </w:p>
        </w:tc>
        <w:tc>
          <w:tcPr>
            <w:tcW w:w="494" w:type="dxa"/>
            <w:tcBorders>
              <w:top w:val="single" w:color="auto" w:sz="4" w:space="0"/>
              <w:left w:val="single" w:color="auto" w:sz="4" w:space="0"/>
              <w:righ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6.94</w:t>
            </w:r>
          </w:p>
        </w:tc>
      </w:tr>
      <w:tr>
        <w:tblPrEx>
          <w:tblLayout w:type="fixed"/>
          <w:tblCellMar>
            <w:top w:w="0" w:type="dxa"/>
            <w:left w:w="108" w:type="dxa"/>
            <w:bottom w:w="0" w:type="dxa"/>
            <w:right w:w="108" w:type="dxa"/>
          </w:tblCellMar>
        </w:tblPrEx>
        <w:trPr>
          <w:trHeight w:val="509" w:hRule="exact"/>
        </w:trPr>
        <w:tc>
          <w:tcPr>
            <w:tcW w:w="888"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b/>
                <w:bCs/>
                <w:color w:val="auto"/>
              </w:rPr>
              <w:t>水简</w:t>
            </w:r>
            <w:r>
              <w:rPr>
                <w:rFonts w:ascii="Times New Roman" w:hAnsi="Times New Roman" w:eastAsia="Times New Roman" w:cs="Times New Roman"/>
                <w:b/>
                <w:bCs/>
                <w:color w:val="auto"/>
                <w:sz w:val="19"/>
                <w:szCs w:val="19"/>
                <w:lang w:val="en-US" w:eastAsia="en-US" w:bidi="en-US"/>
              </w:rPr>
              <w:t>S4</w:t>
            </w:r>
          </w:p>
        </w:tc>
        <w:tc>
          <w:tcPr>
            <w:tcW w:w="490"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1.87</w:t>
            </w:r>
          </w:p>
        </w:tc>
        <w:tc>
          <w:tcPr>
            <w:tcW w:w="494"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1.63</w:t>
            </w:r>
          </w:p>
        </w:tc>
        <w:tc>
          <w:tcPr>
            <w:tcW w:w="509"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4.78</w:t>
            </w:r>
          </w:p>
        </w:tc>
        <w:tc>
          <w:tcPr>
            <w:tcW w:w="586"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1.66</w:t>
            </w:r>
          </w:p>
        </w:tc>
        <w:tc>
          <w:tcPr>
            <w:tcW w:w="619"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0.805</w:t>
            </w:r>
          </w:p>
        </w:tc>
        <w:tc>
          <w:tcPr>
            <w:tcW w:w="619"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0.030</w:t>
            </w:r>
          </w:p>
        </w:tc>
        <w:tc>
          <w:tcPr>
            <w:tcW w:w="624"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ind w:firstLine="160"/>
              <w:jc w:val="left"/>
              <w:rPr>
                <w:b/>
                <w:bCs/>
                <w:color w:val="auto"/>
                <w:sz w:val="19"/>
                <w:szCs w:val="19"/>
              </w:rPr>
            </w:pPr>
            <w:r>
              <w:rPr>
                <w:rFonts w:ascii="Times New Roman" w:hAnsi="Times New Roman" w:eastAsia="Times New Roman" w:cs="Times New Roman"/>
                <w:b/>
                <w:bCs/>
                <w:color w:val="auto"/>
                <w:sz w:val="19"/>
                <w:szCs w:val="19"/>
                <w:lang w:val="en-US" w:eastAsia="en-US" w:bidi="en-US"/>
              </w:rPr>
              <w:t>&lt;5</w:t>
            </w:r>
          </w:p>
        </w:tc>
        <w:tc>
          <w:tcPr>
            <w:tcW w:w="802"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32</w:t>
            </w:r>
          </w:p>
        </w:tc>
        <w:tc>
          <w:tcPr>
            <w:tcW w:w="802"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27</w:t>
            </w:r>
          </w:p>
        </w:tc>
        <w:tc>
          <w:tcPr>
            <w:tcW w:w="802"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rPr>
                <w:b/>
                <w:bCs/>
                <w:color w:val="auto"/>
                <w:sz w:val="19"/>
                <w:szCs w:val="19"/>
              </w:rPr>
            </w:pPr>
            <w:r>
              <w:rPr>
                <w:rFonts w:ascii="Times New Roman" w:hAnsi="Times New Roman" w:eastAsia="Times New Roman" w:cs="Times New Roman"/>
                <w:b/>
                <w:bCs/>
                <w:color w:val="auto"/>
                <w:sz w:val="19"/>
                <w:szCs w:val="19"/>
                <w:lang w:val="en-US" w:eastAsia="en-US" w:bidi="en-US"/>
              </w:rPr>
              <w:t>18.79</w:t>
            </w:r>
          </w:p>
        </w:tc>
        <w:tc>
          <w:tcPr>
            <w:tcW w:w="802" w:type="dxa"/>
            <w:tcBorders>
              <w:top w:val="single" w:color="auto" w:sz="4" w:space="0"/>
              <w:left w:val="single" w:color="auto" w:sz="4" w:space="0"/>
              <w:bottom w:val="single" w:color="auto" w:sz="4" w:space="0"/>
            </w:tcBorders>
            <w:shd w:val="clear" w:color="auto" w:fill="FFFFFF"/>
            <w:vAlign w:val="center"/>
          </w:tcPr>
          <w:p>
            <w:pPr>
              <w:pStyle w:val="60"/>
              <w:framePr w:w="8530" w:h="2986" w:vSpace="379" w:wrap="notBeside" w:vAnchor="text" w:hAnchor="text" w:x="70" w:y="380"/>
              <w:ind w:firstLine="260"/>
              <w:jc w:val="left"/>
              <w:rPr>
                <w:b/>
                <w:bCs/>
                <w:color w:val="auto"/>
                <w:sz w:val="19"/>
                <w:szCs w:val="19"/>
              </w:rPr>
            </w:pPr>
            <w:r>
              <w:rPr>
                <w:rFonts w:ascii="Times New Roman" w:hAnsi="Times New Roman" w:eastAsia="Times New Roman" w:cs="Times New Roman"/>
                <w:b/>
                <w:bCs/>
                <w:color w:val="auto"/>
                <w:sz w:val="19"/>
                <w:szCs w:val="19"/>
                <w:lang w:val="en-US" w:eastAsia="en-US" w:bidi="en-US"/>
              </w:rPr>
              <w:t>41</w:t>
            </w:r>
          </w:p>
        </w:tc>
        <w:tc>
          <w:tcPr>
            <w:tcW w:w="49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60"/>
              <w:framePr w:w="8530" w:h="2986" w:vSpace="379" w:wrap="notBeside" w:vAnchor="text" w:hAnchor="text" w:x="70" w:y="380"/>
              <w:jc w:val="left"/>
              <w:rPr>
                <w:b/>
                <w:bCs/>
                <w:color w:val="auto"/>
                <w:sz w:val="19"/>
                <w:szCs w:val="19"/>
              </w:rPr>
            </w:pPr>
            <w:r>
              <w:rPr>
                <w:rFonts w:ascii="Times New Roman" w:hAnsi="Times New Roman" w:eastAsia="Times New Roman" w:cs="Times New Roman"/>
                <w:b/>
                <w:bCs/>
                <w:color w:val="auto"/>
                <w:sz w:val="19"/>
                <w:szCs w:val="19"/>
                <w:lang w:val="en-US" w:eastAsia="en-US" w:bidi="en-US"/>
              </w:rPr>
              <w:t>6.08</w:t>
            </w:r>
          </w:p>
        </w:tc>
      </w:tr>
    </w:tbl>
    <w:p>
      <w:pPr>
        <w:pStyle w:val="44"/>
        <w:framePr w:w="648" w:h="312" w:hSpace="69" w:wrap="notBeside" w:vAnchor="text" w:hAnchor="text" w:x="1596" w:y="1"/>
        <w:spacing w:after="0"/>
        <w:rPr>
          <w:b/>
          <w:bCs/>
          <w:color w:val="auto"/>
          <w:sz w:val="24"/>
          <w:szCs w:val="24"/>
          <w:lang w:val="en-US" w:eastAsia="zh-CN"/>
        </w:rPr>
      </w:pPr>
      <w:r>
        <w:rPr>
          <w:b/>
          <w:bCs/>
          <w:color w:val="auto"/>
          <w:sz w:val="24"/>
          <w:szCs w:val="24"/>
        </w:rPr>
        <w:t>表</w:t>
      </w:r>
      <w:r>
        <w:rPr>
          <w:rFonts w:ascii="Times New Roman" w:hAnsi="Times New Roman" w:eastAsia="Times New Roman" w:cs="Times New Roman"/>
          <w:b/>
          <w:bCs/>
          <w:color w:val="auto"/>
          <w:sz w:val="24"/>
          <w:szCs w:val="24"/>
          <w:lang w:val="en-US" w:eastAsia="en-US" w:bidi="en-US"/>
        </w:rPr>
        <w:t>2-</w:t>
      </w:r>
      <w:r>
        <w:rPr>
          <w:rFonts w:hint="eastAsia" w:ascii="Times New Roman" w:hAnsi="Times New Roman" w:cs="Times New Roman"/>
          <w:b/>
          <w:bCs/>
          <w:color w:val="auto"/>
          <w:sz w:val="24"/>
          <w:szCs w:val="24"/>
          <w:lang w:val="en-US" w:eastAsia="zh-CN" w:bidi="en-US"/>
        </w:rPr>
        <w:t>3</w:t>
      </w:r>
    </w:p>
    <w:p>
      <w:pPr>
        <w:pStyle w:val="44"/>
        <w:framePr w:w="2198" w:h="312" w:hSpace="69" w:wrap="notBeside" w:vAnchor="text" w:hAnchor="text" w:x="3766" w:y="6"/>
        <w:spacing w:after="0"/>
        <w:rPr>
          <w:b/>
          <w:bCs/>
          <w:color w:val="auto"/>
          <w:sz w:val="24"/>
          <w:szCs w:val="24"/>
        </w:rPr>
      </w:pPr>
      <w:r>
        <w:rPr>
          <w:b/>
          <w:bCs/>
          <w:color w:val="auto"/>
          <w:sz w:val="24"/>
          <w:szCs w:val="24"/>
        </w:rPr>
        <w:t>水质简分析检测结果</w:t>
      </w:r>
    </w:p>
    <w:p>
      <w:pPr>
        <w:pStyle w:val="93"/>
        <w:framePr w:w="7973" w:h="1229" w:hSpace="69" w:wrap="notBeside" w:vAnchor="text" w:hAnchor="page" w:x="1416" w:y="3412"/>
        <w:spacing w:line="360" w:lineRule="auto"/>
        <w:ind w:firstLine="560" w:firstLineChars="0"/>
        <w:rPr>
          <w:rFonts w:ascii="仿宋_GB2312" w:hAnsi="仿宋_GB2312" w:cs="仿宋_GB2312"/>
          <w:color w:val="auto"/>
        </w:rPr>
      </w:pPr>
      <w:r>
        <w:rPr>
          <w:rFonts w:ascii="仿宋_GB2312" w:hAnsi="仿宋_GB2312" w:cs="仿宋_GB2312"/>
          <w:color w:val="auto"/>
        </w:rPr>
        <w:t>区内常年性溪流水源可以满足矿区生产生活用水。</w:t>
      </w:r>
    </w:p>
    <w:p>
      <w:pPr>
        <w:pStyle w:val="93"/>
        <w:framePr w:w="7973" w:h="1229" w:hSpace="69" w:wrap="notBeside" w:vAnchor="text" w:hAnchor="page" w:x="1416" w:y="3412"/>
        <w:spacing w:line="360" w:lineRule="auto"/>
        <w:ind w:firstLine="560" w:firstLineChars="0"/>
        <w:rPr>
          <w:rFonts w:ascii="仿宋_GB2312" w:hAnsi="仿宋_GB2312" w:cs="仿宋_GB2312"/>
          <w:color w:val="auto"/>
        </w:rPr>
      </w:pPr>
      <w:r>
        <w:rPr>
          <w:rFonts w:hint="eastAsia" w:ascii="仿宋_GB2312" w:hAnsi="仿宋_GB2312" w:cs="仿宋_GB2312"/>
          <w:color w:val="auto"/>
        </w:rPr>
        <w:t>3）</w:t>
      </w:r>
      <w:r>
        <w:rPr>
          <w:rFonts w:ascii="仿宋_GB2312" w:hAnsi="仿宋_GB2312" w:cs="仿宋_GB2312"/>
          <w:color w:val="auto"/>
        </w:rPr>
        <w:t>矿区水文地质类型</w:t>
      </w:r>
    </w:p>
    <w:p>
      <w:pPr>
        <w:pStyle w:val="93"/>
        <w:framePr w:w="7973" w:h="1229" w:hSpace="69" w:wrap="notBeside" w:vAnchor="text" w:hAnchor="page" w:x="1416" w:y="3412"/>
        <w:spacing w:line="360" w:lineRule="auto"/>
        <w:ind w:firstLine="560" w:firstLineChars="0"/>
        <w:rPr>
          <w:rFonts w:ascii="仿宋_GB2312" w:hAnsi="仿宋_GB2312" w:cs="仿宋_GB2312"/>
          <w:color w:val="auto"/>
        </w:rPr>
      </w:pPr>
      <w:r>
        <w:rPr>
          <w:rFonts w:ascii="仿宋_GB2312" w:hAnsi="仿宋_GB2312" w:cs="仿宋_GB2312"/>
          <w:color w:val="auto"/>
        </w:rPr>
        <w:t>综上所述，开釆矿体位于标高+156米以上，矿床含水层富水性弱，地下水补</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给条件差，矿坑充水的主要来源为大气降水，矿坑涌水量季节性变化较大，但可 自然排泄，矿床水文地质条件为简单类型。</w:t>
      </w:r>
    </w:p>
    <w:p>
      <w:pPr>
        <w:pStyle w:val="58"/>
        <w:spacing w:after="0" w:line="350" w:lineRule="auto"/>
        <w:ind w:left="0"/>
        <w:jc w:val="both"/>
        <w:rPr>
          <w:b/>
          <w:bCs/>
          <w:color w:val="auto"/>
          <w:sz w:val="28"/>
          <w:szCs w:val="28"/>
          <w:lang w:val="en-US" w:eastAsia="zh-CN" w:bidi="en-US"/>
        </w:rPr>
      </w:pPr>
      <w:r>
        <w:rPr>
          <w:b/>
          <w:bCs/>
          <w:color w:val="auto"/>
          <w:sz w:val="28"/>
          <w:szCs w:val="28"/>
          <w:lang w:val="en-US" w:eastAsia="zh-CN" w:bidi="en-US"/>
        </w:rPr>
        <w:t>2</w:t>
      </w:r>
      <w:r>
        <w:rPr>
          <w:rFonts w:hint="eastAsia"/>
          <w:b/>
          <w:bCs/>
          <w:color w:val="auto"/>
          <w:sz w:val="28"/>
          <w:szCs w:val="28"/>
          <w:lang w:val="en-US" w:eastAsia="zh-CN" w:bidi="en-US"/>
        </w:rPr>
        <w:t>.</w:t>
      </w:r>
      <w:r>
        <w:rPr>
          <w:b/>
          <w:bCs/>
          <w:color w:val="auto"/>
          <w:sz w:val="28"/>
          <w:szCs w:val="28"/>
          <w:lang w:val="en-US" w:eastAsia="zh-CN" w:bidi="en-US"/>
        </w:rPr>
        <w:t>2</w:t>
      </w:r>
      <w:r>
        <w:rPr>
          <w:rFonts w:hint="eastAsia"/>
          <w:b/>
          <w:bCs/>
          <w:color w:val="auto"/>
          <w:sz w:val="28"/>
          <w:szCs w:val="28"/>
          <w:lang w:val="en-US" w:eastAsia="zh-CN" w:bidi="en-US"/>
        </w:rPr>
        <w:t>.</w:t>
      </w:r>
      <w:r>
        <w:rPr>
          <w:b/>
          <w:bCs/>
          <w:color w:val="auto"/>
          <w:sz w:val="28"/>
          <w:szCs w:val="28"/>
          <w:lang w:val="en-US" w:eastAsia="zh-CN" w:bidi="en-US"/>
        </w:rPr>
        <w:t>3.2工程地质条件</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1）</w:t>
      </w:r>
      <w:r>
        <w:rPr>
          <w:rFonts w:ascii="仿宋_GB2312" w:hAnsi="仿宋_GB2312" w:cs="仿宋_GB2312"/>
          <w:color w:val="auto"/>
        </w:rPr>
        <w:t>岩石风化特征</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据矿区基岩风化特征，可将基岩风化程度划分为：</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全风化、强风化、弱风化三个等级。它们不同程度地形影响岩体的工程力学 性质。</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全风化基岩：全风化层厚度大致在0-6</w:t>
      </w:r>
      <w:r>
        <w:rPr>
          <w:rFonts w:hint="eastAsia" w:ascii="仿宋_GB2312" w:hAnsi="仿宋_GB2312" w:cs="仿宋_GB2312"/>
          <w:color w:val="auto"/>
          <w:lang w:val="en-US" w:eastAsia="zh-CN"/>
        </w:rPr>
        <w:t>m</w:t>
      </w:r>
      <w:r>
        <w:rPr>
          <w:rFonts w:ascii="仿宋_GB2312" w:hAnsi="仿宋_GB2312" w:cs="仿宋_GB2312"/>
          <w:color w:val="auto"/>
        </w:rPr>
        <w:t>之间，岩石的颜色、岩石结构、矿体 色泽明显变化，地表呈碎片、碎块或粘土状。</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强风化基岩：强风化层厚度大致在10-40</w:t>
      </w:r>
      <w:r>
        <w:rPr>
          <w:rFonts w:hint="eastAsia" w:ascii="仿宋_GB2312" w:hAnsi="仿宋_GB2312" w:cs="仿宋_GB2312"/>
          <w:color w:val="auto"/>
          <w:lang w:val="en-US" w:eastAsia="zh-CN"/>
        </w:rPr>
        <w:t>m</w:t>
      </w:r>
      <w:r>
        <w:rPr>
          <w:rFonts w:ascii="仿宋_GB2312" w:hAnsi="仿宋_GB2312" w:cs="仿宋_GB2312"/>
          <w:color w:val="auto"/>
        </w:rPr>
        <w:t>之间，岩石的颜色、岩石结构、矿 体色泽部分改变，岩石风化后呈块状。</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弱风化基岩：弱风化层厚度大致在5-25</w:t>
      </w:r>
      <w:r>
        <w:rPr>
          <w:rFonts w:hint="eastAsia" w:ascii="仿宋_GB2312" w:hAnsi="仿宋_GB2312" w:cs="仿宋_GB2312"/>
          <w:color w:val="auto"/>
          <w:lang w:val="en-US" w:eastAsia="zh-CN"/>
        </w:rPr>
        <w:t>m</w:t>
      </w:r>
      <w:r>
        <w:rPr>
          <w:rFonts w:ascii="仿宋_GB2312" w:hAnsi="仿宋_GB2312" w:cs="仿宋_GB2312"/>
          <w:color w:val="auto"/>
        </w:rPr>
        <w:t>之间，岩石结构、构造基本未变， 岩石颜色略有变化。</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总体上，整个详查区风化程度都较强。深度与视厚度变化大，这是由于岩性 抗风化能力的差异性和地势地貌的特点所至。</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2）</w:t>
      </w:r>
      <w:r>
        <w:rPr>
          <w:rFonts w:ascii="仿宋_GB2312" w:hAnsi="仿宋_GB2312" w:cs="仿宋_GB2312"/>
          <w:color w:val="auto"/>
        </w:rPr>
        <w:t>工程地质岩组划分及岩石力学性质</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根据区内不同岩性，风化程度、裂隙发育程度及主要的岩石抗压强度将区内 岩石划分为三个工程地质岩组。</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（1）</w:t>
      </w:r>
      <w:r>
        <w:rPr>
          <w:rFonts w:ascii="仿宋_GB2312" w:hAnsi="仿宋_GB2312" w:cs="仿宋_GB2312"/>
          <w:color w:val="auto"/>
        </w:rPr>
        <w:t>松散软弱岩组主要有第四系残坡积层以及近地表全-强风化岩石等。岩性 以亚粘土为主，混杂有变质砂岩、板岩碎块，呈半胶结或无胶结松散状，具塑性 和压塑性，在外力和动水压力作用下易软化或潜蚀流动。该岩组岩石结构松散，稳定性差，对矿床开釆影响较大。</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（2）</w:t>
      </w:r>
      <w:r>
        <w:rPr>
          <w:rFonts w:ascii="仿宋_GB2312" w:hAnsi="仿宋_GB2312" w:cs="仿宋_GB2312"/>
          <w:color w:val="auto"/>
        </w:rPr>
        <w:t>半坚硬岩组主要为强一弱风化的变质砂岩、板岩。该岩组岩石由于风化蚀</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变较强，且遇水后软化造成坍塌，稳定性较差，对矿床开采影响较大。</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（3）</w:t>
      </w:r>
      <w:r>
        <w:rPr>
          <w:rFonts w:ascii="仿宋_GB2312" w:hAnsi="仿宋_GB2312" w:cs="仿宋_GB2312"/>
          <w:color w:val="auto"/>
        </w:rPr>
        <w:t>半坚硬一坚硬岩组主要为未风化的变质砂岩、板岩、细晶岩脉。该岩组岩</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石较完整，稳定性较好。</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矿体矿石及其顶底板围岩的岩石力学性质检测结果见表2—</w:t>
      </w:r>
      <w:r>
        <w:rPr>
          <w:rFonts w:hint="eastAsia" w:ascii="仿宋_GB2312" w:hAnsi="仿宋_GB2312" w:cs="仿宋_GB2312"/>
          <w:color w:val="auto"/>
        </w:rPr>
        <w:t>4</w:t>
      </w:r>
      <w:r>
        <w:rPr>
          <w:rFonts w:ascii="仿宋_GB2312" w:hAnsi="仿宋_GB2312" w:cs="仿宋_GB2312"/>
          <w:color w:val="auto"/>
        </w:rPr>
        <w:t>。</w:t>
      </w:r>
    </w:p>
    <w:p>
      <w:pPr>
        <w:pStyle w:val="6"/>
        <w:ind w:firstLine="482"/>
        <w:rPr>
          <w:rFonts w:eastAsia="宋体"/>
          <w:b/>
          <w:bCs/>
          <w:color w:val="auto"/>
        </w:rPr>
      </w:pPr>
      <w:r>
        <w:rPr>
          <w:rFonts w:hint="eastAsia" w:ascii="仿宋_GB2312" w:hAnsi="仿宋_GB2312" w:eastAsia="宋体" w:cs="仿宋_GB2312"/>
          <w:b/>
          <w:bCs/>
          <w:color w:val="auto"/>
        </w:rPr>
        <w:t>表2-4             岩石力学性质检测结果表</w:t>
      </w:r>
    </w:p>
    <w:p>
      <w:pPr>
        <w:pStyle w:val="49"/>
        <w:tabs>
          <w:tab w:val="left" w:pos="1022"/>
        </w:tabs>
        <w:spacing w:after="0" w:line="240" w:lineRule="auto"/>
        <w:ind w:firstLine="0"/>
        <w:jc w:val="center"/>
        <w:rPr>
          <w:color w:val="auto"/>
          <w:sz w:val="24"/>
          <w:szCs w:val="24"/>
        </w:rPr>
      </w:pPr>
      <w:r>
        <w:rPr>
          <w:color w:val="auto"/>
          <w:sz w:val="24"/>
          <w:szCs w:val="24"/>
          <w:lang w:val="en-US" w:eastAsia="zh-CN" w:bidi="ar-SA"/>
        </w:rPr>
        <mc:AlternateContent>
          <mc:Choice Requires="wps">
            <w:drawing>
              <wp:anchor distT="0" distB="0" distL="114300" distR="114300" simplePos="0" relativeHeight="251665408" behindDoc="0" locked="0" layoutInCell="1" allowOverlap="1">
                <wp:simplePos x="0" y="0"/>
                <wp:positionH relativeFrom="page">
                  <wp:posOffset>1134110</wp:posOffset>
                </wp:positionH>
                <wp:positionV relativeFrom="paragraph">
                  <wp:posOffset>1457325</wp:posOffset>
                </wp:positionV>
                <wp:extent cx="2843530" cy="1789430"/>
                <wp:effectExtent l="0" t="0" r="0" b="0"/>
                <wp:wrapTopAndBottom/>
                <wp:docPr id="58" name="Shape 13"/>
                <wp:cNvGraphicFramePr/>
                <a:graphic xmlns:a="http://schemas.openxmlformats.org/drawingml/2006/main">
                  <a:graphicData uri="http://schemas.microsoft.com/office/word/2010/wordprocessingShape">
                    <wps:wsp>
                      <wps:cNvSpPr txBox="1"/>
                      <wps:spPr>
                        <a:xfrm>
                          <a:off x="0" y="0"/>
                          <a:ext cx="2843530" cy="1789430"/>
                        </a:xfrm>
                        <a:prstGeom prst="rect">
                          <a:avLst/>
                        </a:prstGeom>
                        <a:noFill/>
                        <a:ln>
                          <a:noFill/>
                        </a:ln>
                        <a:effectLst/>
                      </wps:spPr>
                      <wps:txbx>
                        <w:txbxContent>
                          <w:tbl>
                            <w:tblPr>
                              <w:tblStyle w:val="36"/>
                              <w:tblW w:w="4479" w:type="dxa"/>
                              <w:tblInd w:w="0" w:type="dxa"/>
                              <w:tblLayout w:type="fixed"/>
                              <w:tblCellMar>
                                <w:top w:w="0" w:type="dxa"/>
                                <w:left w:w="108" w:type="dxa"/>
                                <w:bottom w:w="0" w:type="dxa"/>
                                <w:right w:w="108" w:type="dxa"/>
                              </w:tblCellMar>
                            </w:tblPr>
                            <w:tblGrid>
                              <w:gridCol w:w="888"/>
                              <w:gridCol w:w="754"/>
                              <w:gridCol w:w="1325"/>
                              <w:gridCol w:w="1512"/>
                            </w:tblGrid>
                            <w:tr>
                              <w:tblPrEx>
                                <w:tblLayout w:type="fixed"/>
                                <w:tblCellMar>
                                  <w:top w:w="0" w:type="dxa"/>
                                  <w:left w:w="108" w:type="dxa"/>
                                  <w:bottom w:w="0" w:type="dxa"/>
                                  <w:right w:w="108" w:type="dxa"/>
                                </w:tblCellMar>
                              </w:tblPrEx>
                              <w:trPr>
                                <w:trHeight w:val="811" w:hRule="exact"/>
                                <w:tblHeader/>
                              </w:trPr>
                              <w:tc>
                                <w:tcPr>
                                  <w:tcW w:w="888" w:type="dxa"/>
                                  <w:tcBorders>
                                    <w:top w:val="single" w:color="auto" w:sz="4" w:space="0"/>
                                    <w:left w:val="single" w:color="auto" w:sz="4" w:space="0"/>
                                  </w:tcBorders>
                                  <w:shd w:val="clear" w:color="auto" w:fill="FFFFFF"/>
                                  <w:vAlign w:val="center"/>
                                </w:tcPr>
                                <w:p>
                                  <w:pPr>
                                    <w:pStyle w:val="60"/>
                                  </w:pPr>
                                  <w:r>
                                    <w:rPr>
                                      <w:color w:val="000000"/>
                                    </w:rPr>
                                    <w:t>孔号</w:t>
                                  </w:r>
                                </w:p>
                              </w:tc>
                              <w:tc>
                                <w:tcPr>
                                  <w:tcW w:w="754" w:type="dxa"/>
                                  <w:tcBorders>
                                    <w:top w:val="single" w:color="auto" w:sz="4" w:space="0"/>
                                    <w:left w:val="single" w:color="auto" w:sz="4" w:space="0"/>
                                  </w:tcBorders>
                                  <w:shd w:val="clear" w:color="auto" w:fill="FFFFFF"/>
                                  <w:vAlign w:val="center"/>
                                </w:tcPr>
                                <w:p>
                                  <w:pPr>
                                    <w:pStyle w:val="60"/>
                                    <w:spacing w:line="302" w:lineRule="exact"/>
                                    <w:ind w:left="160"/>
                                    <w:jc w:val="left"/>
                                  </w:pPr>
                                  <w:r>
                                    <w:rPr>
                                      <w:color w:val="000000"/>
                                    </w:rPr>
                                    <w:t>样品 编号</w:t>
                                  </w:r>
                                </w:p>
                              </w:tc>
                              <w:tc>
                                <w:tcPr>
                                  <w:tcW w:w="1325" w:type="dxa"/>
                                  <w:tcBorders>
                                    <w:top w:val="single" w:color="auto" w:sz="4" w:space="0"/>
                                    <w:left w:val="single" w:color="auto" w:sz="4" w:space="0"/>
                                  </w:tcBorders>
                                  <w:shd w:val="clear" w:color="auto" w:fill="FFFFFF"/>
                                  <w:vAlign w:val="center"/>
                                </w:tcPr>
                                <w:p>
                                  <w:pPr>
                                    <w:pStyle w:val="60"/>
                                    <w:spacing w:after="80"/>
                                  </w:pPr>
                                  <w:r>
                                    <w:rPr>
                                      <w:color w:val="000000"/>
                                    </w:rPr>
                                    <w:t>孔深位置</w:t>
                                  </w:r>
                                </w:p>
                                <w:p>
                                  <w:pPr>
                                    <w:pStyle w:val="60"/>
                                    <w:rPr>
                                      <w:sz w:val="19"/>
                                      <w:szCs w:val="19"/>
                                    </w:rPr>
                                  </w:pPr>
                                  <w:r>
                                    <w:rPr>
                                      <w:rFonts w:ascii="Times New Roman" w:hAnsi="Times New Roman" w:eastAsia="Times New Roman" w:cs="Times New Roman"/>
                                      <w:color w:val="000000"/>
                                      <w:sz w:val="19"/>
                                      <w:szCs w:val="19"/>
                                      <w:lang w:val="en-US" w:eastAsia="en-US" w:bidi="en-US"/>
                                    </w:rPr>
                                    <w:t>(m)</w:t>
                                  </w:r>
                                </w:p>
                              </w:tc>
                              <w:tc>
                                <w:tcPr>
                                  <w:tcW w:w="1512" w:type="dxa"/>
                                  <w:tcBorders>
                                    <w:top w:val="single" w:color="auto" w:sz="4" w:space="0"/>
                                    <w:left w:val="single" w:color="auto" w:sz="4" w:space="0"/>
                                    <w:right w:val="single" w:color="auto" w:sz="4" w:space="0"/>
                                  </w:tcBorders>
                                  <w:shd w:val="clear" w:color="auto" w:fill="FFFFFF"/>
                                  <w:vAlign w:val="center"/>
                                </w:tcPr>
                                <w:p>
                                  <w:pPr>
                                    <w:pStyle w:val="60"/>
                                  </w:pPr>
                                  <w:r>
                                    <w:rPr>
                                      <w:color w:val="000000"/>
                                    </w:rPr>
                                    <w:t>野外定名</w:t>
                                  </w:r>
                                </w:p>
                              </w:tc>
                            </w:tr>
                            <w:tr>
                              <w:tblPrEx>
                                <w:tblLayout w:type="fixed"/>
                                <w:tblCellMar>
                                  <w:top w:w="0" w:type="dxa"/>
                                  <w:left w:w="108" w:type="dxa"/>
                                  <w:bottom w:w="0" w:type="dxa"/>
                                  <w:right w:w="108" w:type="dxa"/>
                                </w:tblCellMar>
                              </w:tblPrEx>
                              <w:trPr>
                                <w:trHeight w:val="398" w:hRule="exact"/>
                              </w:trPr>
                              <w:tc>
                                <w:tcPr>
                                  <w:tcW w:w="888" w:type="dxa"/>
                                  <w:tcBorders>
                                    <w:top w:val="single" w:color="auto" w:sz="4" w:space="0"/>
                                    <w:left w:val="single" w:color="auto" w:sz="4" w:space="0"/>
                                  </w:tcBorders>
                                  <w:shd w:val="clear" w:color="auto" w:fill="FFFFFF"/>
                                  <w:vAlign w:val="bottom"/>
                                </w:tcPr>
                                <w:p>
                                  <w:pPr>
                                    <w:pStyle w:val="60"/>
                                    <w:jc w:val="left"/>
                                    <w:rPr>
                                      <w:sz w:val="19"/>
                                      <w:szCs w:val="19"/>
                                    </w:rPr>
                                  </w:pPr>
                                  <w:r>
                                    <w:rPr>
                                      <w:rFonts w:ascii="Times New Roman" w:hAnsi="Times New Roman" w:eastAsia="Times New Roman" w:cs="Times New Roman"/>
                                      <w:color w:val="000000"/>
                                      <w:sz w:val="19"/>
                                      <w:szCs w:val="19"/>
                                      <w:lang w:val="en-US" w:eastAsia="en-US" w:bidi="en-US"/>
                                    </w:rPr>
                                    <w:t>ZK2-08</w:t>
                                  </w:r>
                                </w:p>
                              </w:tc>
                              <w:tc>
                                <w:tcPr>
                                  <w:tcW w:w="754" w:type="dxa"/>
                                  <w:tcBorders>
                                    <w:top w:val="single" w:color="auto" w:sz="4" w:space="0"/>
                                    <w:left w:val="single" w:color="auto" w:sz="4" w:space="0"/>
                                  </w:tcBorders>
                                  <w:shd w:val="clear" w:color="auto" w:fill="FFFFFF"/>
                                  <w:vAlign w:val="bottom"/>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YL1</w:t>
                                  </w:r>
                                </w:p>
                              </w:tc>
                              <w:tc>
                                <w:tcPr>
                                  <w:tcW w:w="1325"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19.3</w:t>
                                  </w:r>
                                </w:p>
                              </w:tc>
                              <w:tc>
                                <w:tcPr>
                                  <w:tcW w:w="1512"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灰白色细晶岩</w:t>
                                  </w:r>
                                </w:p>
                              </w:tc>
                            </w:tr>
                            <w:tr>
                              <w:tblPrEx>
                                <w:tblLayout w:type="fixed"/>
                                <w:tblCellMar>
                                  <w:top w:w="0" w:type="dxa"/>
                                  <w:left w:w="108" w:type="dxa"/>
                                  <w:bottom w:w="0" w:type="dxa"/>
                                  <w:right w:w="108" w:type="dxa"/>
                                </w:tblCellMar>
                              </w:tblPrEx>
                              <w:trPr>
                                <w:trHeight w:val="398" w:hRule="exact"/>
                              </w:trPr>
                              <w:tc>
                                <w:tcPr>
                                  <w:tcW w:w="888" w:type="dxa"/>
                                  <w:tcBorders>
                                    <w:top w:val="single" w:color="auto" w:sz="4" w:space="0"/>
                                    <w:left w:val="single" w:color="auto" w:sz="4" w:space="0"/>
                                  </w:tcBorders>
                                  <w:shd w:val="clear" w:color="auto" w:fill="FFFFFF"/>
                                  <w:vAlign w:val="bottom"/>
                                </w:tcPr>
                                <w:p>
                                  <w:pPr>
                                    <w:pStyle w:val="60"/>
                                    <w:jc w:val="left"/>
                                    <w:rPr>
                                      <w:sz w:val="19"/>
                                      <w:szCs w:val="19"/>
                                    </w:rPr>
                                  </w:pPr>
                                  <w:r>
                                    <w:rPr>
                                      <w:rFonts w:ascii="Times New Roman" w:hAnsi="Times New Roman" w:eastAsia="Times New Roman" w:cs="Times New Roman"/>
                                      <w:color w:val="000000"/>
                                      <w:sz w:val="19"/>
                                      <w:szCs w:val="19"/>
                                      <w:lang w:val="en-US" w:eastAsia="en-US" w:bidi="en-US"/>
                                    </w:rPr>
                                    <w:t>ZK3-O3</w:t>
                                  </w:r>
                                </w:p>
                              </w:tc>
                              <w:tc>
                                <w:tcPr>
                                  <w:tcW w:w="754" w:type="dxa"/>
                                  <w:tcBorders>
                                    <w:top w:val="single" w:color="auto" w:sz="4" w:space="0"/>
                                    <w:left w:val="single" w:color="auto" w:sz="4" w:space="0"/>
                                  </w:tcBorders>
                                  <w:shd w:val="clear" w:color="auto" w:fill="FFFFFF"/>
                                  <w:vAlign w:val="bottom"/>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YL2</w:t>
                                  </w:r>
                                </w:p>
                              </w:tc>
                              <w:tc>
                                <w:tcPr>
                                  <w:tcW w:w="1325"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15.7</w:t>
                                  </w:r>
                                </w:p>
                              </w:tc>
                              <w:tc>
                                <w:tcPr>
                                  <w:tcW w:w="1512"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灰白色细晶岩</w:t>
                                  </w:r>
                                </w:p>
                              </w:tc>
                            </w:tr>
                            <w:tr>
                              <w:tblPrEx>
                                <w:tblLayout w:type="fixed"/>
                                <w:tblCellMar>
                                  <w:top w:w="0" w:type="dxa"/>
                                  <w:left w:w="108" w:type="dxa"/>
                                  <w:bottom w:w="0" w:type="dxa"/>
                                  <w:right w:w="108" w:type="dxa"/>
                                </w:tblCellMar>
                              </w:tblPrEx>
                              <w:trPr>
                                <w:trHeight w:val="398" w:hRule="exact"/>
                              </w:trPr>
                              <w:tc>
                                <w:tcPr>
                                  <w:tcW w:w="888" w:type="dxa"/>
                                  <w:tcBorders>
                                    <w:top w:val="single" w:color="auto" w:sz="4" w:space="0"/>
                                    <w:left w:val="single" w:color="auto" w:sz="4" w:space="0"/>
                                  </w:tcBorders>
                                  <w:shd w:val="clear" w:color="auto" w:fill="FFFFFF"/>
                                  <w:vAlign w:val="bottom"/>
                                </w:tcPr>
                                <w:p>
                                  <w:pPr>
                                    <w:pStyle w:val="60"/>
                                    <w:jc w:val="left"/>
                                    <w:rPr>
                                      <w:sz w:val="19"/>
                                      <w:szCs w:val="19"/>
                                    </w:rPr>
                                  </w:pPr>
                                  <w:r>
                                    <w:rPr>
                                      <w:rFonts w:ascii="Times New Roman" w:hAnsi="Times New Roman" w:eastAsia="Times New Roman" w:cs="Times New Roman"/>
                                      <w:color w:val="000000"/>
                                      <w:sz w:val="19"/>
                                      <w:szCs w:val="19"/>
                                      <w:lang w:val="en-US" w:eastAsia="en-US" w:bidi="en-US"/>
                                    </w:rPr>
                                    <w:t>ZK3-03</w:t>
                                  </w:r>
                                </w:p>
                              </w:tc>
                              <w:tc>
                                <w:tcPr>
                                  <w:tcW w:w="754" w:type="dxa"/>
                                  <w:tcBorders>
                                    <w:top w:val="single" w:color="auto" w:sz="4" w:space="0"/>
                                    <w:left w:val="single" w:color="auto" w:sz="4" w:space="0"/>
                                  </w:tcBorders>
                                  <w:shd w:val="clear" w:color="auto" w:fill="FFFFFF"/>
                                  <w:vAlign w:val="bottom"/>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YL3</w:t>
                                  </w:r>
                                </w:p>
                              </w:tc>
                              <w:tc>
                                <w:tcPr>
                                  <w:tcW w:w="1325"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41.4</w:t>
                                  </w:r>
                                </w:p>
                              </w:tc>
                              <w:tc>
                                <w:tcPr>
                                  <w:tcW w:w="1512" w:type="dxa"/>
                                  <w:tcBorders>
                                    <w:top w:val="single" w:color="auto" w:sz="4" w:space="0"/>
                                    <w:left w:val="single" w:color="auto" w:sz="4" w:space="0"/>
                                    <w:right w:val="single" w:color="auto" w:sz="4" w:space="0"/>
                                  </w:tcBorders>
                                  <w:shd w:val="clear" w:color="auto" w:fill="FFFFFF"/>
                                  <w:vAlign w:val="bottom"/>
                                </w:tcPr>
                                <w:p>
                                  <w:pPr>
                                    <w:pStyle w:val="60"/>
                                  </w:pPr>
                                  <w:r>
                                    <w:rPr>
                                      <w:color w:val="000000"/>
                                    </w:rPr>
                                    <w:t>深灰色板岩</w:t>
                                  </w:r>
                                </w:p>
                              </w:tc>
                            </w:tr>
                            <w:tr>
                              <w:tblPrEx>
                                <w:tblLayout w:type="fixed"/>
                                <w:tblCellMar>
                                  <w:top w:w="0" w:type="dxa"/>
                                  <w:left w:w="108" w:type="dxa"/>
                                  <w:bottom w:w="0" w:type="dxa"/>
                                  <w:right w:w="108" w:type="dxa"/>
                                </w:tblCellMar>
                              </w:tblPrEx>
                              <w:trPr>
                                <w:trHeight w:val="398" w:hRule="exact"/>
                              </w:trPr>
                              <w:tc>
                                <w:tcPr>
                                  <w:tcW w:w="888" w:type="dxa"/>
                                  <w:tcBorders>
                                    <w:top w:val="single" w:color="auto" w:sz="4" w:space="0"/>
                                    <w:left w:val="single" w:color="auto" w:sz="4" w:space="0"/>
                                  </w:tcBorders>
                                  <w:shd w:val="clear" w:color="auto" w:fill="FFFFFF"/>
                                  <w:vAlign w:val="bottom"/>
                                </w:tcPr>
                                <w:p>
                                  <w:pPr>
                                    <w:pStyle w:val="60"/>
                                    <w:jc w:val="left"/>
                                    <w:rPr>
                                      <w:sz w:val="19"/>
                                      <w:szCs w:val="19"/>
                                    </w:rPr>
                                  </w:pPr>
                                  <w:r>
                                    <w:rPr>
                                      <w:rFonts w:ascii="Times New Roman" w:hAnsi="Times New Roman" w:eastAsia="Times New Roman" w:cs="Times New Roman"/>
                                      <w:color w:val="000000"/>
                                      <w:sz w:val="19"/>
                                      <w:szCs w:val="19"/>
                                      <w:lang w:val="en-US" w:eastAsia="en-US" w:bidi="en-US"/>
                                    </w:rPr>
                                    <w:t>ZK2-05</w:t>
                                  </w:r>
                                </w:p>
                              </w:tc>
                              <w:tc>
                                <w:tcPr>
                                  <w:tcW w:w="754" w:type="dxa"/>
                                  <w:tcBorders>
                                    <w:top w:val="single" w:color="auto" w:sz="4" w:space="0"/>
                                    <w:left w:val="single" w:color="auto" w:sz="4" w:space="0"/>
                                  </w:tcBorders>
                                  <w:shd w:val="clear" w:color="auto" w:fill="FFFFFF"/>
                                  <w:vAlign w:val="bottom"/>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YL4</w:t>
                                  </w:r>
                                </w:p>
                              </w:tc>
                              <w:tc>
                                <w:tcPr>
                                  <w:tcW w:w="1325"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20.4</w:t>
                                  </w:r>
                                </w:p>
                              </w:tc>
                              <w:tc>
                                <w:tcPr>
                                  <w:tcW w:w="1512"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灰色变质砂岩</w:t>
                                  </w:r>
                                </w:p>
                              </w:tc>
                            </w:tr>
                            <w:tr>
                              <w:tblPrEx>
                                <w:tblLayout w:type="fixed"/>
                                <w:tblCellMar>
                                  <w:top w:w="0" w:type="dxa"/>
                                  <w:left w:w="108" w:type="dxa"/>
                                  <w:bottom w:w="0" w:type="dxa"/>
                                  <w:right w:w="108" w:type="dxa"/>
                                </w:tblCellMar>
                              </w:tblPrEx>
                              <w:trPr>
                                <w:trHeight w:val="413" w:hRule="exact"/>
                              </w:trPr>
                              <w:tc>
                                <w:tcPr>
                                  <w:tcW w:w="888" w:type="dxa"/>
                                  <w:tcBorders>
                                    <w:top w:val="single" w:color="auto" w:sz="4" w:space="0"/>
                                    <w:left w:val="single" w:color="auto" w:sz="4" w:space="0"/>
                                    <w:bottom w:val="single" w:color="auto" w:sz="4" w:space="0"/>
                                  </w:tcBorders>
                                  <w:shd w:val="clear" w:color="auto" w:fill="FFFFFF"/>
                                  <w:vAlign w:val="center"/>
                                </w:tcPr>
                                <w:p>
                                  <w:pPr>
                                    <w:pStyle w:val="60"/>
                                    <w:jc w:val="left"/>
                                    <w:rPr>
                                      <w:sz w:val="19"/>
                                      <w:szCs w:val="19"/>
                                    </w:rPr>
                                  </w:pPr>
                                  <w:r>
                                    <w:rPr>
                                      <w:rFonts w:ascii="Times New Roman" w:hAnsi="Times New Roman" w:eastAsia="Times New Roman" w:cs="Times New Roman"/>
                                      <w:color w:val="000000"/>
                                      <w:sz w:val="19"/>
                                      <w:szCs w:val="19"/>
                                      <w:lang w:val="en-US" w:eastAsia="en-US" w:bidi="en-US"/>
                                    </w:rPr>
                                    <w:t>ZK2-05</w:t>
                                  </w:r>
                                </w:p>
                              </w:tc>
                              <w:tc>
                                <w:tcPr>
                                  <w:tcW w:w="754" w:type="dxa"/>
                                  <w:tcBorders>
                                    <w:top w:val="single" w:color="auto" w:sz="4" w:space="0"/>
                                    <w:left w:val="single" w:color="auto" w:sz="4" w:space="0"/>
                                    <w:bottom w:val="single" w:color="auto" w:sz="4" w:space="0"/>
                                  </w:tcBorders>
                                  <w:shd w:val="clear" w:color="auto" w:fill="FFFFFF"/>
                                  <w:vAlign w:val="center"/>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YL5</w:t>
                                  </w:r>
                                </w:p>
                              </w:tc>
                              <w:tc>
                                <w:tcPr>
                                  <w:tcW w:w="1325" w:type="dxa"/>
                                  <w:tcBorders>
                                    <w:top w:val="single" w:color="auto" w:sz="4" w:space="0"/>
                                    <w:left w:val="single" w:color="auto" w:sz="4" w:space="0"/>
                                    <w:bottom w:val="single" w:color="auto" w:sz="4" w:space="0"/>
                                  </w:tcBorders>
                                  <w:shd w:val="clear" w:color="auto" w:fill="FFFFFF"/>
                                  <w:vAlign w:val="center"/>
                                </w:tcPr>
                                <w:p>
                                  <w:pPr>
                                    <w:pStyle w:val="60"/>
                                    <w:rPr>
                                      <w:sz w:val="19"/>
                                      <w:szCs w:val="19"/>
                                    </w:rPr>
                                  </w:pPr>
                                  <w:r>
                                    <w:rPr>
                                      <w:rFonts w:ascii="Times New Roman" w:hAnsi="Times New Roman" w:eastAsia="Times New Roman" w:cs="Times New Roman"/>
                                      <w:color w:val="000000"/>
                                      <w:sz w:val="19"/>
                                      <w:szCs w:val="19"/>
                                      <w:lang w:val="en-US" w:eastAsia="en-US" w:bidi="en-US"/>
                                    </w:rPr>
                                    <w:t>13.4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60"/>
                                  </w:pPr>
                                  <w:r>
                                    <w:rPr>
                                      <w:color w:val="000000"/>
                                    </w:rPr>
                                    <w:t>深灰色板岩</w:t>
                                  </w:r>
                                </w:p>
                              </w:tc>
                            </w:tr>
                          </w:tbl>
                          <w:p>
                            <w:pPr>
                              <w:spacing w:line="1" w:lineRule="exact"/>
                              <w:ind w:firstLine="560"/>
                            </w:pPr>
                          </w:p>
                        </w:txbxContent>
                      </wps:txbx>
                      <wps:bodyPr lIns="0" tIns="0" rIns="0" bIns="0">
                        <a:noAutofit/>
                      </wps:bodyPr>
                    </wps:wsp>
                  </a:graphicData>
                </a:graphic>
              </wp:anchor>
            </w:drawing>
          </mc:Choice>
          <mc:Fallback>
            <w:pict>
              <v:shape id="Shape 13" o:spid="_x0000_s1026" o:spt="202" type="#_x0000_t202" style="position:absolute;left:0pt;margin-left:89.3pt;margin-top:114.75pt;height:140.9pt;width:223.9pt;mso-position-horizontal-relative:page;mso-wrap-distance-bottom:0pt;mso-wrap-distance-top:0pt;z-index:251665408;mso-width-relative:page;mso-height-relative:page;" filled="f" stroked="f" coordsize="21600,21600" o:gfxdata="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D24cBvaAAAACwEAAA8AAAAAAAAAAQAgAAAAIgAA&#10;AGRycy9kb3ducmV2LnhtbFBLAQIUABQAAAAIAIdO4kBNA+xKlAEAAD8DAAAOAAAAAAAAAAEAIAAA&#10;ACkBAABkcnMvZTJvRG9jLnhtbFBLBQYAAAAABgAGAFkBAAAvBQAAAAA=&#10;">
                <v:fill on="f" focussize="0,0"/>
                <v:stroke on="f"/>
                <v:imagedata o:title=""/>
                <o:lock v:ext="edit" aspectratio="f"/>
                <v:textbox inset="0mm,0mm,0mm,0mm">
                  <w:txbxContent>
                    <w:tbl>
                      <w:tblPr>
                        <w:tblStyle w:val="36"/>
                        <w:tblW w:w="4479" w:type="dxa"/>
                        <w:tblInd w:w="0" w:type="dxa"/>
                        <w:tblLayout w:type="fixed"/>
                        <w:tblCellMar>
                          <w:top w:w="0" w:type="dxa"/>
                          <w:left w:w="108" w:type="dxa"/>
                          <w:bottom w:w="0" w:type="dxa"/>
                          <w:right w:w="108" w:type="dxa"/>
                        </w:tblCellMar>
                      </w:tblPr>
                      <w:tblGrid>
                        <w:gridCol w:w="888"/>
                        <w:gridCol w:w="754"/>
                        <w:gridCol w:w="1325"/>
                        <w:gridCol w:w="1512"/>
                      </w:tblGrid>
                      <w:tr>
                        <w:tblPrEx>
                          <w:tblLayout w:type="fixed"/>
                          <w:tblCellMar>
                            <w:top w:w="0" w:type="dxa"/>
                            <w:left w:w="108" w:type="dxa"/>
                            <w:bottom w:w="0" w:type="dxa"/>
                            <w:right w:w="108" w:type="dxa"/>
                          </w:tblCellMar>
                        </w:tblPrEx>
                        <w:trPr>
                          <w:trHeight w:val="811" w:hRule="exact"/>
                          <w:tblHeader/>
                        </w:trPr>
                        <w:tc>
                          <w:tcPr>
                            <w:tcW w:w="888" w:type="dxa"/>
                            <w:tcBorders>
                              <w:top w:val="single" w:color="auto" w:sz="4" w:space="0"/>
                              <w:left w:val="single" w:color="auto" w:sz="4" w:space="0"/>
                            </w:tcBorders>
                            <w:shd w:val="clear" w:color="auto" w:fill="FFFFFF"/>
                            <w:vAlign w:val="center"/>
                          </w:tcPr>
                          <w:p>
                            <w:pPr>
                              <w:pStyle w:val="60"/>
                            </w:pPr>
                            <w:r>
                              <w:rPr>
                                <w:color w:val="000000"/>
                              </w:rPr>
                              <w:t>孔号</w:t>
                            </w:r>
                          </w:p>
                        </w:tc>
                        <w:tc>
                          <w:tcPr>
                            <w:tcW w:w="754" w:type="dxa"/>
                            <w:tcBorders>
                              <w:top w:val="single" w:color="auto" w:sz="4" w:space="0"/>
                              <w:left w:val="single" w:color="auto" w:sz="4" w:space="0"/>
                            </w:tcBorders>
                            <w:shd w:val="clear" w:color="auto" w:fill="FFFFFF"/>
                            <w:vAlign w:val="center"/>
                          </w:tcPr>
                          <w:p>
                            <w:pPr>
                              <w:pStyle w:val="60"/>
                              <w:spacing w:line="302" w:lineRule="exact"/>
                              <w:ind w:left="160"/>
                              <w:jc w:val="left"/>
                            </w:pPr>
                            <w:r>
                              <w:rPr>
                                <w:color w:val="000000"/>
                              </w:rPr>
                              <w:t>样品 编号</w:t>
                            </w:r>
                          </w:p>
                        </w:tc>
                        <w:tc>
                          <w:tcPr>
                            <w:tcW w:w="1325" w:type="dxa"/>
                            <w:tcBorders>
                              <w:top w:val="single" w:color="auto" w:sz="4" w:space="0"/>
                              <w:left w:val="single" w:color="auto" w:sz="4" w:space="0"/>
                            </w:tcBorders>
                            <w:shd w:val="clear" w:color="auto" w:fill="FFFFFF"/>
                            <w:vAlign w:val="center"/>
                          </w:tcPr>
                          <w:p>
                            <w:pPr>
                              <w:pStyle w:val="60"/>
                              <w:spacing w:after="80"/>
                            </w:pPr>
                            <w:r>
                              <w:rPr>
                                <w:color w:val="000000"/>
                              </w:rPr>
                              <w:t>孔深位置</w:t>
                            </w:r>
                          </w:p>
                          <w:p>
                            <w:pPr>
                              <w:pStyle w:val="60"/>
                              <w:rPr>
                                <w:sz w:val="19"/>
                                <w:szCs w:val="19"/>
                              </w:rPr>
                            </w:pPr>
                            <w:r>
                              <w:rPr>
                                <w:rFonts w:ascii="Times New Roman" w:hAnsi="Times New Roman" w:eastAsia="Times New Roman" w:cs="Times New Roman"/>
                                <w:color w:val="000000"/>
                                <w:sz w:val="19"/>
                                <w:szCs w:val="19"/>
                                <w:lang w:val="en-US" w:eastAsia="en-US" w:bidi="en-US"/>
                              </w:rPr>
                              <w:t>(m)</w:t>
                            </w:r>
                          </w:p>
                        </w:tc>
                        <w:tc>
                          <w:tcPr>
                            <w:tcW w:w="1512" w:type="dxa"/>
                            <w:tcBorders>
                              <w:top w:val="single" w:color="auto" w:sz="4" w:space="0"/>
                              <w:left w:val="single" w:color="auto" w:sz="4" w:space="0"/>
                              <w:right w:val="single" w:color="auto" w:sz="4" w:space="0"/>
                            </w:tcBorders>
                            <w:shd w:val="clear" w:color="auto" w:fill="FFFFFF"/>
                            <w:vAlign w:val="center"/>
                          </w:tcPr>
                          <w:p>
                            <w:pPr>
                              <w:pStyle w:val="60"/>
                            </w:pPr>
                            <w:r>
                              <w:rPr>
                                <w:color w:val="000000"/>
                              </w:rPr>
                              <w:t>野外定名</w:t>
                            </w:r>
                          </w:p>
                        </w:tc>
                      </w:tr>
                      <w:tr>
                        <w:tblPrEx>
                          <w:tblLayout w:type="fixed"/>
                          <w:tblCellMar>
                            <w:top w:w="0" w:type="dxa"/>
                            <w:left w:w="108" w:type="dxa"/>
                            <w:bottom w:w="0" w:type="dxa"/>
                            <w:right w:w="108" w:type="dxa"/>
                          </w:tblCellMar>
                        </w:tblPrEx>
                        <w:trPr>
                          <w:trHeight w:val="398" w:hRule="exact"/>
                        </w:trPr>
                        <w:tc>
                          <w:tcPr>
                            <w:tcW w:w="888" w:type="dxa"/>
                            <w:tcBorders>
                              <w:top w:val="single" w:color="auto" w:sz="4" w:space="0"/>
                              <w:left w:val="single" w:color="auto" w:sz="4" w:space="0"/>
                            </w:tcBorders>
                            <w:shd w:val="clear" w:color="auto" w:fill="FFFFFF"/>
                            <w:vAlign w:val="bottom"/>
                          </w:tcPr>
                          <w:p>
                            <w:pPr>
                              <w:pStyle w:val="60"/>
                              <w:jc w:val="left"/>
                              <w:rPr>
                                <w:sz w:val="19"/>
                                <w:szCs w:val="19"/>
                              </w:rPr>
                            </w:pPr>
                            <w:r>
                              <w:rPr>
                                <w:rFonts w:ascii="Times New Roman" w:hAnsi="Times New Roman" w:eastAsia="Times New Roman" w:cs="Times New Roman"/>
                                <w:color w:val="000000"/>
                                <w:sz w:val="19"/>
                                <w:szCs w:val="19"/>
                                <w:lang w:val="en-US" w:eastAsia="en-US" w:bidi="en-US"/>
                              </w:rPr>
                              <w:t>ZK2-08</w:t>
                            </w:r>
                          </w:p>
                        </w:tc>
                        <w:tc>
                          <w:tcPr>
                            <w:tcW w:w="754" w:type="dxa"/>
                            <w:tcBorders>
                              <w:top w:val="single" w:color="auto" w:sz="4" w:space="0"/>
                              <w:left w:val="single" w:color="auto" w:sz="4" w:space="0"/>
                            </w:tcBorders>
                            <w:shd w:val="clear" w:color="auto" w:fill="FFFFFF"/>
                            <w:vAlign w:val="bottom"/>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YL1</w:t>
                            </w:r>
                          </w:p>
                        </w:tc>
                        <w:tc>
                          <w:tcPr>
                            <w:tcW w:w="1325"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19.3</w:t>
                            </w:r>
                          </w:p>
                        </w:tc>
                        <w:tc>
                          <w:tcPr>
                            <w:tcW w:w="1512"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灰白色细晶岩</w:t>
                            </w:r>
                          </w:p>
                        </w:tc>
                      </w:tr>
                      <w:tr>
                        <w:tblPrEx>
                          <w:tblLayout w:type="fixed"/>
                          <w:tblCellMar>
                            <w:top w:w="0" w:type="dxa"/>
                            <w:left w:w="108" w:type="dxa"/>
                            <w:bottom w:w="0" w:type="dxa"/>
                            <w:right w:w="108" w:type="dxa"/>
                          </w:tblCellMar>
                        </w:tblPrEx>
                        <w:trPr>
                          <w:trHeight w:val="398" w:hRule="exact"/>
                        </w:trPr>
                        <w:tc>
                          <w:tcPr>
                            <w:tcW w:w="888" w:type="dxa"/>
                            <w:tcBorders>
                              <w:top w:val="single" w:color="auto" w:sz="4" w:space="0"/>
                              <w:left w:val="single" w:color="auto" w:sz="4" w:space="0"/>
                            </w:tcBorders>
                            <w:shd w:val="clear" w:color="auto" w:fill="FFFFFF"/>
                            <w:vAlign w:val="bottom"/>
                          </w:tcPr>
                          <w:p>
                            <w:pPr>
                              <w:pStyle w:val="60"/>
                              <w:jc w:val="left"/>
                              <w:rPr>
                                <w:sz w:val="19"/>
                                <w:szCs w:val="19"/>
                              </w:rPr>
                            </w:pPr>
                            <w:r>
                              <w:rPr>
                                <w:rFonts w:ascii="Times New Roman" w:hAnsi="Times New Roman" w:eastAsia="Times New Roman" w:cs="Times New Roman"/>
                                <w:color w:val="000000"/>
                                <w:sz w:val="19"/>
                                <w:szCs w:val="19"/>
                                <w:lang w:val="en-US" w:eastAsia="en-US" w:bidi="en-US"/>
                              </w:rPr>
                              <w:t>ZK3-O3</w:t>
                            </w:r>
                          </w:p>
                        </w:tc>
                        <w:tc>
                          <w:tcPr>
                            <w:tcW w:w="754" w:type="dxa"/>
                            <w:tcBorders>
                              <w:top w:val="single" w:color="auto" w:sz="4" w:space="0"/>
                              <w:left w:val="single" w:color="auto" w:sz="4" w:space="0"/>
                            </w:tcBorders>
                            <w:shd w:val="clear" w:color="auto" w:fill="FFFFFF"/>
                            <w:vAlign w:val="bottom"/>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YL2</w:t>
                            </w:r>
                          </w:p>
                        </w:tc>
                        <w:tc>
                          <w:tcPr>
                            <w:tcW w:w="1325"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15.7</w:t>
                            </w:r>
                          </w:p>
                        </w:tc>
                        <w:tc>
                          <w:tcPr>
                            <w:tcW w:w="1512"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灰白色细晶岩</w:t>
                            </w:r>
                          </w:p>
                        </w:tc>
                      </w:tr>
                      <w:tr>
                        <w:tblPrEx>
                          <w:tblLayout w:type="fixed"/>
                          <w:tblCellMar>
                            <w:top w:w="0" w:type="dxa"/>
                            <w:left w:w="108" w:type="dxa"/>
                            <w:bottom w:w="0" w:type="dxa"/>
                            <w:right w:w="108" w:type="dxa"/>
                          </w:tblCellMar>
                        </w:tblPrEx>
                        <w:trPr>
                          <w:trHeight w:val="398" w:hRule="exact"/>
                        </w:trPr>
                        <w:tc>
                          <w:tcPr>
                            <w:tcW w:w="888" w:type="dxa"/>
                            <w:tcBorders>
                              <w:top w:val="single" w:color="auto" w:sz="4" w:space="0"/>
                              <w:left w:val="single" w:color="auto" w:sz="4" w:space="0"/>
                            </w:tcBorders>
                            <w:shd w:val="clear" w:color="auto" w:fill="FFFFFF"/>
                            <w:vAlign w:val="bottom"/>
                          </w:tcPr>
                          <w:p>
                            <w:pPr>
                              <w:pStyle w:val="60"/>
                              <w:jc w:val="left"/>
                              <w:rPr>
                                <w:sz w:val="19"/>
                                <w:szCs w:val="19"/>
                              </w:rPr>
                            </w:pPr>
                            <w:r>
                              <w:rPr>
                                <w:rFonts w:ascii="Times New Roman" w:hAnsi="Times New Roman" w:eastAsia="Times New Roman" w:cs="Times New Roman"/>
                                <w:color w:val="000000"/>
                                <w:sz w:val="19"/>
                                <w:szCs w:val="19"/>
                                <w:lang w:val="en-US" w:eastAsia="en-US" w:bidi="en-US"/>
                              </w:rPr>
                              <w:t>ZK3-03</w:t>
                            </w:r>
                          </w:p>
                        </w:tc>
                        <w:tc>
                          <w:tcPr>
                            <w:tcW w:w="754" w:type="dxa"/>
                            <w:tcBorders>
                              <w:top w:val="single" w:color="auto" w:sz="4" w:space="0"/>
                              <w:left w:val="single" w:color="auto" w:sz="4" w:space="0"/>
                            </w:tcBorders>
                            <w:shd w:val="clear" w:color="auto" w:fill="FFFFFF"/>
                            <w:vAlign w:val="bottom"/>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YL3</w:t>
                            </w:r>
                          </w:p>
                        </w:tc>
                        <w:tc>
                          <w:tcPr>
                            <w:tcW w:w="1325"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41.4</w:t>
                            </w:r>
                          </w:p>
                        </w:tc>
                        <w:tc>
                          <w:tcPr>
                            <w:tcW w:w="1512" w:type="dxa"/>
                            <w:tcBorders>
                              <w:top w:val="single" w:color="auto" w:sz="4" w:space="0"/>
                              <w:left w:val="single" w:color="auto" w:sz="4" w:space="0"/>
                              <w:right w:val="single" w:color="auto" w:sz="4" w:space="0"/>
                            </w:tcBorders>
                            <w:shd w:val="clear" w:color="auto" w:fill="FFFFFF"/>
                            <w:vAlign w:val="bottom"/>
                          </w:tcPr>
                          <w:p>
                            <w:pPr>
                              <w:pStyle w:val="60"/>
                            </w:pPr>
                            <w:r>
                              <w:rPr>
                                <w:color w:val="000000"/>
                              </w:rPr>
                              <w:t>深灰色板岩</w:t>
                            </w:r>
                          </w:p>
                        </w:tc>
                      </w:tr>
                      <w:tr>
                        <w:tblPrEx>
                          <w:tblLayout w:type="fixed"/>
                          <w:tblCellMar>
                            <w:top w:w="0" w:type="dxa"/>
                            <w:left w:w="108" w:type="dxa"/>
                            <w:bottom w:w="0" w:type="dxa"/>
                            <w:right w:w="108" w:type="dxa"/>
                          </w:tblCellMar>
                        </w:tblPrEx>
                        <w:trPr>
                          <w:trHeight w:val="398" w:hRule="exact"/>
                        </w:trPr>
                        <w:tc>
                          <w:tcPr>
                            <w:tcW w:w="888" w:type="dxa"/>
                            <w:tcBorders>
                              <w:top w:val="single" w:color="auto" w:sz="4" w:space="0"/>
                              <w:left w:val="single" w:color="auto" w:sz="4" w:space="0"/>
                            </w:tcBorders>
                            <w:shd w:val="clear" w:color="auto" w:fill="FFFFFF"/>
                            <w:vAlign w:val="bottom"/>
                          </w:tcPr>
                          <w:p>
                            <w:pPr>
                              <w:pStyle w:val="60"/>
                              <w:jc w:val="left"/>
                              <w:rPr>
                                <w:sz w:val="19"/>
                                <w:szCs w:val="19"/>
                              </w:rPr>
                            </w:pPr>
                            <w:r>
                              <w:rPr>
                                <w:rFonts w:ascii="Times New Roman" w:hAnsi="Times New Roman" w:eastAsia="Times New Roman" w:cs="Times New Roman"/>
                                <w:color w:val="000000"/>
                                <w:sz w:val="19"/>
                                <w:szCs w:val="19"/>
                                <w:lang w:val="en-US" w:eastAsia="en-US" w:bidi="en-US"/>
                              </w:rPr>
                              <w:t>ZK2-05</w:t>
                            </w:r>
                          </w:p>
                        </w:tc>
                        <w:tc>
                          <w:tcPr>
                            <w:tcW w:w="754" w:type="dxa"/>
                            <w:tcBorders>
                              <w:top w:val="single" w:color="auto" w:sz="4" w:space="0"/>
                              <w:left w:val="single" w:color="auto" w:sz="4" w:space="0"/>
                            </w:tcBorders>
                            <w:shd w:val="clear" w:color="auto" w:fill="FFFFFF"/>
                            <w:vAlign w:val="bottom"/>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YL4</w:t>
                            </w:r>
                          </w:p>
                        </w:tc>
                        <w:tc>
                          <w:tcPr>
                            <w:tcW w:w="1325"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20.4</w:t>
                            </w:r>
                          </w:p>
                        </w:tc>
                        <w:tc>
                          <w:tcPr>
                            <w:tcW w:w="1512"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灰色变质砂岩</w:t>
                            </w:r>
                          </w:p>
                        </w:tc>
                      </w:tr>
                      <w:tr>
                        <w:tblPrEx>
                          <w:tblLayout w:type="fixed"/>
                          <w:tblCellMar>
                            <w:top w:w="0" w:type="dxa"/>
                            <w:left w:w="108" w:type="dxa"/>
                            <w:bottom w:w="0" w:type="dxa"/>
                            <w:right w:w="108" w:type="dxa"/>
                          </w:tblCellMar>
                        </w:tblPrEx>
                        <w:trPr>
                          <w:trHeight w:val="413" w:hRule="exact"/>
                        </w:trPr>
                        <w:tc>
                          <w:tcPr>
                            <w:tcW w:w="888" w:type="dxa"/>
                            <w:tcBorders>
                              <w:top w:val="single" w:color="auto" w:sz="4" w:space="0"/>
                              <w:left w:val="single" w:color="auto" w:sz="4" w:space="0"/>
                              <w:bottom w:val="single" w:color="auto" w:sz="4" w:space="0"/>
                            </w:tcBorders>
                            <w:shd w:val="clear" w:color="auto" w:fill="FFFFFF"/>
                            <w:vAlign w:val="center"/>
                          </w:tcPr>
                          <w:p>
                            <w:pPr>
                              <w:pStyle w:val="60"/>
                              <w:jc w:val="left"/>
                              <w:rPr>
                                <w:sz w:val="19"/>
                                <w:szCs w:val="19"/>
                              </w:rPr>
                            </w:pPr>
                            <w:r>
                              <w:rPr>
                                <w:rFonts w:ascii="Times New Roman" w:hAnsi="Times New Roman" w:eastAsia="Times New Roman" w:cs="Times New Roman"/>
                                <w:color w:val="000000"/>
                                <w:sz w:val="19"/>
                                <w:szCs w:val="19"/>
                                <w:lang w:val="en-US" w:eastAsia="en-US" w:bidi="en-US"/>
                              </w:rPr>
                              <w:t>ZK2-05</w:t>
                            </w:r>
                          </w:p>
                        </w:tc>
                        <w:tc>
                          <w:tcPr>
                            <w:tcW w:w="754" w:type="dxa"/>
                            <w:tcBorders>
                              <w:top w:val="single" w:color="auto" w:sz="4" w:space="0"/>
                              <w:left w:val="single" w:color="auto" w:sz="4" w:space="0"/>
                              <w:bottom w:val="single" w:color="auto" w:sz="4" w:space="0"/>
                            </w:tcBorders>
                            <w:shd w:val="clear" w:color="auto" w:fill="FFFFFF"/>
                            <w:vAlign w:val="center"/>
                          </w:tcPr>
                          <w:p>
                            <w:pPr>
                              <w:pStyle w:val="60"/>
                              <w:ind w:firstLine="160"/>
                              <w:jc w:val="left"/>
                              <w:rPr>
                                <w:sz w:val="19"/>
                                <w:szCs w:val="19"/>
                              </w:rPr>
                            </w:pPr>
                            <w:r>
                              <w:rPr>
                                <w:rFonts w:ascii="Times New Roman" w:hAnsi="Times New Roman" w:eastAsia="Times New Roman" w:cs="Times New Roman"/>
                                <w:color w:val="000000"/>
                                <w:sz w:val="19"/>
                                <w:szCs w:val="19"/>
                                <w:lang w:val="en-US" w:eastAsia="en-US" w:bidi="en-US"/>
                              </w:rPr>
                              <w:t>YL5</w:t>
                            </w:r>
                          </w:p>
                        </w:tc>
                        <w:tc>
                          <w:tcPr>
                            <w:tcW w:w="1325" w:type="dxa"/>
                            <w:tcBorders>
                              <w:top w:val="single" w:color="auto" w:sz="4" w:space="0"/>
                              <w:left w:val="single" w:color="auto" w:sz="4" w:space="0"/>
                              <w:bottom w:val="single" w:color="auto" w:sz="4" w:space="0"/>
                            </w:tcBorders>
                            <w:shd w:val="clear" w:color="auto" w:fill="FFFFFF"/>
                            <w:vAlign w:val="center"/>
                          </w:tcPr>
                          <w:p>
                            <w:pPr>
                              <w:pStyle w:val="60"/>
                              <w:rPr>
                                <w:sz w:val="19"/>
                                <w:szCs w:val="19"/>
                              </w:rPr>
                            </w:pPr>
                            <w:r>
                              <w:rPr>
                                <w:rFonts w:ascii="Times New Roman" w:hAnsi="Times New Roman" w:eastAsia="Times New Roman" w:cs="Times New Roman"/>
                                <w:color w:val="000000"/>
                                <w:sz w:val="19"/>
                                <w:szCs w:val="19"/>
                                <w:lang w:val="en-US" w:eastAsia="en-US" w:bidi="en-US"/>
                              </w:rPr>
                              <w:t>13.4</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60"/>
                            </w:pPr>
                            <w:r>
                              <w:rPr>
                                <w:color w:val="000000"/>
                              </w:rPr>
                              <w:t>深灰色板岩</w:t>
                            </w:r>
                          </w:p>
                        </w:tc>
                      </w:tr>
                    </w:tbl>
                    <w:p>
                      <w:pPr>
                        <w:spacing w:line="1" w:lineRule="exact"/>
                        <w:ind w:firstLine="560"/>
                      </w:pPr>
                    </w:p>
                  </w:txbxContent>
                </v:textbox>
                <w10:wrap type="topAndBottom"/>
              </v:shape>
            </w:pict>
          </mc:Fallback>
        </mc:AlternateContent>
      </w:r>
    </w:p>
    <w:p>
      <w:pPr>
        <w:spacing w:line="1" w:lineRule="exact"/>
        <w:ind w:firstLine="560"/>
        <w:rPr>
          <w:color w:val="auto"/>
        </w:rPr>
        <w:sectPr>
          <w:headerReference r:id="rId13" w:type="default"/>
          <w:footerReference r:id="rId14" w:type="default"/>
          <w:type w:val="continuous"/>
          <w:pgSz w:w="11900" w:h="16840"/>
          <w:pgMar w:top="1197" w:right="1508" w:bottom="1446" w:left="1723" w:header="1020" w:footer="850" w:gutter="0"/>
          <w:cols w:space="720" w:num="1"/>
          <w:docGrid w:linePitch="381" w:charSpace="0"/>
        </w:sectPr>
      </w:pPr>
      <w:r>
        <w:rPr>
          <w:color w:val="auto"/>
        </w:rPr>
        <mc:AlternateContent>
          <mc:Choice Requires="wps">
            <w:drawing>
              <wp:anchor distT="0" distB="0" distL="114300" distR="114300" simplePos="0" relativeHeight="251666432" behindDoc="0" locked="0" layoutInCell="1" allowOverlap="1">
                <wp:simplePos x="0" y="0"/>
                <wp:positionH relativeFrom="page">
                  <wp:posOffset>3962400</wp:posOffset>
                </wp:positionH>
                <wp:positionV relativeFrom="paragraph">
                  <wp:posOffset>1259840</wp:posOffset>
                </wp:positionV>
                <wp:extent cx="2731135" cy="1789430"/>
                <wp:effectExtent l="0" t="0" r="0" b="0"/>
                <wp:wrapTopAndBottom/>
                <wp:docPr id="59" name="Shape 15"/>
                <wp:cNvGraphicFramePr/>
                <a:graphic xmlns:a="http://schemas.openxmlformats.org/drawingml/2006/main">
                  <a:graphicData uri="http://schemas.microsoft.com/office/word/2010/wordprocessingShape">
                    <wps:wsp>
                      <wps:cNvSpPr txBox="1"/>
                      <wps:spPr>
                        <a:xfrm>
                          <a:off x="0" y="0"/>
                          <a:ext cx="2731135" cy="1789430"/>
                        </a:xfrm>
                        <a:prstGeom prst="rect">
                          <a:avLst/>
                        </a:prstGeom>
                        <a:noFill/>
                        <a:ln>
                          <a:noFill/>
                        </a:ln>
                        <a:effectLst/>
                      </wps:spPr>
                      <wps:txbx>
                        <w:txbxContent>
                          <w:tbl>
                            <w:tblPr>
                              <w:tblStyle w:val="36"/>
                              <w:tblW w:w="4301" w:type="dxa"/>
                              <w:tblInd w:w="0" w:type="dxa"/>
                              <w:tblLayout w:type="fixed"/>
                              <w:tblCellMar>
                                <w:top w:w="0" w:type="dxa"/>
                                <w:left w:w="108" w:type="dxa"/>
                                <w:bottom w:w="0" w:type="dxa"/>
                                <w:right w:w="108" w:type="dxa"/>
                              </w:tblCellMar>
                            </w:tblPr>
                            <w:tblGrid>
                              <w:gridCol w:w="1080"/>
                              <w:gridCol w:w="1080"/>
                              <w:gridCol w:w="1066"/>
                              <w:gridCol w:w="1075"/>
                            </w:tblGrid>
                            <w:tr>
                              <w:tblPrEx>
                                <w:tblLayout w:type="fixed"/>
                                <w:tblCellMar>
                                  <w:top w:w="0" w:type="dxa"/>
                                  <w:left w:w="108" w:type="dxa"/>
                                  <w:bottom w:w="0" w:type="dxa"/>
                                  <w:right w:w="108" w:type="dxa"/>
                                </w:tblCellMar>
                              </w:tblPrEx>
                              <w:trPr>
                                <w:trHeight w:val="408" w:hRule="exact"/>
                                <w:tblHeader/>
                              </w:trPr>
                              <w:tc>
                                <w:tcPr>
                                  <w:tcW w:w="3226" w:type="dxa"/>
                                  <w:gridSpan w:val="3"/>
                                  <w:tcBorders>
                                    <w:top w:val="single" w:color="auto" w:sz="4" w:space="0"/>
                                    <w:left w:val="single" w:color="auto" w:sz="4" w:space="0"/>
                                  </w:tcBorders>
                                  <w:shd w:val="clear" w:color="auto" w:fill="FFFFFF"/>
                                  <w:vAlign w:val="bottom"/>
                                </w:tcPr>
                                <w:p>
                                  <w:pPr>
                                    <w:pStyle w:val="60"/>
                                    <w:ind w:firstLine="620"/>
                                    <w:jc w:val="left"/>
                                    <w:rPr>
                                      <w:sz w:val="19"/>
                                      <w:szCs w:val="19"/>
                                    </w:rPr>
                                  </w:pPr>
                                  <w:r>
                                    <w:rPr>
                                      <w:color w:val="000000"/>
                                      <w:lang w:val="en-US" w:eastAsia="en-US" w:bidi="en-US"/>
                                    </w:rPr>
                                    <w:t>.</w:t>
                                  </w:r>
                                  <w:r>
                                    <w:rPr>
                                      <w:color w:val="000000"/>
                                    </w:rPr>
                                    <w:t>岩石力学</w:t>
                                  </w:r>
                                  <w:r>
                                    <w:rPr>
                                      <w:rFonts w:ascii="Times New Roman" w:hAnsi="Times New Roman" w:eastAsia="Times New Roman" w:cs="Times New Roman"/>
                                      <w:color w:val="000000"/>
                                      <w:sz w:val="19"/>
                                      <w:szCs w:val="19"/>
                                      <w:lang w:val="en-US" w:eastAsia="en-US" w:bidi="en-US"/>
                                    </w:rPr>
                                    <w:t>(MPa)</w:t>
                                  </w:r>
                                </w:p>
                              </w:tc>
                              <w:tc>
                                <w:tcPr>
                                  <w:tcW w:w="1075" w:type="dxa"/>
                                  <w:vMerge w:val="restart"/>
                                  <w:tcBorders>
                                    <w:top w:val="single" w:color="auto" w:sz="4" w:space="0"/>
                                    <w:left w:val="single" w:color="auto" w:sz="4" w:space="0"/>
                                    <w:right w:val="single" w:color="auto" w:sz="4" w:space="0"/>
                                  </w:tcBorders>
                                  <w:shd w:val="clear" w:color="auto" w:fill="FFFFFF"/>
                                  <w:vAlign w:val="center"/>
                                </w:tcPr>
                                <w:p>
                                  <w:pPr>
                                    <w:pStyle w:val="60"/>
                                    <w:ind w:firstLine="320"/>
                                    <w:jc w:val="left"/>
                                  </w:pPr>
                                  <w:r>
                                    <w:rPr>
                                      <w:color w:val="000000"/>
                                    </w:rPr>
                                    <w:t>备注</w:t>
                                  </w:r>
                                </w:p>
                              </w:tc>
                            </w:tr>
                            <w:tr>
                              <w:tblPrEx>
                                <w:tblLayout w:type="fixed"/>
                                <w:tblCellMar>
                                  <w:top w:w="0" w:type="dxa"/>
                                  <w:left w:w="108" w:type="dxa"/>
                                  <w:bottom w:w="0" w:type="dxa"/>
                                  <w:right w:w="108" w:type="dxa"/>
                                </w:tblCellMar>
                              </w:tblPrEx>
                              <w:trPr>
                                <w:trHeight w:val="403" w:hRule="exact"/>
                              </w:trPr>
                              <w:tc>
                                <w:tcPr>
                                  <w:tcW w:w="1080" w:type="dxa"/>
                                  <w:tcBorders>
                                    <w:top w:val="single" w:color="auto" w:sz="4" w:space="0"/>
                                    <w:left w:val="single" w:color="auto" w:sz="4" w:space="0"/>
                                  </w:tcBorders>
                                  <w:shd w:val="clear" w:color="auto" w:fill="FFFFFF"/>
                                  <w:vAlign w:val="bottom"/>
                                </w:tcPr>
                                <w:p>
                                  <w:pPr>
                                    <w:pStyle w:val="60"/>
                                  </w:pPr>
                                  <w:r>
                                    <w:rPr>
                                      <w:color w:val="000000"/>
                                    </w:rPr>
                                    <w:t>抗剪强度</w:t>
                                  </w:r>
                                </w:p>
                              </w:tc>
                              <w:tc>
                                <w:tcPr>
                                  <w:tcW w:w="1080" w:type="dxa"/>
                                  <w:tcBorders>
                                    <w:top w:val="single" w:color="auto" w:sz="4" w:space="0"/>
                                    <w:left w:val="single" w:color="auto" w:sz="4" w:space="0"/>
                                  </w:tcBorders>
                                  <w:shd w:val="clear" w:color="auto" w:fill="FFFFFF"/>
                                  <w:vAlign w:val="bottom"/>
                                </w:tcPr>
                                <w:p>
                                  <w:pPr>
                                    <w:pStyle w:val="60"/>
                                  </w:pPr>
                                  <w:r>
                                    <w:rPr>
                                      <w:color w:val="000000"/>
                                    </w:rPr>
                                    <w:t>抗拉强度</w:t>
                                  </w:r>
                                </w:p>
                              </w:tc>
                              <w:tc>
                                <w:tcPr>
                                  <w:tcW w:w="1066" w:type="dxa"/>
                                  <w:tcBorders>
                                    <w:top w:val="single" w:color="auto" w:sz="4" w:space="0"/>
                                    <w:left w:val="single" w:color="auto" w:sz="4" w:space="0"/>
                                  </w:tcBorders>
                                  <w:shd w:val="clear" w:color="auto" w:fill="FFFFFF"/>
                                  <w:vAlign w:val="bottom"/>
                                </w:tcPr>
                                <w:p>
                                  <w:pPr>
                                    <w:pStyle w:val="60"/>
                                  </w:pPr>
                                  <w:r>
                                    <w:rPr>
                                      <w:color w:val="000000"/>
                                    </w:rPr>
                                    <w:t>饱和抗压</w:t>
                                  </w:r>
                                </w:p>
                              </w:tc>
                              <w:tc>
                                <w:tcPr>
                                  <w:tcW w:w="1075" w:type="dxa"/>
                                  <w:vMerge w:val="continue"/>
                                  <w:tcBorders>
                                    <w:left w:val="single" w:color="auto" w:sz="4" w:space="0"/>
                                    <w:right w:val="single" w:color="auto" w:sz="4" w:space="0"/>
                                  </w:tcBorders>
                                  <w:shd w:val="clear" w:color="auto" w:fill="FFFFFF"/>
                                  <w:vAlign w:val="center"/>
                                </w:tcPr>
                                <w:p>
                                  <w:pPr>
                                    <w:ind w:firstLine="560"/>
                                  </w:pPr>
                                </w:p>
                              </w:tc>
                            </w:tr>
                            <w:tr>
                              <w:tblPrEx>
                                <w:tblLayout w:type="fixed"/>
                                <w:tblCellMar>
                                  <w:top w:w="0" w:type="dxa"/>
                                  <w:left w:w="108" w:type="dxa"/>
                                  <w:bottom w:w="0" w:type="dxa"/>
                                  <w:right w:w="108" w:type="dxa"/>
                                </w:tblCellMar>
                              </w:tblPrEx>
                              <w:trPr>
                                <w:trHeight w:val="398" w:hRule="exact"/>
                              </w:trPr>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7.45</w:t>
                                  </w:r>
                                </w:p>
                              </w:tc>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6.41</w:t>
                                  </w:r>
                                </w:p>
                              </w:tc>
                              <w:tc>
                                <w:tcPr>
                                  <w:tcW w:w="1066"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27.5</w:t>
                                  </w:r>
                                </w:p>
                              </w:tc>
                              <w:tc>
                                <w:tcPr>
                                  <w:tcW w:w="1075" w:type="dxa"/>
                                  <w:tcBorders>
                                    <w:top w:val="single" w:color="auto" w:sz="4" w:space="0"/>
                                    <w:left w:val="single" w:color="auto" w:sz="4" w:space="0"/>
                                    <w:right w:val="single" w:color="auto" w:sz="4" w:space="0"/>
                                  </w:tcBorders>
                                  <w:shd w:val="clear" w:color="auto" w:fill="FFFFFF"/>
                                  <w:vAlign w:val="bottom"/>
                                </w:tcPr>
                                <w:p>
                                  <w:pPr>
                                    <w:pStyle w:val="60"/>
                                    <w:ind w:firstLine="320"/>
                                    <w:jc w:val="left"/>
                                  </w:pPr>
                                  <w:r>
                                    <w:rPr>
                                      <w:color w:val="000000"/>
                                    </w:rPr>
                                    <w:t>矿体</w:t>
                                  </w:r>
                                </w:p>
                              </w:tc>
                            </w:tr>
                            <w:tr>
                              <w:tblPrEx>
                                <w:tblLayout w:type="fixed"/>
                                <w:tblCellMar>
                                  <w:top w:w="0" w:type="dxa"/>
                                  <w:left w:w="108" w:type="dxa"/>
                                  <w:bottom w:w="0" w:type="dxa"/>
                                  <w:right w:w="108" w:type="dxa"/>
                                </w:tblCellMar>
                              </w:tblPrEx>
                              <w:trPr>
                                <w:trHeight w:val="398" w:hRule="exact"/>
                              </w:trPr>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6.34</w:t>
                                  </w:r>
                                </w:p>
                              </w:tc>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4.78</w:t>
                                  </w:r>
                                </w:p>
                              </w:tc>
                              <w:tc>
                                <w:tcPr>
                                  <w:tcW w:w="1066"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25.1</w:t>
                                  </w:r>
                                </w:p>
                              </w:tc>
                              <w:tc>
                                <w:tcPr>
                                  <w:tcW w:w="1075" w:type="dxa"/>
                                  <w:tcBorders>
                                    <w:top w:val="single" w:color="auto" w:sz="4" w:space="0"/>
                                    <w:left w:val="single" w:color="auto" w:sz="4" w:space="0"/>
                                    <w:right w:val="single" w:color="auto" w:sz="4" w:space="0"/>
                                  </w:tcBorders>
                                  <w:shd w:val="clear" w:color="auto" w:fill="FFFFFF"/>
                                  <w:vAlign w:val="bottom"/>
                                </w:tcPr>
                                <w:p>
                                  <w:pPr>
                                    <w:pStyle w:val="60"/>
                                    <w:ind w:firstLine="320"/>
                                    <w:jc w:val="left"/>
                                  </w:pPr>
                                  <w:r>
                                    <w:rPr>
                                      <w:color w:val="000000"/>
                                    </w:rPr>
                                    <w:t>矿体</w:t>
                                  </w:r>
                                </w:p>
                              </w:tc>
                            </w:tr>
                            <w:tr>
                              <w:tblPrEx>
                                <w:tblLayout w:type="fixed"/>
                                <w:tblCellMar>
                                  <w:top w:w="0" w:type="dxa"/>
                                  <w:left w:w="108" w:type="dxa"/>
                                  <w:bottom w:w="0" w:type="dxa"/>
                                  <w:right w:w="108" w:type="dxa"/>
                                </w:tblCellMar>
                              </w:tblPrEx>
                              <w:trPr>
                                <w:trHeight w:val="398" w:hRule="exact"/>
                              </w:trPr>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8.02</w:t>
                                  </w:r>
                                </w:p>
                              </w:tc>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6.62</w:t>
                                  </w:r>
                                </w:p>
                              </w:tc>
                              <w:tc>
                                <w:tcPr>
                                  <w:tcW w:w="1066"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26.9</w:t>
                                  </w:r>
                                </w:p>
                              </w:tc>
                              <w:tc>
                                <w:tcPr>
                                  <w:tcW w:w="1075"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矿体底板</w:t>
                                  </w:r>
                                </w:p>
                              </w:tc>
                            </w:tr>
                            <w:tr>
                              <w:tblPrEx>
                                <w:tblLayout w:type="fixed"/>
                                <w:tblCellMar>
                                  <w:top w:w="0" w:type="dxa"/>
                                  <w:left w:w="108" w:type="dxa"/>
                                  <w:bottom w:w="0" w:type="dxa"/>
                                  <w:right w:w="108" w:type="dxa"/>
                                </w:tblCellMar>
                              </w:tblPrEx>
                              <w:trPr>
                                <w:trHeight w:val="398" w:hRule="exact"/>
                              </w:trPr>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6.11</w:t>
                                  </w:r>
                                </w:p>
                              </w:tc>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3.30</w:t>
                                  </w:r>
                                </w:p>
                              </w:tc>
                              <w:tc>
                                <w:tcPr>
                                  <w:tcW w:w="1066"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29.5</w:t>
                                  </w:r>
                                </w:p>
                              </w:tc>
                              <w:tc>
                                <w:tcPr>
                                  <w:tcW w:w="1075"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矿体顶板</w:t>
                                  </w:r>
                                </w:p>
                              </w:tc>
                            </w:tr>
                            <w:tr>
                              <w:tblPrEx>
                                <w:tblLayout w:type="fixed"/>
                                <w:tblCellMar>
                                  <w:top w:w="0" w:type="dxa"/>
                                  <w:left w:w="108" w:type="dxa"/>
                                  <w:bottom w:w="0" w:type="dxa"/>
                                  <w:right w:w="108" w:type="dxa"/>
                                </w:tblCellMar>
                              </w:tblPrEx>
                              <w:trPr>
                                <w:trHeight w:val="413" w:hRule="exact"/>
                              </w:trPr>
                              <w:tc>
                                <w:tcPr>
                                  <w:tcW w:w="1080" w:type="dxa"/>
                                  <w:tcBorders>
                                    <w:top w:val="single" w:color="auto" w:sz="4" w:space="0"/>
                                    <w:left w:val="single" w:color="auto" w:sz="4" w:space="0"/>
                                    <w:bottom w:val="single" w:color="auto" w:sz="4" w:space="0"/>
                                  </w:tcBorders>
                                  <w:shd w:val="clear" w:color="auto" w:fill="FFFFFF"/>
                                  <w:vAlign w:val="center"/>
                                </w:tcPr>
                                <w:p>
                                  <w:pPr>
                                    <w:pStyle w:val="60"/>
                                    <w:rPr>
                                      <w:sz w:val="19"/>
                                      <w:szCs w:val="19"/>
                                    </w:rPr>
                                  </w:pPr>
                                  <w:r>
                                    <w:rPr>
                                      <w:rFonts w:ascii="Times New Roman" w:hAnsi="Times New Roman" w:eastAsia="Times New Roman" w:cs="Times New Roman"/>
                                      <w:color w:val="000000"/>
                                      <w:sz w:val="19"/>
                                      <w:szCs w:val="19"/>
                                      <w:lang w:val="en-US" w:eastAsia="en-US" w:bidi="en-US"/>
                                    </w:rPr>
                                    <w:t>5.15</w:t>
                                  </w:r>
                                </w:p>
                              </w:tc>
                              <w:tc>
                                <w:tcPr>
                                  <w:tcW w:w="1080" w:type="dxa"/>
                                  <w:tcBorders>
                                    <w:top w:val="single" w:color="auto" w:sz="4" w:space="0"/>
                                    <w:left w:val="single" w:color="auto" w:sz="4" w:space="0"/>
                                    <w:bottom w:val="single" w:color="auto" w:sz="4" w:space="0"/>
                                  </w:tcBorders>
                                  <w:shd w:val="clear" w:color="auto" w:fill="FFFFFF"/>
                                  <w:vAlign w:val="center"/>
                                </w:tcPr>
                                <w:p>
                                  <w:pPr>
                                    <w:pStyle w:val="60"/>
                                    <w:rPr>
                                      <w:sz w:val="19"/>
                                      <w:szCs w:val="19"/>
                                    </w:rPr>
                                  </w:pPr>
                                  <w:r>
                                    <w:rPr>
                                      <w:rFonts w:ascii="Times New Roman" w:hAnsi="Times New Roman" w:eastAsia="Times New Roman" w:cs="Times New Roman"/>
                                      <w:color w:val="000000"/>
                                      <w:sz w:val="19"/>
                                      <w:szCs w:val="19"/>
                                      <w:lang w:val="en-US" w:eastAsia="en-US" w:bidi="en-US"/>
                                    </w:rPr>
                                    <w:t>4.57</w:t>
                                  </w:r>
                                </w:p>
                              </w:tc>
                              <w:tc>
                                <w:tcPr>
                                  <w:tcW w:w="1066" w:type="dxa"/>
                                  <w:tcBorders>
                                    <w:top w:val="single" w:color="auto" w:sz="4" w:space="0"/>
                                    <w:left w:val="single" w:color="auto" w:sz="4" w:space="0"/>
                                    <w:bottom w:val="single" w:color="auto" w:sz="4" w:space="0"/>
                                  </w:tcBorders>
                                  <w:shd w:val="clear" w:color="auto" w:fill="FFFFFF"/>
                                  <w:vAlign w:val="center"/>
                                </w:tcPr>
                                <w:p>
                                  <w:pPr>
                                    <w:pStyle w:val="60"/>
                                    <w:rPr>
                                      <w:sz w:val="19"/>
                                      <w:szCs w:val="19"/>
                                    </w:rPr>
                                  </w:pPr>
                                  <w:r>
                                    <w:rPr>
                                      <w:rFonts w:ascii="Times New Roman" w:hAnsi="Times New Roman" w:eastAsia="Times New Roman" w:cs="Times New Roman"/>
                                      <w:color w:val="000000"/>
                                      <w:sz w:val="19"/>
                                      <w:szCs w:val="19"/>
                                      <w:lang w:val="en-US" w:eastAsia="en-US" w:bidi="en-US"/>
                                    </w:rPr>
                                    <w:t>18.6</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60"/>
                                    <w:jc w:val="left"/>
                                  </w:pPr>
                                  <w:r>
                                    <w:rPr>
                                      <w:color w:val="000000"/>
                                    </w:rPr>
                                    <w:t>矿体顶板</w:t>
                                  </w:r>
                                </w:p>
                              </w:tc>
                            </w:tr>
                          </w:tbl>
                          <w:p>
                            <w:pPr>
                              <w:spacing w:line="1" w:lineRule="exact"/>
                              <w:ind w:firstLine="560"/>
                            </w:pPr>
                          </w:p>
                        </w:txbxContent>
                      </wps:txbx>
                      <wps:bodyPr lIns="0" tIns="0" rIns="0" bIns="0">
                        <a:noAutofit/>
                      </wps:bodyPr>
                    </wps:wsp>
                  </a:graphicData>
                </a:graphic>
              </wp:anchor>
            </w:drawing>
          </mc:Choice>
          <mc:Fallback>
            <w:pict>
              <v:shape id="Shape 15" o:spid="_x0000_s1026" o:spt="202" type="#_x0000_t202" style="position:absolute;left:0pt;margin-left:312pt;margin-top:99.2pt;height:140.9pt;width:215.05pt;mso-position-horizontal-relative:page;mso-wrap-distance-bottom:0pt;mso-wrap-distance-top:0pt;z-index:251666432;mso-width-relative:page;mso-height-relative:page;" filled="f" stroked="f" coordsize="21600,21600" o:gfxdata="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ktsZ3aAAAADAEAAA8AAAAAAAAAAQAg&#10;AAAAIgAAAGRycy9kb3ducmV2LnhtbFBLAQIUABQAAAAIAIdO4kB9+fMxmgEAAD8DAAAOAAAAAAAA&#10;AAEAIAAAACkBAABkcnMvZTJvRG9jLnhtbFBLBQYAAAAABgAGAFkBAAA1BQAAAAA=&#10;">
                <v:fill on="f" focussize="0,0"/>
                <v:stroke on="f"/>
                <v:imagedata o:title=""/>
                <o:lock v:ext="edit" aspectratio="f"/>
                <v:textbox inset="0mm,0mm,0mm,0mm">
                  <w:txbxContent>
                    <w:tbl>
                      <w:tblPr>
                        <w:tblStyle w:val="36"/>
                        <w:tblW w:w="4301" w:type="dxa"/>
                        <w:tblInd w:w="0" w:type="dxa"/>
                        <w:tblLayout w:type="fixed"/>
                        <w:tblCellMar>
                          <w:top w:w="0" w:type="dxa"/>
                          <w:left w:w="108" w:type="dxa"/>
                          <w:bottom w:w="0" w:type="dxa"/>
                          <w:right w:w="108" w:type="dxa"/>
                        </w:tblCellMar>
                      </w:tblPr>
                      <w:tblGrid>
                        <w:gridCol w:w="1080"/>
                        <w:gridCol w:w="1080"/>
                        <w:gridCol w:w="1066"/>
                        <w:gridCol w:w="1075"/>
                      </w:tblGrid>
                      <w:tr>
                        <w:tblPrEx>
                          <w:tblLayout w:type="fixed"/>
                          <w:tblCellMar>
                            <w:top w:w="0" w:type="dxa"/>
                            <w:left w:w="108" w:type="dxa"/>
                            <w:bottom w:w="0" w:type="dxa"/>
                            <w:right w:w="108" w:type="dxa"/>
                          </w:tblCellMar>
                        </w:tblPrEx>
                        <w:trPr>
                          <w:trHeight w:val="408" w:hRule="exact"/>
                          <w:tblHeader/>
                        </w:trPr>
                        <w:tc>
                          <w:tcPr>
                            <w:tcW w:w="3226" w:type="dxa"/>
                            <w:gridSpan w:val="3"/>
                            <w:tcBorders>
                              <w:top w:val="single" w:color="auto" w:sz="4" w:space="0"/>
                              <w:left w:val="single" w:color="auto" w:sz="4" w:space="0"/>
                            </w:tcBorders>
                            <w:shd w:val="clear" w:color="auto" w:fill="FFFFFF"/>
                            <w:vAlign w:val="bottom"/>
                          </w:tcPr>
                          <w:p>
                            <w:pPr>
                              <w:pStyle w:val="60"/>
                              <w:ind w:firstLine="620"/>
                              <w:jc w:val="left"/>
                              <w:rPr>
                                <w:sz w:val="19"/>
                                <w:szCs w:val="19"/>
                              </w:rPr>
                            </w:pPr>
                            <w:r>
                              <w:rPr>
                                <w:color w:val="000000"/>
                                <w:lang w:val="en-US" w:eastAsia="en-US" w:bidi="en-US"/>
                              </w:rPr>
                              <w:t>.</w:t>
                            </w:r>
                            <w:r>
                              <w:rPr>
                                <w:color w:val="000000"/>
                              </w:rPr>
                              <w:t>岩石力学</w:t>
                            </w:r>
                            <w:r>
                              <w:rPr>
                                <w:rFonts w:ascii="Times New Roman" w:hAnsi="Times New Roman" w:eastAsia="Times New Roman" w:cs="Times New Roman"/>
                                <w:color w:val="000000"/>
                                <w:sz w:val="19"/>
                                <w:szCs w:val="19"/>
                                <w:lang w:val="en-US" w:eastAsia="en-US" w:bidi="en-US"/>
                              </w:rPr>
                              <w:t>(MPa)</w:t>
                            </w:r>
                          </w:p>
                        </w:tc>
                        <w:tc>
                          <w:tcPr>
                            <w:tcW w:w="1075" w:type="dxa"/>
                            <w:vMerge w:val="restart"/>
                            <w:tcBorders>
                              <w:top w:val="single" w:color="auto" w:sz="4" w:space="0"/>
                              <w:left w:val="single" w:color="auto" w:sz="4" w:space="0"/>
                              <w:right w:val="single" w:color="auto" w:sz="4" w:space="0"/>
                            </w:tcBorders>
                            <w:shd w:val="clear" w:color="auto" w:fill="FFFFFF"/>
                            <w:vAlign w:val="center"/>
                          </w:tcPr>
                          <w:p>
                            <w:pPr>
                              <w:pStyle w:val="60"/>
                              <w:ind w:firstLine="320"/>
                              <w:jc w:val="left"/>
                            </w:pPr>
                            <w:r>
                              <w:rPr>
                                <w:color w:val="000000"/>
                              </w:rPr>
                              <w:t>备注</w:t>
                            </w:r>
                          </w:p>
                        </w:tc>
                      </w:tr>
                      <w:tr>
                        <w:tblPrEx>
                          <w:tblLayout w:type="fixed"/>
                          <w:tblCellMar>
                            <w:top w:w="0" w:type="dxa"/>
                            <w:left w:w="108" w:type="dxa"/>
                            <w:bottom w:w="0" w:type="dxa"/>
                            <w:right w:w="108" w:type="dxa"/>
                          </w:tblCellMar>
                        </w:tblPrEx>
                        <w:trPr>
                          <w:trHeight w:val="403" w:hRule="exact"/>
                        </w:trPr>
                        <w:tc>
                          <w:tcPr>
                            <w:tcW w:w="1080" w:type="dxa"/>
                            <w:tcBorders>
                              <w:top w:val="single" w:color="auto" w:sz="4" w:space="0"/>
                              <w:left w:val="single" w:color="auto" w:sz="4" w:space="0"/>
                            </w:tcBorders>
                            <w:shd w:val="clear" w:color="auto" w:fill="FFFFFF"/>
                            <w:vAlign w:val="bottom"/>
                          </w:tcPr>
                          <w:p>
                            <w:pPr>
                              <w:pStyle w:val="60"/>
                            </w:pPr>
                            <w:r>
                              <w:rPr>
                                <w:color w:val="000000"/>
                              </w:rPr>
                              <w:t>抗剪强度</w:t>
                            </w:r>
                          </w:p>
                        </w:tc>
                        <w:tc>
                          <w:tcPr>
                            <w:tcW w:w="1080" w:type="dxa"/>
                            <w:tcBorders>
                              <w:top w:val="single" w:color="auto" w:sz="4" w:space="0"/>
                              <w:left w:val="single" w:color="auto" w:sz="4" w:space="0"/>
                            </w:tcBorders>
                            <w:shd w:val="clear" w:color="auto" w:fill="FFFFFF"/>
                            <w:vAlign w:val="bottom"/>
                          </w:tcPr>
                          <w:p>
                            <w:pPr>
                              <w:pStyle w:val="60"/>
                            </w:pPr>
                            <w:r>
                              <w:rPr>
                                <w:color w:val="000000"/>
                              </w:rPr>
                              <w:t>抗拉强度</w:t>
                            </w:r>
                          </w:p>
                        </w:tc>
                        <w:tc>
                          <w:tcPr>
                            <w:tcW w:w="1066" w:type="dxa"/>
                            <w:tcBorders>
                              <w:top w:val="single" w:color="auto" w:sz="4" w:space="0"/>
                              <w:left w:val="single" w:color="auto" w:sz="4" w:space="0"/>
                            </w:tcBorders>
                            <w:shd w:val="clear" w:color="auto" w:fill="FFFFFF"/>
                            <w:vAlign w:val="bottom"/>
                          </w:tcPr>
                          <w:p>
                            <w:pPr>
                              <w:pStyle w:val="60"/>
                            </w:pPr>
                            <w:r>
                              <w:rPr>
                                <w:color w:val="000000"/>
                              </w:rPr>
                              <w:t>饱和抗压</w:t>
                            </w:r>
                          </w:p>
                        </w:tc>
                        <w:tc>
                          <w:tcPr>
                            <w:tcW w:w="1075" w:type="dxa"/>
                            <w:vMerge w:val="continue"/>
                            <w:tcBorders>
                              <w:left w:val="single" w:color="auto" w:sz="4" w:space="0"/>
                              <w:right w:val="single" w:color="auto" w:sz="4" w:space="0"/>
                            </w:tcBorders>
                            <w:shd w:val="clear" w:color="auto" w:fill="FFFFFF"/>
                            <w:vAlign w:val="center"/>
                          </w:tcPr>
                          <w:p>
                            <w:pPr>
                              <w:ind w:firstLine="560"/>
                            </w:pPr>
                          </w:p>
                        </w:tc>
                      </w:tr>
                      <w:tr>
                        <w:tblPrEx>
                          <w:tblLayout w:type="fixed"/>
                          <w:tblCellMar>
                            <w:top w:w="0" w:type="dxa"/>
                            <w:left w:w="108" w:type="dxa"/>
                            <w:bottom w:w="0" w:type="dxa"/>
                            <w:right w:w="108" w:type="dxa"/>
                          </w:tblCellMar>
                        </w:tblPrEx>
                        <w:trPr>
                          <w:trHeight w:val="398" w:hRule="exact"/>
                        </w:trPr>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7.45</w:t>
                            </w:r>
                          </w:p>
                        </w:tc>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6.41</w:t>
                            </w:r>
                          </w:p>
                        </w:tc>
                        <w:tc>
                          <w:tcPr>
                            <w:tcW w:w="1066"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27.5</w:t>
                            </w:r>
                          </w:p>
                        </w:tc>
                        <w:tc>
                          <w:tcPr>
                            <w:tcW w:w="1075" w:type="dxa"/>
                            <w:tcBorders>
                              <w:top w:val="single" w:color="auto" w:sz="4" w:space="0"/>
                              <w:left w:val="single" w:color="auto" w:sz="4" w:space="0"/>
                              <w:right w:val="single" w:color="auto" w:sz="4" w:space="0"/>
                            </w:tcBorders>
                            <w:shd w:val="clear" w:color="auto" w:fill="FFFFFF"/>
                            <w:vAlign w:val="bottom"/>
                          </w:tcPr>
                          <w:p>
                            <w:pPr>
                              <w:pStyle w:val="60"/>
                              <w:ind w:firstLine="320"/>
                              <w:jc w:val="left"/>
                            </w:pPr>
                            <w:r>
                              <w:rPr>
                                <w:color w:val="000000"/>
                              </w:rPr>
                              <w:t>矿体</w:t>
                            </w:r>
                          </w:p>
                        </w:tc>
                      </w:tr>
                      <w:tr>
                        <w:tblPrEx>
                          <w:tblLayout w:type="fixed"/>
                          <w:tblCellMar>
                            <w:top w:w="0" w:type="dxa"/>
                            <w:left w:w="108" w:type="dxa"/>
                            <w:bottom w:w="0" w:type="dxa"/>
                            <w:right w:w="108" w:type="dxa"/>
                          </w:tblCellMar>
                        </w:tblPrEx>
                        <w:trPr>
                          <w:trHeight w:val="398" w:hRule="exact"/>
                        </w:trPr>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6.34</w:t>
                            </w:r>
                          </w:p>
                        </w:tc>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4.78</w:t>
                            </w:r>
                          </w:p>
                        </w:tc>
                        <w:tc>
                          <w:tcPr>
                            <w:tcW w:w="1066"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25.1</w:t>
                            </w:r>
                          </w:p>
                        </w:tc>
                        <w:tc>
                          <w:tcPr>
                            <w:tcW w:w="1075" w:type="dxa"/>
                            <w:tcBorders>
                              <w:top w:val="single" w:color="auto" w:sz="4" w:space="0"/>
                              <w:left w:val="single" w:color="auto" w:sz="4" w:space="0"/>
                              <w:right w:val="single" w:color="auto" w:sz="4" w:space="0"/>
                            </w:tcBorders>
                            <w:shd w:val="clear" w:color="auto" w:fill="FFFFFF"/>
                            <w:vAlign w:val="bottom"/>
                          </w:tcPr>
                          <w:p>
                            <w:pPr>
                              <w:pStyle w:val="60"/>
                              <w:ind w:firstLine="320"/>
                              <w:jc w:val="left"/>
                            </w:pPr>
                            <w:r>
                              <w:rPr>
                                <w:color w:val="000000"/>
                              </w:rPr>
                              <w:t>矿体</w:t>
                            </w:r>
                          </w:p>
                        </w:tc>
                      </w:tr>
                      <w:tr>
                        <w:tblPrEx>
                          <w:tblLayout w:type="fixed"/>
                          <w:tblCellMar>
                            <w:top w:w="0" w:type="dxa"/>
                            <w:left w:w="108" w:type="dxa"/>
                            <w:bottom w:w="0" w:type="dxa"/>
                            <w:right w:w="108" w:type="dxa"/>
                          </w:tblCellMar>
                        </w:tblPrEx>
                        <w:trPr>
                          <w:trHeight w:val="398" w:hRule="exact"/>
                        </w:trPr>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8.02</w:t>
                            </w:r>
                          </w:p>
                        </w:tc>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6.62</w:t>
                            </w:r>
                          </w:p>
                        </w:tc>
                        <w:tc>
                          <w:tcPr>
                            <w:tcW w:w="1066"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26.9</w:t>
                            </w:r>
                          </w:p>
                        </w:tc>
                        <w:tc>
                          <w:tcPr>
                            <w:tcW w:w="1075"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矿体底板</w:t>
                            </w:r>
                          </w:p>
                        </w:tc>
                      </w:tr>
                      <w:tr>
                        <w:tblPrEx>
                          <w:tblLayout w:type="fixed"/>
                          <w:tblCellMar>
                            <w:top w:w="0" w:type="dxa"/>
                            <w:left w:w="108" w:type="dxa"/>
                            <w:bottom w:w="0" w:type="dxa"/>
                            <w:right w:w="108" w:type="dxa"/>
                          </w:tblCellMar>
                        </w:tblPrEx>
                        <w:trPr>
                          <w:trHeight w:val="398" w:hRule="exact"/>
                        </w:trPr>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6.11</w:t>
                            </w:r>
                          </w:p>
                        </w:tc>
                        <w:tc>
                          <w:tcPr>
                            <w:tcW w:w="1080"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3.30</w:t>
                            </w:r>
                          </w:p>
                        </w:tc>
                        <w:tc>
                          <w:tcPr>
                            <w:tcW w:w="1066" w:type="dxa"/>
                            <w:tcBorders>
                              <w:top w:val="single" w:color="auto" w:sz="4" w:space="0"/>
                              <w:left w:val="single" w:color="auto" w:sz="4" w:space="0"/>
                            </w:tcBorders>
                            <w:shd w:val="clear" w:color="auto" w:fill="FFFFFF"/>
                            <w:vAlign w:val="bottom"/>
                          </w:tcPr>
                          <w:p>
                            <w:pPr>
                              <w:pStyle w:val="60"/>
                              <w:rPr>
                                <w:sz w:val="19"/>
                                <w:szCs w:val="19"/>
                              </w:rPr>
                            </w:pPr>
                            <w:r>
                              <w:rPr>
                                <w:rFonts w:ascii="Times New Roman" w:hAnsi="Times New Roman" w:eastAsia="Times New Roman" w:cs="Times New Roman"/>
                                <w:color w:val="000000"/>
                                <w:sz w:val="19"/>
                                <w:szCs w:val="19"/>
                                <w:lang w:val="en-US" w:eastAsia="en-US" w:bidi="en-US"/>
                              </w:rPr>
                              <w:t>29.5</w:t>
                            </w:r>
                          </w:p>
                        </w:tc>
                        <w:tc>
                          <w:tcPr>
                            <w:tcW w:w="1075" w:type="dxa"/>
                            <w:tcBorders>
                              <w:top w:val="single" w:color="auto" w:sz="4" w:space="0"/>
                              <w:left w:val="single" w:color="auto" w:sz="4" w:space="0"/>
                              <w:right w:val="single" w:color="auto" w:sz="4" w:space="0"/>
                            </w:tcBorders>
                            <w:shd w:val="clear" w:color="auto" w:fill="FFFFFF"/>
                            <w:vAlign w:val="bottom"/>
                          </w:tcPr>
                          <w:p>
                            <w:pPr>
                              <w:pStyle w:val="60"/>
                              <w:jc w:val="left"/>
                            </w:pPr>
                            <w:r>
                              <w:rPr>
                                <w:color w:val="000000"/>
                              </w:rPr>
                              <w:t>矿体顶板</w:t>
                            </w:r>
                          </w:p>
                        </w:tc>
                      </w:tr>
                      <w:tr>
                        <w:tblPrEx>
                          <w:tblLayout w:type="fixed"/>
                          <w:tblCellMar>
                            <w:top w:w="0" w:type="dxa"/>
                            <w:left w:w="108" w:type="dxa"/>
                            <w:bottom w:w="0" w:type="dxa"/>
                            <w:right w:w="108" w:type="dxa"/>
                          </w:tblCellMar>
                        </w:tblPrEx>
                        <w:trPr>
                          <w:trHeight w:val="413" w:hRule="exact"/>
                        </w:trPr>
                        <w:tc>
                          <w:tcPr>
                            <w:tcW w:w="1080" w:type="dxa"/>
                            <w:tcBorders>
                              <w:top w:val="single" w:color="auto" w:sz="4" w:space="0"/>
                              <w:left w:val="single" w:color="auto" w:sz="4" w:space="0"/>
                              <w:bottom w:val="single" w:color="auto" w:sz="4" w:space="0"/>
                            </w:tcBorders>
                            <w:shd w:val="clear" w:color="auto" w:fill="FFFFFF"/>
                            <w:vAlign w:val="center"/>
                          </w:tcPr>
                          <w:p>
                            <w:pPr>
                              <w:pStyle w:val="60"/>
                              <w:rPr>
                                <w:sz w:val="19"/>
                                <w:szCs w:val="19"/>
                              </w:rPr>
                            </w:pPr>
                            <w:r>
                              <w:rPr>
                                <w:rFonts w:ascii="Times New Roman" w:hAnsi="Times New Roman" w:eastAsia="Times New Roman" w:cs="Times New Roman"/>
                                <w:color w:val="000000"/>
                                <w:sz w:val="19"/>
                                <w:szCs w:val="19"/>
                                <w:lang w:val="en-US" w:eastAsia="en-US" w:bidi="en-US"/>
                              </w:rPr>
                              <w:t>5.15</w:t>
                            </w:r>
                          </w:p>
                        </w:tc>
                        <w:tc>
                          <w:tcPr>
                            <w:tcW w:w="1080" w:type="dxa"/>
                            <w:tcBorders>
                              <w:top w:val="single" w:color="auto" w:sz="4" w:space="0"/>
                              <w:left w:val="single" w:color="auto" w:sz="4" w:space="0"/>
                              <w:bottom w:val="single" w:color="auto" w:sz="4" w:space="0"/>
                            </w:tcBorders>
                            <w:shd w:val="clear" w:color="auto" w:fill="FFFFFF"/>
                            <w:vAlign w:val="center"/>
                          </w:tcPr>
                          <w:p>
                            <w:pPr>
                              <w:pStyle w:val="60"/>
                              <w:rPr>
                                <w:sz w:val="19"/>
                                <w:szCs w:val="19"/>
                              </w:rPr>
                            </w:pPr>
                            <w:r>
                              <w:rPr>
                                <w:rFonts w:ascii="Times New Roman" w:hAnsi="Times New Roman" w:eastAsia="Times New Roman" w:cs="Times New Roman"/>
                                <w:color w:val="000000"/>
                                <w:sz w:val="19"/>
                                <w:szCs w:val="19"/>
                                <w:lang w:val="en-US" w:eastAsia="en-US" w:bidi="en-US"/>
                              </w:rPr>
                              <w:t>4.57</w:t>
                            </w:r>
                          </w:p>
                        </w:tc>
                        <w:tc>
                          <w:tcPr>
                            <w:tcW w:w="1066" w:type="dxa"/>
                            <w:tcBorders>
                              <w:top w:val="single" w:color="auto" w:sz="4" w:space="0"/>
                              <w:left w:val="single" w:color="auto" w:sz="4" w:space="0"/>
                              <w:bottom w:val="single" w:color="auto" w:sz="4" w:space="0"/>
                            </w:tcBorders>
                            <w:shd w:val="clear" w:color="auto" w:fill="FFFFFF"/>
                            <w:vAlign w:val="center"/>
                          </w:tcPr>
                          <w:p>
                            <w:pPr>
                              <w:pStyle w:val="60"/>
                              <w:rPr>
                                <w:sz w:val="19"/>
                                <w:szCs w:val="19"/>
                              </w:rPr>
                            </w:pPr>
                            <w:r>
                              <w:rPr>
                                <w:rFonts w:ascii="Times New Roman" w:hAnsi="Times New Roman" w:eastAsia="Times New Roman" w:cs="Times New Roman"/>
                                <w:color w:val="000000"/>
                                <w:sz w:val="19"/>
                                <w:szCs w:val="19"/>
                                <w:lang w:val="en-US" w:eastAsia="en-US" w:bidi="en-US"/>
                              </w:rPr>
                              <w:t>18.6</w:t>
                            </w:r>
                          </w:p>
                        </w:tc>
                        <w:tc>
                          <w:tcPr>
                            <w:tcW w:w="10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60"/>
                              <w:jc w:val="left"/>
                            </w:pPr>
                            <w:r>
                              <w:rPr>
                                <w:color w:val="000000"/>
                              </w:rPr>
                              <w:t>矿体顶板</w:t>
                            </w:r>
                          </w:p>
                        </w:tc>
                      </w:tr>
                    </w:tbl>
                    <w:p>
                      <w:pPr>
                        <w:spacing w:line="1" w:lineRule="exact"/>
                        <w:ind w:firstLine="560"/>
                      </w:pPr>
                    </w:p>
                  </w:txbxContent>
                </v:textbox>
                <w10:wrap type="topAndBottom"/>
              </v:shape>
            </w:pict>
          </mc:Fallback>
        </mc:AlternateContent>
      </w:r>
    </w:p>
    <w:p>
      <w:pPr>
        <w:pStyle w:val="49"/>
        <w:spacing w:after="0" w:line="240" w:lineRule="auto"/>
        <w:ind w:firstLine="600"/>
        <w:jc w:val="both"/>
        <w:rPr>
          <w:rFonts w:ascii="仿宋_GB2312" w:hAnsi="仿宋_GB2312" w:cs="仿宋_GB2312"/>
          <w:color w:val="auto"/>
          <w:kern w:val="2"/>
          <w:sz w:val="28"/>
          <w:szCs w:val="24"/>
          <w:lang w:val="en-US" w:eastAsia="zh-CN" w:bidi="ar-SA"/>
        </w:rPr>
      </w:pPr>
      <w:r>
        <w:rPr>
          <w:rFonts w:hint="eastAsia" w:ascii="仿宋_GB2312" w:hAnsi="仿宋_GB2312" w:cs="仿宋_GB2312"/>
          <w:color w:val="auto"/>
          <w:kern w:val="2"/>
          <w:sz w:val="28"/>
          <w:szCs w:val="24"/>
          <w:lang w:val="en-US" w:eastAsia="zh-CN" w:bidi="ar-SA"/>
        </w:rPr>
        <w:t>3）</w:t>
      </w:r>
      <w:r>
        <w:rPr>
          <w:rFonts w:ascii="仿宋_GB2312" w:hAnsi="仿宋_GB2312" w:cs="仿宋_GB2312"/>
          <w:color w:val="auto"/>
          <w:kern w:val="2"/>
          <w:sz w:val="28"/>
          <w:szCs w:val="24"/>
          <w:lang w:val="en-US" w:eastAsia="zh-CN" w:bidi="ar-SA"/>
        </w:rPr>
        <w:t>露釆边坡的稳定性评价</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区内矿体呈规则脉状体，地表局部矿石较松散外，整体较完整，稳固性较好。 矿体顶底板围岩的稳固性：矿体顶底板为软弱的亚粘土、变质砂岩、板岩，多为 中等硬度岩类岩石，围岩比较稳固。矿床拟露天开采，综合矿体及围岩的稳定性, 建议剥离最终边坡松散状45° ,岩石状60° ,剥离后边坡采用浆砌加固，并恢复 植被，边坡较为稳固。</w:t>
      </w:r>
    </w:p>
    <w:p>
      <w:pPr>
        <w:pStyle w:val="49"/>
        <w:spacing w:line="240" w:lineRule="auto"/>
        <w:ind w:firstLine="600"/>
        <w:jc w:val="both"/>
        <w:rPr>
          <w:rFonts w:ascii="仿宋_GB2312" w:hAnsi="仿宋_GB2312" w:cs="仿宋_GB2312"/>
          <w:color w:val="auto"/>
          <w:kern w:val="2"/>
          <w:sz w:val="28"/>
          <w:szCs w:val="24"/>
          <w:lang w:val="en-US" w:eastAsia="zh-CN" w:bidi="ar-SA"/>
        </w:rPr>
      </w:pPr>
      <w:r>
        <w:rPr>
          <w:rFonts w:hint="eastAsia" w:ascii="仿宋_GB2312" w:hAnsi="仿宋_GB2312" w:cs="仿宋_GB2312"/>
          <w:color w:val="auto"/>
          <w:kern w:val="2"/>
          <w:sz w:val="28"/>
          <w:szCs w:val="24"/>
          <w:lang w:val="en-US" w:eastAsia="zh-CN" w:bidi="ar-SA"/>
        </w:rPr>
        <w:t>4）</w:t>
      </w:r>
      <w:r>
        <w:rPr>
          <w:rFonts w:ascii="仿宋_GB2312" w:hAnsi="仿宋_GB2312" w:cs="仿宋_GB2312"/>
          <w:color w:val="auto"/>
          <w:kern w:val="2"/>
          <w:sz w:val="28"/>
          <w:szCs w:val="24"/>
          <w:lang w:val="en-US" w:eastAsia="zh-CN" w:bidi="ar-SA"/>
        </w:rPr>
        <w:t>矿区工程地质类型</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矿区断裂构造基本没见到，绪构面形式主要以节理裂隙为主，该矿区矿层和 围岩易于风化，大多遭受强风化，或弱风化，工程性质软弱，又由于节理裂隙较 发育，破坏岩体完整，影响岩体的力学性质及局部稳定性，对露天开采会造成影 响，建议露釆边坡角不大于60° ,主要问题为可能产生滑坡和崩塌等工程地质问 题，需加强边坡管理。</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综上所述，据《矿区水文地质工程地质勘探规范》(GB</w:t>
      </w:r>
      <w:r>
        <w:rPr>
          <w:rFonts w:hint="eastAsia" w:ascii="仿宋_GB2312" w:hAnsi="仿宋_GB2312" w:cs="仿宋_GB2312"/>
          <w:color w:val="auto"/>
          <w:lang w:val="en-US" w:eastAsia="zh-CN"/>
        </w:rPr>
        <w:t>/T</w:t>
      </w:r>
      <w:r>
        <w:rPr>
          <w:rFonts w:ascii="仿宋_GB2312" w:hAnsi="仿宋_GB2312" w:cs="仿宋_GB2312"/>
          <w:color w:val="auto"/>
        </w:rPr>
        <w:t>12719—</w:t>
      </w:r>
      <w:r>
        <w:rPr>
          <w:rFonts w:hint="eastAsia" w:ascii="仿宋_GB2312" w:hAnsi="仿宋_GB2312" w:cs="仿宋_GB2312"/>
          <w:color w:val="auto"/>
        </w:rPr>
        <w:t>2021</w:t>
      </w:r>
      <w:r>
        <w:rPr>
          <w:rFonts w:ascii="仿宋_GB2312" w:hAnsi="仿宋_GB2312" w:cs="仿宋_GB2312"/>
          <w:color w:val="auto"/>
        </w:rPr>
        <w:t>),本矿区 矿床工程地质为中等类型。</w:t>
      </w:r>
    </w:p>
    <w:p>
      <w:pPr>
        <w:pStyle w:val="49"/>
        <w:spacing w:after="180" w:line="240" w:lineRule="auto"/>
        <w:ind w:firstLine="0"/>
        <w:jc w:val="both"/>
        <w:rPr>
          <w:b/>
          <w:color w:val="auto"/>
          <w:sz w:val="28"/>
          <w:szCs w:val="28"/>
        </w:rPr>
      </w:pPr>
      <w:r>
        <w:rPr>
          <w:rFonts w:ascii="Times New Roman" w:hAnsi="Times New Roman" w:eastAsia="Times New Roman" w:cs="Times New Roman"/>
          <w:b/>
          <w:bCs/>
          <w:color w:val="auto"/>
          <w:sz w:val="28"/>
          <w:szCs w:val="28"/>
          <w:lang w:val="en-US" w:eastAsia="zh-CN" w:bidi="en-US"/>
        </w:rPr>
        <w:t>2.2.3</w:t>
      </w:r>
      <w:r>
        <w:rPr>
          <w:rFonts w:hint="eastAsia" w:ascii="Times New Roman" w:hAnsi="Times New Roman" w:cs="Times New Roman"/>
          <w:b/>
          <w:bCs/>
          <w:color w:val="auto"/>
          <w:sz w:val="28"/>
          <w:szCs w:val="28"/>
          <w:lang w:val="en-US" w:eastAsia="zh-CN" w:bidi="en-US"/>
        </w:rPr>
        <w:t>.</w:t>
      </w:r>
      <w:r>
        <w:rPr>
          <w:rFonts w:ascii="Times New Roman" w:hAnsi="Times New Roman" w:eastAsia="Times New Roman" w:cs="Times New Roman"/>
          <w:b/>
          <w:bCs/>
          <w:color w:val="auto"/>
          <w:sz w:val="28"/>
          <w:szCs w:val="28"/>
          <w:lang w:val="en-US" w:eastAsia="zh-CN" w:bidi="en-US"/>
        </w:rPr>
        <w:t>3</w:t>
      </w:r>
      <w:r>
        <w:rPr>
          <w:b/>
          <w:color w:val="auto"/>
          <w:sz w:val="28"/>
          <w:szCs w:val="28"/>
        </w:rPr>
        <w:t>环境地质条件</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1）</w:t>
      </w:r>
      <w:r>
        <w:rPr>
          <w:rFonts w:ascii="仿宋_GB2312" w:hAnsi="仿宋_GB2312" w:cs="仿宋_GB2312"/>
          <w:color w:val="auto"/>
        </w:rPr>
        <w:t>据区域地质资料，矿区及附近未见新构造活动迹象。据《中国地震烈度 区划图》《中国地震动参数区划图》,区域地震烈度6度，地震动峰值加速度0.05g,属区域地壳较稳定区。</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2）</w:t>
      </w:r>
      <w:r>
        <w:rPr>
          <w:rFonts w:ascii="仿宋_GB2312" w:hAnsi="仿宋_GB2312" w:cs="仿宋_GB2312"/>
          <w:color w:val="auto"/>
        </w:rPr>
        <w:t>矿区及周边未发现明显的山洪、泥石流、滑坡、地面坍陷等地质灾害。矿区地形坡度10</w:t>
      </w:r>
      <w:r>
        <w:rPr>
          <w:rFonts w:hint="eastAsia" w:ascii="宋体" w:hAnsi="宋体" w:cs="宋体"/>
          <w:color w:val="auto"/>
        </w:rPr>
        <w:t>°</w:t>
      </w:r>
      <w:r>
        <w:rPr>
          <w:rFonts w:ascii="仿宋_GB2312" w:hAnsi="仿宋_GB2312" w:cs="仿宋_GB2312"/>
          <w:color w:val="auto"/>
        </w:rPr>
        <w:t>〜20</w:t>
      </w:r>
      <w:r>
        <w:rPr>
          <w:rFonts w:hint="eastAsia" w:ascii="宋体" w:hAnsi="宋体" w:cs="宋体"/>
          <w:color w:val="auto"/>
        </w:rPr>
        <w:t>°</w:t>
      </w:r>
      <w:r>
        <w:rPr>
          <w:rFonts w:ascii="仿宋_GB2312" w:hAnsi="仿宋_GB2312" w:cs="仿宋_GB2312"/>
          <w:color w:val="auto"/>
        </w:rPr>
        <w:t>，坡高一般40〜90</w:t>
      </w:r>
      <w:r>
        <w:rPr>
          <w:rFonts w:hint="eastAsia" w:ascii="仿宋_GB2312" w:hAnsi="仿宋_GB2312" w:cs="仿宋_GB2312"/>
          <w:color w:val="auto"/>
        </w:rPr>
        <w:t>m</w:t>
      </w:r>
      <w:r>
        <w:rPr>
          <w:rFonts w:ascii="仿宋_GB2312" w:hAnsi="仿宋_GB2312" w:cs="仿宋_GB2312"/>
          <w:color w:val="auto"/>
        </w:rPr>
        <w:t>该岩组主要为新鲜的变质砂岩、板岩。 地表风化深度2〜5m。在自然地质作用下发生崩塌、滑坡、泥石流等地质灾害的 可能性较小。</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3）</w:t>
      </w:r>
      <w:r>
        <w:rPr>
          <w:rFonts w:ascii="仿宋_GB2312" w:hAnsi="仿宋_GB2312" w:cs="仿宋_GB2312"/>
          <w:color w:val="auto"/>
        </w:rPr>
        <w:t>矿床开发会造成矿区一定范围内植被的毁坏。矿山拟露天开采，采后形成 的底板标高和原山坡坡形大体一致。区内多个矿体采坑充水主要为自然降水，可 用机械排入下游水溪。</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以上采坑最大边坡角为60°,经过浆砌等手段，可以保证边坡的稳定性，不会 造成山体开裂、崩塌、滑坡、泥石流等地质灾害。开采范围在适当位置建立拦沙 坝，过滤沉淀后，不会造成地表水和地下水的污染。同时应本着边开发边治理的 原则，做好环境恢复治理工作。</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4）</w:t>
      </w:r>
      <w:r>
        <w:rPr>
          <w:rFonts w:ascii="仿宋_GB2312" w:hAnsi="仿宋_GB2312" w:cs="仿宋_GB2312"/>
          <w:color w:val="auto"/>
        </w:rPr>
        <w:t>在本次实地勘查过程中，同时还开展了放射性测试，使用HD-2000型伽丹 辐射仪，测得矿石放射性数据为11.2-14.7卩R/h,平均为13|nR/ho经伽玛能谱总量 测量，放射性元素含量低于16ppm,不会造成发射性污染，对人、畜没有影响。 矿山开釆无需选矿，原矿可直接销售，开拓和开釆排出的废石，只要选择较低的 沟谷堆放，并做好拦石坝，就可避免废石对周围环境的影响。</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5）</w:t>
      </w:r>
      <w:r>
        <w:rPr>
          <w:rFonts w:ascii="仿宋_GB2312" w:hAnsi="仿宋_GB2312" w:cs="仿宋_GB2312"/>
          <w:color w:val="auto"/>
        </w:rPr>
        <w:t>通过对地下水、地表水分别取样分析，分析结果表明地下水、地表水水质 较好，矿山开釆无需选矿，矿石和废石不会分解出有害组分，今后开采不会造成 水体污染。</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在开发中，需对釆坑进行植被绿化等综合治理，以期还原环境，恢复自然的 治理效益。</w:t>
      </w:r>
    </w:p>
    <w:p>
      <w:pPr>
        <w:pStyle w:val="93"/>
        <w:spacing w:line="360" w:lineRule="auto"/>
        <w:ind w:firstLine="560" w:firstLineChars="0"/>
        <w:rPr>
          <w:color w:val="auto"/>
        </w:rPr>
      </w:pPr>
      <w:r>
        <w:rPr>
          <w:rFonts w:ascii="仿宋_GB2312" w:hAnsi="仿宋_GB2312" w:cs="仿宋_GB2312"/>
          <w:color w:val="auto"/>
        </w:rPr>
        <w:t>综上所述，据《矿区水文地质工程地质勘探规范》(GB</w:t>
      </w:r>
      <w:r>
        <w:rPr>
          <w:rFonts w:hint="eastAsia" w:ascii="仿宋_GB2312" w:hAnsi="仿宋_GB2312" w:cs="仿宋_GB2312"/>
          <w:color w:val="auto"/>
          <w:lang w:val="en-US" w:eastAsia="zh-CN"/>
        </w:rPr>
        <w:t>/T</w:t>
      </w:r>
      <w:r>
        <w:rPr>
          <w:rFonts w:ascii="仿宋_GB2312" w:hAnsi="仿宋_GB2312" w:cs="仿宋_GB2312"/>
          <w:color w:val="auto"/>
        </w:rPr>
        <w:t>12719—</w:t>
      </w:r>
      <w:r>
        <w:rPr>
          <w:rFonts w:hint="eastAsia" w:ascii="仿宋_GB2312" w:hAnsi="仿宋_GB2312" w:cs="仿宋_GB2312"/>
          <w:color w:val="auto"/>
        </w:rPr>
        <w:t>2021</w:t>
      </w:r>
      <w:r>
        <w:rPr>
          <w:rFonts w:ascii="仿宋_GB2312" w:hAnsi="仿宋_GB2312" w:cs="仿宋_GB2312"/>
          <w:color w:val="auto"/>
        </w:rPr>
        <w:t>),矿区环 境地质条件</w:t>
      </w:r>
      <w:r>
        <w:rPr>
          <w:color w:val="auto"/>
        </w:rPr>
        <w:t>为简单类型。</w:t>
      </w:r>
    </w:p>
    <w:p>
      <w:pPr>
        <w:pStyle w:val="49"/>
        <w:spacing w:after="180" w:line="240" w:lineRule="auto"/>
        <w:ind w:firstLine="0"/>
        <w:jc w:val="both"/>
        <w:rPr>
          <w:rFonts w:ascii="Times New Roman" w:hAnsi="Times New Roman" w:eastAsia="Times New Roman" w:cs="Times New Roman"/>
          <w:b/>
          <w:bCs/>
          <w:color w:val="auto"/>
          <w:sz w:val="28"/>
          <w:szCs w:val="28"/>
          <w:lang w:val="en-US" w:eastAsia="zh-CN" w:bidi="en-US"/>
        </w:rPr>
      </w:pPr>
      <w:r>
        <w:rPr>
          <w:rFonts w:ascii="Times New Roman" w:hAnsi="Times New Roman" w:eastAsia="Times New Roman" w:cs="Times New Roman"/>
          <w:b/>
          <w:bCs/>
          <w:color w:val="auto"/>
          <w:sz w:val="28"/>
          <w:szCs w:val="28"/>
          <w:lang w:val="en-US" w:eastAsia="zh-CN" w:bidi="en-US"/>
        </w:rPr>
        <w:t>2</w:t>
      </w:r>
      <w:r>
        <w:rPr>
          <w:rFonts w:hint="eastAsia" w:ascii="Times New Roman" w:hAnsi="Times New Roman" w:eastAsia="Times New Roman" w:cs="Times New Roman"/>
          <w:b/>
          <w:bCs/>
          <w:color w:val="auto"/>
          <w:sz w:val="28"/>
          <w:szCs w:val="28"/>
          <w:lang w:val="en-US" w:eastAsia="zh-CN" w:bidi="en-US"/>
        </w:rPr>
        <w:t>.</w:t>
      </w:r>
      <w:r>
        <w:rPr>
          <w:rFonts w:ascii="Times New Roman" w:hAnsi="Times New Roman" w:eastAsia="Times New Roman" w:cs="Times New Roman"/>
          <w:b/>
          <w:bCs/>
          <w:color w:val="auto"/>
          <w:sz w:val="28"/>
          <w:szCs w:val="28"/>
          <w:lang w:val="en-US" w:eastAsia="zh-CN" w:bidi="en-US"/>
        </w:rPr>
        <w:t>2</w:t>
      </w:r>
      <w:r>
        <w:rPr>
          <w:rFonts w:hint="eastAsia" w:ascii="Times New Roman" w:hAnsi="Times New Roman" w:eastAsia="Times New Roman" w:cs="Times New Roman"/>
          <w:b/>
          <w:bCs/>
          <w:color w:val="auto"/>
          <w:sz w:val="28"/>
          <w:szCs w:val="28"/>
          <w:lang w:val="en-US" w:eastAsia="zh-CN" w:bidi="en-US"/>
        </w:rPr>
        <w:t>.</w:t>
      </w:r>
      <w:r>
        <w:rPr>
          <w:rFonts w:ascii="Times New Roman" w:hAnsi="Times New Roman" w:eastAsia="Times New Roman" w:cs="Times New Roman"/>
          <w:b/>
          <w:bCs/>
          <w:color w:val="auto"/>
          <w:sz w:val="28"/>
          <w:szCs w:val="28"/>
          <w:lang w:val="en-US" w:eastAsia="zh-CN" w:bidi="en-US"/>
        </w:rPr>
        <w:t>3.4矿床开采技术条件综述</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矿体位于当地侵蚀基准面以上，地形有利于自然排水，含水层富水性弱，附 近无大的地表水体，无水害存在，矿区属水文地质条件简单类型。</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矿体围岩顶底板为软弱的亚粘土、变质砂岩、板岩，多为中等硬度岩类岩石， 围岩比较稳固，建议露釆边坡角不大于60° ,矿区属工程地质条件中等类型。</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本区地震基本烈度VI度，地震动峰值加速度0.05g,区域地壳稳定性较好。矿 石及废弃物不易分解岀有害组分，本矿区环境地质条件为简単类型。</w:t>
      </w:r>
    </w:p>
    <w:p>
      <w:pPr>
        <w:pStyle w:val="93"/>
        <w:spacing w:line="360" w:lineRule="auto"/>
        <w:ind w:firstLine="560" w:firstLineChars="0"/>
        <w:rPr>
          <w:rFonts w:ascii="仿宋_GB2312" w:hAnsi="仿宋_GB2312" w:cs="仿宋_GB2312"/>
          <w:color w:val="auto"/>
        </w:rPr>
      </w:pPr>
      <w:r>
        <w:rPr>
          <w:rFonts w:ascii="仿宋_GB2312" w:hAnsi="仿宋_GB2312" w:cs="仿宋_GB2312"/>
          <w:color w:val="auto"/>
        </w:rPr>
        <w:t>综上所述，根据《固体矿产地质勘查规范总则》附录B(GB/T 13908-2002)划分 原则，矿体位于当地侵蚀基准面之上，矿床开采的水文地质、环境地质技术条件 划分为简单类型，工程地质条件划分为中等类型，矿体适宜露天开釆。</w:t>
      </w:r>
    </w:p>
    <w:bookmarkEnd w:id="53"/>
    <w:p>
      <w:pPr>
        <w:pStyle w:val="93"/>
        <w:spacing w:line="360" w:lineRule="auto"/>
        <w:ind w:firstLine="560" w:firstLineChars="0"/>
        <w:rPr>
          <w:rFonts w:ascii="仿宋_GB2312" w:hAnsi="仿宋_GB2312" w:cs="仿宋_GB2312"/>
          <w:color w:val="auto"/>
        </w:rPr>
      </w:pPr>
      <w:bookmarkStart w:id="57" w:name="_Hlk14552103"/>
      <w:bookmarkStart w:id="58" w:name="_Toc31124"/>
      <w:r>
        <w:rPr>
          <w:rFonts w:hint="eastAsia" w:ascii="仿宋_GB2312" w:hAnsi="仿宋_GB2312" w:cs="仿宋_GB2312"/>
          <w:color w:val="auto"/>
        </w:rPr>
        <w:t>1、地层</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矿区出露南华系下统上施组（Nh</w:t>
      </w:r>
      <w:r>
        <w:rPr>
          <w:rFonts w:hint="eastAsia" w:ascii="仿宋_GB2312" w:hAnsi="仿宋_GB2312" w:cs="仿宋_GB2312"/>
          <w:color w:val="auto"/>
          <w:vertAlign w:val="subscript"/>
        </w:rPr>
        <w:t>1</w:t>
      </w:r>
      <w:r>
        <w:rPr>
          <w:rFonts w:hint="eastAsia" w:ascii="仿宋_GB2312" w:hAnsi="仿宋_GB2312" w:cs="仿宋_GB2312"/>
          <w:color w:val="auto"/>
        </w:rPr>
        <w:t>s）和第四系全新统（Qh）地层：</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①上施组（Nh</w:t>
      </w:r>
      <w:r>
        <w:rPr>
          <w:rFonts w:hint="eastAsia" w:ascii="仿宋_GB2312" w:hAnsi="仿宋_GB2312" w:cs="仿宋_GB2312"/>
          <w:color w:val="auto"/>
          <w:vertAlign w:val="subscript"/>
        </w:rPr>
        <w:t>1</w:t>
      </w:r>
      <w:r>
        <w:rPr>
          <w:rFonts w:hint="eastAsia" w:ascii="仿宋_GB2312" w:hAnsi="仿宋_GB2312" w:cs="仿宋_GB2312"/>
          <w:color w:val="auto"/>
        </w:rPr>
        <w:t>s）在详查区内岩性可分为上、中、下三部分。</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上部岩性主要以绢云母千枚岩、砂质绢云母千枚岩为主，及变余细砂岩或粉砂质千枚岩，厚度50～150m。</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中部岩性主要以变余沉凝灰岩、凝灰质绢云千枚岩、绢云凝灰质千枚岩、凝灰质千枚岩，即以长石类为主的火山碎屑沉积变质岩为主的岩性，地表易风化后形成瓷土，其中变余沉凝灰岩发育厚度20～60m不等，是形成优质瓷土矿的成矿母岩。厚度150～300m。</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下部岩性主要以灰色、黄白色薄层状绢云母片岩、粉砂质绢云母千枚岩及变余石英细砂岩为主，局部含炭质千枚岩，形成似石墨状千枚岩。厚度300～500m。</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②岩性为黄褐色、棕黄色、灰白色亚粘土、亚砂土与砂砾石土等。沿沟谷、溪流及地势低洼之处分布。厚度0～5.3m。</w:t>
      </w:r>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2、岩浆岩</w:t>
      </w:r>
    </w:p>
    <w:p>
      <w:pPr>
        <w:widowControl/>
        <w:spacing w:line="360" w:lineRule="auto"/>
        <w:ind w:firstLine="536"/>
        <w:jc w:val="left"/>
        <w:rPr>
          <w:rFonts w:ascii="宋体" w:hAnsi="宋体" w:cs="宋体"/>
          <w:color w:val="auto"/>
          <w:kern w:val="0"/>
          <w:szCs w:val="28"/>
        </w:rPr>
      </w:pPr>
      <w:r>
        <w:rPr>
          <w:rFonts w:hint="eastAsia"/>
          <w:color w:val="auto"/>
          <w:spacing w:val="-6"/>
        </w:rPr>
        <w:t>矿区未见岩浆岩出露</w:t>
      </w:r>
      <w:r>
        <w:rPr>
          <w:rFonts w:hint="eastAsia" w:ascii="宋体" w:hAnsi="宋体" w:cs="宋体"/>
          <w:color w:val="auto"/>
          <w:kern w:val="0"/>
          <w:szCs w:val="28"/>
        </w:rPr>
        <w:t>。</w:t>
      </w:r>
    </w:p>
    <w:p>
      <w:pPr>
        <w:widowControl/>
        <w:spacing w:line="360" w:lineRule="auto"/>
        <w:ind w:firstLine="560"/>
        <w:jc w:val="left"/>
        <w:rPr>
          <w:rFonts w:ascii="宋体" w:hAnsi="宋体" w:cs="宋体"/>
          <w:color w:val="auto"/>
          <w:kern w:val="0"/>
          <w:szCs w:val="28"/>
        </w:rPr>
      </w:pPr>
      <w:r>
        <w:rPr>
          <w:rFonts w:hint="eastAsia" w:ascii="宋体" w:hAnsi="宋体" w:cs="宋体"/>
          <w:color w:val="auto"/>
          <w:kern w:val="0"/>
          <w:szCs w:val="28"/>
        </w:rPr>
        <w:t>3、</w:t>
      </w:r>
      <w:r>
        <w:rPr>
          <w:rFonts w:ascii="宋体" w:hAnsi="宋体"/>
          <w:color w:val="auto"/>
        </w:rPr>
        <w:t>地质构造与地震等级</w:t>
      </w:r>
    </w:p>
    <w:p>
      <w:pPr>
        <w:widowControl/>
        <w:spacing w:line="360" w:lineRule="auto"/>
        <w:ind w:firstLine="560"/>
        <w:jc w:val="left"/>
        <w:rPr>
          <w:rFonts w:ascii="宋体" w:hAnsi="宋体" w:cs="宋体"/>
          <w:color w:val="auto"/>
          <w:kern w:val="0"/>
          <w:szCs w:val="28"/>
        </w:rPr>
      </w:pPr>
      <w:r>
        <w:rPr>
          <w:rFonts w:hint="eastAsia" w:ascii="仿宋_GB2312" w:hAnsi="仿宋_GB2312" w:cs="仿宋_GB2312"/>
          <w:color w:val="auto"/>
        </w:rPr>
        <w:t>①</w:t>
      </w:r>
      <w:r>
        <w:rPr>
          <w:rFonts w:hint="eastAsia" w:ascii="宋体" w:hAnsi="宋体" w:cs="宋体"/>
          <w:color w:val="auto"/>
          <w:kern w:val="0"/>
          <w:szCs w:val="28"/>
        </w:rPr>
        <w:t>褶皱构造为层间褶皱、褶曲构造。地层呈北东走向、向东南方向倾斜的单斜褶皱，地层产状为100°～140°∠25°～40°。</w:t>
      </w:r>
    </w:p>
    <w:p>
      <w:pPr>
        <w:widowControl/>
        <w:spacing w:line="360" w:lineRule="auto"/>
        <w:ind w:firstLine="560"/>
        <w:jc w:val="left"/>
        <w:rPr>
          <w:rFonts w:ascii="宋体" w:hAnsi="宋体" w:cs="宋体"/>
          <w:color w:val="auto"/>
          <w:kern w:val="0"/>
          <w:szCs w:val="28"/>
        </w:rPr>
      </w:pPr>
      <w:r>
        <w:rPr>
          <w:rFonts w:hint="eastAsia" w:ascii="仿宋_GB2312" w:hAnsi="仿宋_GB2312" w:cs="仿宋_GB2312"/>
          <w:color w:val="auto"/>
        </w:rPr>
        <w:t>②</w:t>
      </w:r>
      <w:r>
        <w:rPr>
          <w:rFonts w:hint="eastAsia" w:ascii="宋体" w:hAnsi="宋体" w:cs="宋体"/>
          <w:color w:val="auto"/>
          <w:kern w:val="0"/>
          <w:szCs w:val="28"/>
        </w:rPr>
        <w:t>从地表硅化石英岩、硅质岩出露与钻探揭露情况，在矿区见TKa</w:t>
      </w:r>
      <w:r>
        <w:rPr>
          <w:rFonts w:hint="eastAsia" w:ascii="宋体" w:hAnsi="宋体" w:cs="宋体"/>
          <w:color w:val="auto"/>
          <w:kern w:val="0"/>
          <w:szCs w:val="28"/>
          <w:vertAlign w:val="subscript"/>
        </w:rPr>
        <w:t>1</w:t>
      </w:r>
      <w:r>
        <w:rPr>
          <w:rFonts w:hint="eastAsia" w:ascii="宋体" w:hAnsi="宋体" w:cs="宋体"/>
          <w:color w:val="auto"/>
          <w:kern w:val="0"/>
          <w:szCs w:val="28"/>
        </w:rPr>
        <w:t>破碎带，地表出露于2-1线之间，钻孔ZK202、ZK203和ZK004、ZK005及ZK104、ZK105均有揭露，呈北西走向，硅化破碎带宽约0.5～200</w:t>
      </w:r>
      <w:r>
        <w:rPr>
          <w:rFonts w:hint="eastAsia" w:ascii="宋体" w:hAnsi="宋体" w:cs="宋体"/>
          <w:color w:val="auto"/>
          <w:kern w:val="0"/>
          <w:szCs w:val="28"/>
          <w:lang w:val="en-US" w:eastAsia="zh-CN"/>
        </w:rPr>
        <w:t>m</w:t>
      </w:r>
      <w:r>
        <w:rPr>
          <w:rFonts w:hint="eastAsia" w:ascii="宋体" w:hAnsi="宋体" w:cs="宋体"/>
          <w:color w:val="auto"/>
          <w:kern w:val="0"/>
          <w:szCs w:val="28"/>
        </w:rPr>
        <w:t>不等，向南西倾，断裂角砾岩多为硅质、石英砂质，胶结物为硅质、砂质和泥质。</w:t>
      </w:r>
    </w:p>
    <w:p>
      <w:pPr>
        <w:widowControl/>
        <w:spacing w:line="360" w:lineRule="auto"/>
        <w:ind w:firstLine="560"/>
        <w:jc w:val="left"/>
        <w:rPr>
          <w:rFonts w:ascii="宋体" w:hAnsi="宋体" w:cs="宋体"/>
          <w:color w:val="auto"/>
          <w:kern w:val="0"/>
          <w:szCs w:val="28"/>
        </w:rPr>
      </w:pPr>
      <w:r>
        <w:rPr>
          <w:rFonts w:hint="eastAsia" w:ascii="宋体" w:hAnsi="宋体" w:cs="宋体"/>
          <w:color w:val="auto"/>
          <w:kern w:val="0"/>
          <w:szCs w:val="28"/>
        </w:rPr>
        <w:t>根据《中国地震动参数区划图》（GB 18306-2015），本区地震峰值加速度为0.05g，反应谱特征周期为0.35s，属Ⅵ度抗震设防区。</w:t>
      </w:r>
    </w:p>
    <w:p>
      <w:pPr>
        <w:pStyle w:val="5"/>
        <w:ind w:firstLine="0" w:firstLineChars="0"/>
        <w:rPr>
          <w:rFonts w:ascii="Times New Roman" w:hAnsi="Times New Roman"/>
          <w:color w:val="auto"/>
        </w:rPr>
      </w:pPr>
      <w:bookmarkStart w:id="59" w:name="_Toc28086"/>
      <w:r>
        <w:rPr>
          <w:rFonts w:hint="eastAsia" w:ascii="Times New Roman" w:hAnsi="Times New Roman"/>
          <w:color w:val="auto"/>
        </w:rPr>
        <w:t>2.3.2矿床地质特征</w:t>
      </w:r>
      <w:bookmarkEnd w:id="59"/>
    </w:p>
    <w:p>
      <w:pPr>
        <w:widowControl/>
        <w:spacing w:line="360" w:lineRule="auto"/>
        <w:ind w:firstLine="560"/>
        <w:jc w:val="left"/>
        <w:rPr>
          <w:rFonts w:ascii="宋体" w:hAnsi="宋体" w:cs="宋体"/>
          <w:color w:val="auto"/>
          <w:kern w:val="0"/>
          <w:szCs w:val="28"/>
        </w:rPr>
      </w:pPr>
      <w:r>
        <w:rPr>
          <w:rFonts w:hint="eastAsia" w:ascii="宋体" w:hAnsi="宋体" w:cs="宋体"/>
          <w:color w:val="auto"/>
          <w:kern w:val="0"/>
          <w:szCs w:val="28"/>
        </w:rPr>
        <w:t>1、矿床特征</w:t>
      </w:r>
    </w:p>
    <w:p>
      <w:pPr>
        <w:spacing w:line="360" w:lineRule="auto"/>
        <w:ind w:firstLine="571" w:firstLineChars="204"/>
        <w:rPr>
          <w:color w:val="auto"/>
        </w:rPr>
      </w:pPr>
      <w:r>
        <w:rPr>
          <w:rFonts w:hint="eastAsia"/>
          <w:color w:val="auto"/>
        </w:rPr>
        <w:t>矿区矿体发育于南华系下统上施组中的变余沉凝灰岩、凝灰质千枚岩、绢云母凝灰质千枚岩等变质岩风化壳中，以火山碎屑为主的凝灰质变质岩经风化而成的风化残积型矿床。</w:t>
      </w:r>
    </w:p>
    <w:p>
      <w:pPr>
        <w:spacing w:line="360" w:lineRule="auto"/>
        <w:ind w:firstLine="571" w:firstLineChars="204"/>
        <w:rPr>
          <w:color w:val="auto"/>
        </w:rPr>
      </w:pPr>
      <w:r>
        <w:rPr>
          <w:rFonts w:hint="eastAsia"/>
          <w:color w:val="auto"/>
        </w:rPr>
        <w:t>区内本为一个整体矿体，受后期破碎带影响，被分支为三个矿体，分别分布区内北东侧Ka</w:t>
      </w:r>
      <w:r>
        <w:rPr>
          <w:rFonts w:hint="eastAsia"/>
          <w:color w:val="auto"/>
          <w:vertAlign w:val="subscript"/>
        </w:rPr>
        <w:t>1</w:t>
      </w:r>
      <w:r>
        <w:rPr>
          <w:rFonts w:hint="eastAsia"/>
          <w:color w:val="auto"/>
        </w:rPr>
        <w:t>矿体、西侧Ka</w:t>
      </w:r>
      <w:r>
        <w:rPr>
          <w:rFonts w:hint="eastAsia"/>
          <w:color w:val="auto"/>
          <w:vertAlign w:val="subscript"/>
        </w:rPr>
        <w:t>2</w:t>
      </w:r>
      <w:r>
        <w:rPr>
          <w:rFonts w:hint="eastAsia"/>
          <w:color w:val="auto"/>
        </w:rPr>
        <w:t>矿体、南侧Ka</w:t>
      </w:r>
      <w:r>
        <w:rPr>
          <w:rFonts w:hint="eastAsia"/>
          <w:color w:val="auto"/>
          <w:vertAlign w:val="subscript"/>
        </w:rPr>
        <w:t>3</w:t>
      </w:r>
      <w:r>
        <w:rPr>
          <w:rFonts w:hint="eastAsia"/>
          <w:color w:val="auto"/>
        </w:rPr>
        <w:t>矿体。</w:t>
      </w:r>
    </w:p>
    <w:p>
      <w:pPr>
        <w:spacing w:line="360" w:lineRule="auto"/>
        <w:ind w:firstLine="571" w:firstLineChars="204"/>
        <w:rPr>
          <w:color w:val="auto"/>
        </w:rPr>
      </w:pPr>
      <w:r>
        <w:rPr>
          <w:rFonts w:hint="eastAsia"/>
          <w:color w:val="auto"/>
        </w:rPr>
        <w:t>2、矿体特征</w:t>
      </w:r>
    </w:p>
    <w:p>
      <w:pPr>
        <w:spacing w:line="360" w:lineRule="auto"/>
        <w:ind w:firstLine="571" w:firstLineChars="204"/>
        <w:rPr>
          <w:color w:val="auto"/>
        </w:rPr>
      </w:pPr>
      <w:r>
        <w:rPr>
          <w:rFonts w:hint="eastAsia"/>
          <w:color w:val="auto"/>
        </w:rPr>
        <w:t>矿体形态随着岩层风化程度的变化而变化，在剖面上呈厚薄不均的透镜状和似层状，间有夹石同时发育其中。矿体随风化程度的不同随地形起伏而变化，原岩产状与地层产状一致。</w:t>
      </w:r>
    </w:p>
    <w:p>
      <w:pPr>
        <w:spacing w:line="360" w:lineRule="auto"/>
        <w:ind w:firstLine="571" w:firstLineChars="204"/>
        <w:rPr>
          <w:color w:val="auto"/>
        </w:rPr>
      </w:pPr>
      <w:r>
        <w:rPr>
          <w:rFonts w:hint="eastAsia"/>
          <w:color w:val="auto"/>
        </w:rPr>
        <w:t>矿体受后期破碎带影响，在区内被分支为三个矿体，分别为Ka</w:t>
      </w:r>
      <w:r>
        <w:rPr>
          <w:rFonts w:hint="eastAsia"/>
          <w:color w:val="auto"/>
          <w:vertAlign w:val="subscript"/>
        </w:rPr>
        <w:t>1</w:t>
      </w:r>
      <w:r>
        <w:rPr>
          <w:rFonts w:hint="eastAsia"/>
          <w:color w:val="auto"/>
        </w:rPr>
        <w:t>、Ka</w:t>
      </w:r>
      <w:r>
        <w:rPr>
          <w:rFonts w:hint="eastAsia"/>
          <w:color w:val="auto"/>
          <w:vertAlign w:val="subscript"/>
        </w:rPr>
        <w:t>2</w:t>
      </w:r>
      <w:r>
        <w:rPr>
          <w:rFonts w:hint="eastAsia"/>
          <w:color w:val="auto"/>
        </w:rPr>
        <w:t>、Ka</w:t>
      </w:r>
      <w:r>
        <w:rPr>
          <w:rFonts w:hint="eastAsia"/>
          <w:color w:val="auto"/>
          <w:vertAlign w:val="subscript"/>
        </w:rPr>
        <w:t>3</w:t>
      </w:r>
      <w:r>
        <w:rPr>
          <w:rFonts w:hint="eastAsia"/>
          <w:color w:val="auto"/>
        </w:rPr>
        <w:t>。</w:t>
      </w:r>
    </w:p>
    <w:p>
      <w:pPr>
        <w:spacing w:line="360" w:lineRule="auto"/>
        <w:ind w:firstLine="571" w:firstLineChars="204"/>
        <w:rPr>
          <w:color w:val="auto"/>
        </w:rPr>
      </w:pPr>
      <w:r>
        <w:rPr>
          <w:rFonts w:hint="eastAsia"/>
          <w:color w:val="auto"/>
        </w:rPr>
        <w:t>Ka</w:t>
      </w:r>
      <w:r>
        <w:rPr>
          <w:rFonts w:hint="eastAsia"/>
          <w:color w:val="auto"/>
          <w:vertAlign w:val="subscript"/>
        </w:rPr>
        <w:t>1</w:t>
      </w:r>
      <w:r>
        <w:rPr>
          <w:rFonts w:hint="eastAsia"/>
          <w:color w:val="auto"/>
        </w:rPr>
        <w:t>:分布区内北侧、东侧，走向30°左右，长大于210m，北侧、东侧出详查界线，西侧、南侧至破碎带，宽60～260m出详查界线，通过6号勘探线、4号勘探线、2号勘探线东侧、0号勘探线东侧钻孔控制，厚度为6.9～37.3m不等，平均30m左右,主要元素Al</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=13.00%～25.32%，平均17.41%，变化系数15.7%，Fe</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=0.54%～4.87%，平均2.02%，变化系数36.4%，TiO</w:t>
      </w:r>
      <w:r>
        <w:rPr>
          <w:rFonts w:hint="eastAsia"/>
          <w:color w:val="auto"/>
          <w:vertAlign w:val="subscript"/>
        </w:rPr>
        <w:t>2</w:t>
      </w:r>
      <w:r>
        <w:rPr>
          <w:rFonts w:hint="eastAsia"/>
          <w:color w:val="auto"/>
        </w:rPr>
        <w:t>=0.14%～0.54%，平均0.30%，变化系数23.9%，变化规律较稳定。</w:t>
      </w:r>
    </w:p>
    <w:p>
      <w:pPr>
        <w:spacing w:line="360" w:lineRule="auto"/>
        <w:ind w:firstLine="571" w:firstLineChars="204"/>
        <w:rPr>
          <w:color w:val="auto"/>
        </w:rPr>
      </w:pPr>
      <w:r>
        <w:rPr>
          <w:rFonts w:hint="eastAsia"/>
          <w:color w:val="auto"/>
        </w:rPr>
        <w:t>Ka</w:t>
      </w:r>
      <w:r>
        <w:rPr>
          <w:rFonts w:hint="eastAsia"/>
          <w:color w:val="auto"/>
          <w:vertAlign w:val="subscript"/>
        </w:rPr>
        <w:t>2</w:t>
      </w:r>
      <w:r>
        <w:rPr>
          <w:rFonts w:hint="eastAsia"/>
          <w:color w:val="auto"/>
        </w:rPr>
        <w:t>：分布于区内西侧，走向30°左右，长大于90m，西侧出详查界线，东侧至破碎带，宽约120m出详查界线，通过2号勘探线西侧、0号勘探线西侧钻孔控制，厚度为4.1～19m不等，平均15m左右，主要元素Al</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=13.07%～21.31%，平均16.18%，变化系数13.7%，Fe</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=0.97%～4.02%，平均2.19%，变化系数35.9%，TiO</w:t>
      </w:r>
      <w:r>
        <w:rPr>
          <w:rFonts w:hint="eastAsia"/>
          <w:color w:val="auto"/>
          <w:vertAlign w:val="subscript"/>
        </w:rPr>
        <w:t>2</w:t>
      </w:r>
      <w:r>
        <w:rPr>
          <w:rFonts w:hint="eastAsia"/>
          <w:color w:val="auto"/>
        </w:rPr>
        <w:t>=0.19%～0.46%，平均0.29%，变化系数20.7%，变化规律较稳定。</w:t>
      </w:r>
    </w:p>
    <w:p>
      <w:pPr>
        <w:spacing w:line="360" w:lineRule="auto"/>
        <w:ind w:firstLine="571" w:firstLineChars="204"/>
        <w:rPr>
          <w:color w:val="auto"/>
        </w:rPr>
      </w:pPr>
      <w:r>
        <w:rPr>
          <w:rFonts w:hint="eastAsia"/>
          <w:color w:val="auto"/>
        </w:rPr>
        <w:t>Ka</w:t>
      </w:r>
      <w:r>
        <w:rPr>
          <w:rFonts w:hint="eastAsia"/>
          <w:color w:val="auto"/>
          <w:vertAlign w:val="subscript"/>
        </w:rPr>
        <w:t>3</w:t>
      </w:r>
      <w:r>
        <w:rPr>
          <w:rFonts w:hint="eastAsia"/>
          <w:color w:val="auto"/>
        </w:rPr>
        <w:t>：分布于区内南侧，走向30°左右，长大于140m，南侧出详查界线，北侧至破碎带，宽约200m出详查界线，通过1号勘探线西侧、3号勘探线、5号勘探钻孔控制，厚度为3.9～26.9m不等，平均17m左右，主要元素Al</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=13.21%～22.78%，平均16.96%，变化系数13.7%，Fe</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=0.94%～4.30%，平均2.51%，变化系数28.5%， TiO</w:t>
      </w:r>
      <w:r>
        <w:rPr>
          <w:rFonts w:hint="eastAsia"/>
          <w:color w:val="auto"/>
          <w:vertAlign w:val="subscript"/>
        </w:rPr>
        <w:t>2</w:t>
      </w:r>
      <w:r>
        <w:rPr>
          <w:rFonts w:hint="eastAsia"/>
          <w:color w:val="auto"/>
        </w:rPr>
        <w:t>=0.22%～0.46%，平均0.31%，变化系数21.9%，变化规律较稳定。</w:t>
      </w:r>
    </w:p>
    <w:p>
      <w:pPr>
        <w:spacing w:line="360" w:lineRule="auto"/>
        <w:ind w:firstLine="571" w:firstLineChars="204"/>
        <w:rPr>
          <w:color w:val="auto"/>
        </w:rPr>
      </w:pPr>
      <w:r>
        <w:rPr>
          <w:rFonts w:hint="eastAsia"/>
          <w:color w:val="auto"/>
        </w:rPr>
        <w:t>3、矿体围岩与夹石特征</w:t>
      </w:r>
    </w:p>
    <w:p>
      <w:pPr>
        <w:spacing w:line="360" w:lineRule="auto"/>
        <w:ind w:firstLine="571" w:firstLineChars="204"/>
        <w:rPr>
          <w:color w:val="auto"/>
        </w:rPr>
      </w:pPr>
      <w:r>
        <w:rPr>
          <w:rFonts w:hint="eastAsia"/>
          <w:color w:val="auto"/>
        </w:rPr>
        <w:t>矿体围岩：顶板第四系粘土、亚粘土为主，少量绢云母千枚岩。底板为弱风化或未风化砂质千枚岩、绢云母千枚岩和绢云母砂质千枚岩，以及未风化的凝灰质千枚岩、凝灰质绢云母千枚岩、绢云凝灰质千枚岩和未风化的变余沉凝灰岩。</w:t>
      </w:r>
    </w:p>
    <w:p>
      <w:pPr>
        <w:spacing w:line="360" w:lineRule="auto"/>
        <w:ind w:firstLine="571" w:firstLineChars="204"/>
        <w:rPr>
          <w:color w:val="auto"/>
        </w:rPr>
      </w:pPr>
      <w:r>
        <w:rPr>
          <w:rFonts w:hint="eastAsia"/>
          <w:color w:val="auto"/>
        </w:rPr>
        <w:t>矿体夹石为分布于瓷土矿体内未风化的似层状、透镜状凝灰质千枚岩、凝灰质绢云母千枚岩、绢云凝灰质千枚岩，穿插于瓷土中网脉状的石英脉、石英团块，以及低于矿体的粘土。</w:t>
      </w:r>
    </w:p>
    <w:p>
      <w:pPr>
        <w:spacing w:line="360" w:lineRule="auto"/>
        <w:ind w:firstLine="571" w:firstLineChars="204"/>
        <w:rPr>
          <w:color w:val="auto"/>
        </w:rPr>
      </w:pPr>
      <w:r>
        <w:rPr>
          <w:rFonts w:hint="eastAsia"/>
          <w:color w:val="auto"/>
        </w:rPr>
        <w:t>4、矿石质量</w:t>
      </w:r>
    </w:p>
    <w:p>
      <w:pPr>
        <w:spacing w:line="360" w:lineRule="auto"/>
        <w:ind w:firstLine="560"/>
        <w:rPr>
          <w:rFonts w:cs="Calibri"/>
          <w:color w:val="auto"/>
        </w:rPr>
      </w:pPr>
      <w:r>
        <w:rPr>
          <w:rFonts w:hint="eastAsia"/>
          <w:color w:val="auto"/>
        </w:rPr>
        <w:t>矿石的矿物成分：</w:t>
      </w:r>
      <w:r>
        <w:rPr>
          <w:rFonts w:hint="eastAsia" w:cs="Calibri"/>
          <w:color w:val="auto"/>
        </w:rPr>
        <w:t>矿区瓷土矿以灰白色、黄白色为主，夹杂灰黄色、灰紫色、酱紫色、浅肉红色等颜色，风化呈粉末状、松散砂土状，微细粒砂质结构，仅局部残存原岩标志保有千枚状结构，原岩矿石结构、构造不明显。</w:t>
      </w:r>
    </w:p>
    <w:p>
      <w:pPr>
        <w:spacing w:line="360" w:lineRule="auto"/>
        <w:ind w:firstLine="571" w:firstLineChars="204"/>
        <w:rPr>
          <w:b/>
          <w:color w:val="auto"/>
        </w:rPr>
      </w:pPr>
      <w:r>
        <w:rPr>
          <w:rFonts w:hint="eastAsia"/>
          <w:color w:val="auto"/>
        </w:rPr>
        <w:t>据</w:t>
      </w:r>
      <w:r>
        <w:rPr>
          <w:color w:val="auto"/>
        </w:rPr>
        <w:t>X射线衍射鉴定</w:t>
      </w:r>
      <w:r>
        <w:rPr>
          <w:rFonts w:hint="eastAsia"/>
          <w:color w:val="auto"/>
        </w:rPr>
        <w:t>分析，矿物成份主要为石英，次为高岭石、云母、蒙脱石、黑硬绿泥石等，其中石英含量63.04%～72.04%，平均68.23%，高岭石含量16.34～18.26%，平均17.32%，云母含量5.13～8.69%，平均6.64%，蒙脱石含量4.25～4.57%，平均4.39%，少量黑硬绿泥石、长石、微量黄铁矿、褐铁矿、钛铁矿等。</w:t>
      </w:r>
    </w:p>
    <w:p>
      <w:pPr>
        <w:spacing w:line="360" w:lineRule="auto"/>
        <w:ind w:firstLine="560"/>
        <w:rPr>
          <w:color w:val="auto"/>
        </w:rPr>
      </w:pPr>
      <w:r>
        <w:rPr>
          <w:rFonts w:hint="eastAsia"/>
          <w:color w:val="auto"/>
        </w:rPr>
        <w:t>矿石的化学成分：根据国家陶瓷产品质量监督检验（江西宜春）建筑卫生陶瓷产品分中心2019年5月23日检测报告可知，本次化验样品成分主要为</w:t>
      </w:r>
      <w:r>
        <w:rPr>
          <w:rFonts w:cs="Arial"/>
          <w:color w:val="auto"/>
        </w:rPr>
        <w:t>Al</w:t>
      </w:r>
      <w:r>
        <w:rPr>
          <w:rFonts w:cs="Arial"/>
          <w:color w:val="auto"/>
          <w:vertAlign w:val="subscript"/>
        </w:rPr>
        <w:t>2</w:t>
      </w:r>
      <w:r>
        <w:rPr>
          <w:rFonts w:cs="Arial"/>
          <w:color w:val="auto"/>
        </w:rPr>
        <w:t>O</w:t>
      </w:r>
      <w:r>
        <w:rPr>
          <w:rFonts w:cs="Arial"/>
          <w:color w:val="auto"/>
          <w:vertAlign w:val="subscript"/>
        </w:rPr>
        <w:t>3</w:t>
      </w:r>
      <w:r>
        <w:rPr>
          <w:rFonts w:hint="eastAsia"/>
          <w:color w:val="auto"/>
        </w:rPr>
        <w:t>、</w:t>
      </w:r>
      <w:r>
        <w:rPr>
          <w:rFonts w:cs="Arial"/>
          <w:color w:val="auto"/>
        </w:rPr>
        <w:t>Fe</w:t>
      </w:r>
      <w:r>
        <w:rPr>
          <w:rFonts w:cs="Arial"/>
          <w:color w:val="auto"/>
          <w:vertAlign w:val="subscript"/>
        </w:rPr>
        <w:t>2</w:t>
      </w:r>
      <w:r>
        <w:rPr>
          <w:rFonts w:cs="Arial"/>
          <w:color w:val="auto"/>
        </w:rPr>
        <w:t>O</w:t>
      </w:r>
      <w:r>
        <w:rPr>
          <w:rFonts w:cs="Arial"/>
          <w:color w:val="auto"/>
          <w:vertAlign w:val="subscript"/>
        </w:rPr>
        <w:t>3</w:t>
      </w:r>
      <w:r>
        <w:rPr>
          <w:rFonts w:hint="eastAsia"/>
          <w:color w:val="auto"/>
        </w:rPr>
        <w:t>、</w:t>
      </w:r>
      <w:r>
        <w:rPr>
          <w:rFonts w:cs="Arial"/>
          <w:color w:val="auto"/>
        </w:rPr>
        <w:t>TiO</w:t>
      </w:r>
      <w:r>
        <w:rPr>
          <w:rFonts w:cs="Arial"/>
          <w:color w:val="auto"/>
          <w:vertAlign w:val="subscript"/>
        </w:rPr>
        <w:t>2</w:t>
      </w:r>
      <w:r>
        <w:rPr>
          <w:rFonts w:hint="eastAsia"/>
          <w:color w:val="auto"/>
        </w:rPr>
        <w:t>、</w:t>
      </w:r>
      <w:r>
        <w:rPr>
          <w:rFonts w:cs="Arial"/>
          <w:color w:val="auto"/>
        </w:rPr>
        <w:t>SiO</w:t>
      </w:r>
      <w:r>
        <w:rPr>
          <w:rFonts w:cs="Arial"/>
          <w:color w:val="auto"/>
          <w:vertAlign w:val="subscript"/>
        </w:rPr>
        <w:t>2</w:t>
      </w:r>
      <w:r>
        <w:rPr>
          <w:rFonts w:hint="eastAsia"/>
          <w:color w:val="auto"/>
        </w:rPr>
        <w:t>、</w:t>
      </w:r>
      <w:r>
        <w:rPr>
          <w:rFonts w:cs="Arial"/>
          <w:color w:val="auto"/>
        </w:rPr>
        <w:t>K</w:t>
      </w:r>
      <w:r>
        <w:rPr>
          <w:rFonts w:cs="Arial"/>
          <w:color w:val="auto"/>
          <w:vertAlign w:val="subscript"/>
        </w:rPr>
        <w:t>2</w:t>
      </w:r>
      <w:r>
        <w:rPr>
          <w:rFonts w:cs="Arial"/>
          <w:color w:val="auto"/>
        </w:rPr>
        <w:t>O</w:t>
      </w:r>
      <w:r>
        <w:rPr>
          <w:rFonts w:hint="eastAsia"/>
          <w:color w:val="auto"/>
        </w:rPr>
        <w:t>、</w:t>
      </w:r>
      <w:r>
        <w:rPr>
          <w:rFonts w:cs="Arial"/>
          <w:color w:val="auto"/>
        </w:rPr>
        <w:t>Na</w:t>
      </w:r>
      <w:r>
        <w:rPr>
          <w:rFonts w:cs="Arial"/>
          <w:color w:val="auto"/>
          <w:vertAlign w:val="subscript"/>
        </w:rPr>
        <w:t>2</w:t>
      </w:r>
      <w:r>
        <w:rPr>
          <w:rFonts w:cs="Arial"/>
          <w:color w:val="auto"/>
        </w:rPr>
        <w:t>O</w:t>
      </w:r>
      <w:r>
        <w:rPr>
          <w:rFonts w:hint="eastAsia"/>
          <w:color w:val="auto"/>
        </w:rPr>
        <w:t>等元素；其中</w:t>
      </w:r>
      <w:r>
        <w:rPr>
          <w:rFonts w:cs="Arial"/>
          <w:color w:val="auto"/>
        </w:rPr>
        <w:t>Al</w:t>
      </w:r>
      <w:r>
        <w:rPr>
          <w:rFonts w:cs="Arial"/>
          <w:color w:val="auto"/>
          <w:vertAlign w:val="subscript"/>
        </w:rPr>
        <w:t>2</w:t>
      </w:r>
      <w:r>
        <w:rPr>
          <w:rFonts w:cs="Arial"/>
          <w:color w:val="auto"/>
        </w:rPr>
        <w:t>O</w:t>
      </w:r>
      <w:r>
        <w:rPr>
          <w:rFonts w:cs="Arial"/>
          <w:color w:val="auto"/>
          <w:vertAlign w:val="subscript"/>
        </w:rPr>
        <w:t>3</w:t>
      </w:r>
      <w:r>
        <w:rPr>
          <w:rFonts w:hint="eastAsia"/>
          <w:color w:val="auto"/>
        </w:rPr>
        <w:t>=13.00%～25.32%，平均17.22%、</w:t>
      </w:r>
      <w:r>
        <w:rPr>
          <w:rFonts w:cs="Arial"/>
          <w:color w:val="auto"/>
        </w:rPr>
        <w:t>Fe</w:t>
      </w:r>
      <w:r>
        <w:rPr>
          <w:rFonts w:cs="Arial"/>
          <w:color w:val="auto"/>
          <w:vertAlign w:val="subscript"/>
        </w:rPr>
        <w:t>2</w:t>
      </w:r>
      <w:r>
        <w:rPr>
          <w:rFonts w:cs="Arial"/>
          <w:color w:val="auto"/>
        </w:rPr>
        <w:t>O</w:t>
      </w:r>
      <w:r>
        <w:rPr>
          <w:rFonts w:cs="Arial"/>
          <w:color w:val="auto"/>
          <w:vertAlign w:val="subscript"/>
        </w:rPr>
        <w:t>3</w:t>
      </w:r>
      <w:r>
        <w:rPr>
          <w:rFonts w:hint="eastAsia"/>
          <w:color w:val="auto"/>
        </w:rPr>
        <w:t>=0.54%～4.87%，平均2.13%、</w:t>
      </w:r>
      <w:r>
        <w:rPr>
          <w:rFonts w:cs="Arial"/>
          <w:color w:val="auto"/>
        </w:rPr>
        <w:t>TiO</w:t>
      </w:r>
      <w:r>
        <w:rPr>
          <w:rFonts w:cs="Arial"/>
          <w:color w:val="auto"/>
          <w:vertAlign w:val="subscript"/>
        </w:rPr>
        <w:t>2</w:t>
      </w:r>
      <w:r>
        <w:rPr>
          <w:rFonts w:hint="eastAsia"/>
          <w:color w:val="auto"/>
        </w:rPr>
        <w:t>=0.14%～0.54%，平均0.30%、</w:t>
      </w:r>
      <w:r>
        <w:rPr>
          <w:rFonts w:cs="Arial"/>
          <w:color w:val="auto"/>
        </w:rPr>
        <w:t>SiO</w:t>
      </w:r>
      <w:r>
        <w:rPr>
          <w:rFonts w:cs="Arial"/>
          <w:color w:val="auto"/>
          <w:vertAlign w:val="subscript"/>
        </w:rPr>
        <w:t>2</w:t>
      </w:r>
      <w:r>
        <w:rPr>
          <w:rFonts w:hint="eastAsia"/>
          <w:color w:val="auto"/>
        </w:rPr>
        <w:t>=66.20%～76.33%，平均74.54%、</w:t>
      </w:r>
      <w:r>
        <w:rPr>
          <w:rFonts w:cs="Arial"/>
          <w:color w:val="auto"/>
        </w:rPr>
        <w:t>K</w:t>
      </w:r>
      <w:r>
        <w:rPr>
          <w:rFonts w:cs="Arial"/>
          <w:color w:val="auto"/>
          <w:vertAlign w:val="subscript"/>
        </w:rPr>
        <w:t>2</w:t>
      </w:r>
      <w:r>
        <w:rPr>
          <w:rFonts w:cs="Arial"/>
          <w:color w:val="auto"/>
        </w:rPr>
        <w:t>O</w:t>
      </w:r>
      <w:r>
        <w:rPr>
          <w:rFonts w:hint="eastAsia"/>
          <w:color w:val="auto"/>
        </w:rPr>
        <w:t>=1.99%～4.96%，平均3.48%、</w:t>
      </w:r>
      <w:r>
        <w:rPr>
          <w:rFonts w:cs="Arial"/>
          <w:color w:val="auto"/>
        </w:rPr>
        <w:t>Na</w:t>
      </w:r>
      <w:r>
        <w:rPr>
          <w:rFonts w:cs="Arial"/>
          <w:color w:val="auto"/>
          <w:vertAlign w:val="subscript"/>
        </w:rPr>
        <w:t>2</w:t>
      </w:r>
      <w:r>
        <w:rPr>
          <w:rFonts w:cs="Arial"/>
          <w:color w:val="auto"/>
        </w:rPr>
        <w:t>O</w:t>
      </w:r>
      <w:r>
        <w:rPr>
          <w:rFonts w:hint="eastAsia" w:cs="Arial"/>
          <w:color w:val="auto"/>
        </w:rPr>
        <w:t>=</w:t>
      </w:r>
      <w:r>
        <w:rPr>
          <w:rFonts w:hint="eastAsia"/>
          <w:color w:val="auto"/>
        </w:rPr>
        <w:t>0.06%～0.59%，平均0.21%</w:t>
      </w:r>
      <w:r>
        <w:rPr>
          <w:rFonts w:hint="eastAsia" w:cs="Arial"/>
          <w:color w:val="auto"/>
        </w:rPr>
        <w:t>、Ca0=＜</w:t>
      </w:r>
      <w:r>
        <w:rPr>
          <w:rFonts w:hint="eastAsia"/>
          <w:color w:val="auto"/>
        </w:rPr>
        <w:t>0.01%～0.08%，平均0.01%</w:t>
      </w:r>
      <w:r>
        <w:rPr>
          <w:rFonts w:hint="eastAsia" w:cs="Arial"/>
          <w:color w:val="auto"/>
        </w:rPr>
        <w:t>、Mg0=</w:t>
      </w:r>
      <w:r>
        <w:rPr>
          <w:rFonts w:hint="eastAsia"/>
          <w:color w:val="auto"/>
        </w:rPr>
        <w:t>0.24%～0.72%，平均0.42%</w:t>
      </w:r>
      <w:r>
        <w:rPr>
          <w:rFonts w:hint="eastAsia" w:cs="Arial"/>
          <w:color w:val="auto"/>
        </w:rPr>
        <w:t>、S0</w:t>
      </w:r>
      <w:r>
        <w:rPr>
          <w:rFonts w:hint="eastAsia" w:cs="Arial"/>
          <w:color w:val="auto"/>
          <w:vertAlign w:val="subscript"/>
        </w:rPr>
        <w:t>3</w:t>
      </w:r>
      <w:r>
        <w:rPr>
          <w:rFonts w:hint="eastAsia" w:cs="Arial"/>
          <w:color w:val="auto"/>
        </w:rPr>
        <w:t>=＜</w:t>
      </w:r>
      <w:r>
        <w:rPr>
          <w:rFonts w:hint="eastAsia"/>
          <w:color w:val="auto"/>
        </w:rPr>
        <w:t>0.01%～0.09%，平均0.01%</w:t>
      </w:r>
      <w:r>
        <w:rPr>
          <w:rFonts w:hint="eastAsia" w:cs="Arial"/>
          <w:color w:val="auto"/>
        </w:rPr>
        <w:t>、P</w:t>
      </w:r>
      <w:r>
        <w:rPr>
          <w:rFonts w:hint="eastAsia" w:cs="Arial"/>
          <w:color w:val="auto"/>
          <w:vertAlign w:val="subscript"/>
        </w:rPr>
        <w:t>2</w:t>
      </w:r>
      <w:r>
        <w:rPr>
          <w:rFonts w:hint="eastAsia" w:cs="Arial"/>
          <w:color w:val="auto"/>
        </w:rPr>
        <w:t>0</w:t>
      </w:r>
      <w:r>
        <w:rPr>
          <w:rFonts w:hint="eastAsia" w:cs="Arial"/>
          <w:color w:val="auto"/>
          <w:vertAlign w:val="subscript"/>
        </w:rPr>
        <w:t>5</w:t>
      </w:r>
      <w:r>
        <w:rPr>
          <w:rFonts w:hint="eastAsia" w:cs="Arial"/>
          <w:color w:val="auto"/>
        </w:rPr>
        <w:t>=＜</w:t>
      </w:r>
      <w:r>
        <w:rPr>
          <w:rFonts w:hint="eastAsia"/>
          <w:color w:val="auto"/>
        </w:rPr>
        <w:t>0.01%～0.06%，平均0.03%</w:t>
      </w:r>
      <w:r>
        <w:rPr>
          <w:rFonts w:hint="eastAsia" w:cs="Arial"/>
          <w:color w:val="auto"/>
        </w:rPr>
        <w:t>、Mn0=＜</w:t>
      </w:r>
      <w:r>
        <w:rPr>
          <w:rFonts w:hint="eastAsia"/>
          <w:color w:val="auto"/>
        </w:rPr>
        <w:t>0.01%～0.42%，平均0.06%</w:t>
      </w:r>
      <w:r>
        <w:rPr>
          <w:rFonts w:hint="eastAsia" w:cs="Arial"/>
          <w:color w:val="auto"/>
        </w:rPr>
        <w:t>、烧失量</w:t>
      </w:r>
      <w:r>
        <w:rPr>
          <w:rFonts w:hint="eastAsia"/>
          <w:color w:val="auto"/>
        </w:rPr>
        <w:t>=3.17%～6.22%，平均4.80%。</w:t>
      </w:r>
    </w:p>
    <w:p>
      <w:pPr>
        <w:spacing w:line="360" w:lineRule="auto"/>
        <w:ind w:firstLine="560"/>
        <w:rPr>
          <w:color w:val="auto"/>
        </w:rPr>
      </w:pPr>
      <w:r>
        <w:rPr>
          <w:rFonts w:hint="eastAsia"/>
          <w:color w:val="auto"/>
        </w:rPr>
        <w:t>从以上分析的测试结果看，矿石的有益元素</w:t>
      </w:r>
      <w:r>
        <w:rPr>
          <w:color w:val="auto"/>
        </w:rPr>
        <w:t>Al</w:t>
      </w:r>
      <w:r>
        <w:rPr>
          <w:color w:val="auto"/>
          <w:vertAlign w:val="subscript"/>
        </w:rPr>
        <w:t>2</w:t>
      </w:r>
      <w:r>
        <w:rPr>
          <w:color w:val="auto"/>
        </w:rPr>
        <w:t>O</w:t>
      </w:r>
      <w:r>
        <w:rPr>
          <w:color w:val="auto"/>
          <w:vertAlign w:val="subscript"/>
        </w:rPr>
        <w:t>3</w:t>
      </w:r>
      <w:r>
        <w:rPr>
          <w:rFonts w:hint="eastAsia"/>
          <w:color w:val="auto"/>
        </w:rPr>
        <w:t>最高25.32%，最低13.00%，平均17.22%，还有其它有益元素如</w:t>
      </w:r>
      <w:r>
        <w:rPr>
          <w:color w:val="auto"/>
        </w:rPr>
        <w:t>K</w:t>
      </w:r>
      <w:r>
        <w:rPr>
          <w:color w:val="auto"/>
          <w:vertAlign w:val="subscript"/>
        </w:rPr>
        <w:t>2</w:t>
      </w:r>
      <w:r>
        <w:rPr>
          <w:color w:val="auto"/>
        </w:rPr>
        <w:t>O</w:t>
      </w:r>
      <w:r>
        <w:rPr>
          <w:rFonts w:hint="eastAsia"/>
          <w:color w:val="auto"/>
        </w:rPr>
        <w:t>与</w:t>
      </w:r>
      <w:r>
        <w:rPr>
          <w:color w:val="auto"/>
        </w:rPr>
        <w:t>Na</w:t>
      </w:r>
      <w:r>
        <w:rPr>
          <w:color w:val="auto"/>
          <w:vertAlign w:val="subscript"/>
        </w:rPr>
        <w:t>2</w:t>
      </w:r>
      <w:r>
        <w:rPr>
          <w:color w:val="auto"/>
        </w:rPr>
        <w:t>O</w:t>
      </w:r>
      <w:r>
        <w:rPr>
          <w:rFonts w:hint="eastAsia"/>
          <w:color w:val="auto"/>
        </w:rPr>
        <w:t>，其平均值分别为3.38%和0.20%；矿石有害元素主要有</w:t>
      </w:r>
      <w:r>
        <w:rPr>
          <w:color w:val="auto"/>
        </w:rPr>
        <w:t>Fe</w:t>
      </w:r>
      <w:r>
        <w:rPr>
          <w:color w:val="auto"/>
          <w:vertAlign w:val="subscript"/>
        </w:rPr>
        <w:t>2</w:t>
      </w:r>
      <w:r>
        <w:rPr>
          <w:color w:val="auto"/>
        </w:rPr>
        <w:t>O</w:t>
      </w:r>
      <w:r>
        <w:rPr>
          <w:color w:val="auto"/>
          <w:vertAlign w:val="subscript"/>
        </w:rPr>
        <w:t>3</w:t>
      </w:r>
      <w:r>
        <w:rPr>
          <w:rFonts w:hint="eastAsia"/>
          <w:color w:val="auto"/>
        </w:rPr>
        <w:t>和</w:t>
      </w:r>
      <w:r>
        <w:rPr>
          <w:color w:val="auto"/>
        </w:rPr>
        <w:t>TiO</w:t>
      </w:r>
      <w:r>
        <w:rPr>
          <w:color w:val="auto"/>
          <w:vertAlign w:val="subscript"/>
        </w:rPr>
        <w:t>2</w:t>
      </w:r>
      <w:r>
        <w:rPr>
          <w:rFonts w:hint="eastAsia"/>
          <w:color w:val="auto"/>
        </w:rPr>
        <w:t>。</w:t>
      </w:r>
      <w:r>
        <w:rPr>
          <w:color w:val="auto"/>
        </w:rPr>
        <w:t>Fe</w:t>
      </w:r>
      <w:r>
        <w:rPr>
          <w:color w:val="auto"/>
          <w:vertAlign w:val="subscript"/>
        </w:rPr>
        <w:t>2</w:t>
      </w:r>
      <w:r>
        <w:rPr>
          <w:color w:val="auto"/>
        </w:rPr>
        <w:t>O</w:t>
      </w:r>
      <w:r>
        <w:rPr>
          <w:color w:val="auto"/>
          <w:vertAlign w:val="subscript"/>
        </w:rPr>
        <w:t>3</w:t>
      </w:r>
      <w:r>
        <w:rPr>
          <w:rFonts w:hint="eastAsia"/>
          <w:color w:val="auto"/>
        </w:rPr>
        <w:t>最高4.87%，最低0.54%，平均2.13%，</w:t>
      </w:r>
      <w:r>
        <w:rPr>
          <w:color w:val="auto"/>
        </w:rPr>
        <w:t>TiO2</w:t>
      </w:r>
      <w:r>
        <w:rPr>
          <w:rFonts w:hint="eastAsia"/>
          <w:color w:val="auto"/>
        </w:rPr>
        <w:t>最高0.54%，最低0.14%，平均0.30%，其</w:t>
      </w:r>
      <w:r>
        <w:rPr>
          <w:color w:val="auto"/>
        </w:rPr>
        <w:t>Fe2O3</w:t>
      </w:r>
      <w:r>
        <w:rPr>
          <w:rFonts w:hint="eastAsia"/>
          <w:color w:val="auto"/>
        </w:rPr>
        <w:t>+</w:t>
      </w:r>
      <w:r>
        <w:rPr>
          <w:color w:val="auto"/>
        </w:rPr>
        <w:t>TiO2</w:t>
      </w:r>
      <w:r>
        <w:rPr>
          <w:rFonts w:hint="eastAsia"/>
          <w:color w:val="auto"/>
        </w:rPr>
        <w:t>平均高达1.23%，高于瓷土矿工业品位1%的要求，其中</w:t>
      </w:r>
      <w:r>
        <w:rPr>
          <w:color w:val="auto"/>
        </w:rPr>
        <w:t>Fe2O3</w:t>
      </w:r>
      <w:r>
        <w:rPr>
          <w:rFonts w:hint="eastAsia"/>
          <w:color w:val="auto"/>
        </w:rPr>
        <w:t>的主要原因是成矿母岩中含铁矿物以及次生的黄铁矿增多等所致。经除铁磁选矿试验，矿石的含铁量可降低到0.3%以下。</w:t>
      </w:r>
    </w:p>
    <w:p>
      <w:pPr>
        <w:spacing w:line="360" w:lineRule="auto"/>
        <w:ind w:firstLine="560"/>
        <w:rPr>
          <w:color w:val="auto"/>
        </w:rPr>
      </w:pPr>
      <w:r>
        <w:rPr>
          <w:rFonts w:hint="eastAsia"/>
          <w:color w:val="auto"/>
        </w:rPr>
        <w:t>矿石类型：根据矿石结构、构造、颜色、矿物成份和化学成份等特征，将详查区自然类型划分为灰白色、黄白色夹杂酱紫色、粉红色类土状瓷土和浅灰色、灰色块状瓷土（强风化变余沉凝灰岩和强风化凝灰质千枚岩，还保留原岩残积结构）。</w:t>
      </w:r>
    </w:p>
    <w:p>
      <w:pPr>
        <w:spacing w:line="360" w:lineRule="auto"/>
        <w:ind w:firstLine="560"/>
        <w:rPr>
          <w:color w:val="auto"/>
        </w:rPr>
      </w:pPr>
      <w:r>
        <w:rPr>
          <w:rFonts w:hint="eastAsia"/>
          <w:color w:val="auto"/>
        </w:rPr>
        <w:t>矿区瓷土矿呈粉末状（颗粒小于0.05</w:t>
      </w:r>
      <w:r>
        <w:rPr>
          <w:rFonts w:hint="eastAsia"/>
          <w:color w:val="auto"/>
          <w:lang w:val="en-US" w:eastAsia="zh-CN"/>
        </w:rPr>
        <w:t>mm</w:t>
      </w:r>
      <w:r>
        <w:rPr>
          <w:rFonts w:hint="eastAsia"/>
          <w:color w:val="auto"/>
        </w:rPr>
        <w:t>平均占90%）、半松散块状，质松散，塑性指数9.8左右，石英砂质等含量大于38.23%。矿石颗粒分析及塑性指数分析结果见表2-5</w:t>
      </w:r>
    </w:p>
    <w:p>
      <w:pPr>
        <w:spacing w:line="360" w:lineRule="auto"/>
        <w:ind w:firstLine="0" w:firstLineChars="0"/>
        <w:jc w:val="center"/>
        <w:rPr>
          <w:color w:val="auto"/>
          <w:sz w:val="24"/>
          <w:szCs w:val="22"/>
        </w:rPr>
      </w:pPr>
      <w:r>
        <w:rPr>
          <w:rFonts w:hint="eastAsia"/>
          <w:color w:val="auto"/>
          <w:sz w:val="24"/>
          <w:szCs w:val="22"/>
        </w:rPr>
        <w:t>表2-5  矿石颗粒分析及塑性指数分析结果表</w:t>
      </w:r>
    </w:p>
    <w:tbl>
      <w:tblPr>
        <w:tblStyle w:val="36"/>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7"/>
        <w:gridCol w:w="1239"/>
        <w:gridCol w:w="1239"/>
        <w:gridCol w:w="1239"/>
        <w:gridCol w:w="1240"/>
        <w:gridCol w:w="746"/>
        <w:gridCol w:w="746"/>
        <w:gridCol w:w="746"/>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trPr>
        <w:tc>
          <w:tcPr>
            <w:tcW w:w="977" w:type="dxa"/>
            <w:vMerge w:val="restart"/>
            <w:vAlign w:val="center"/>
          </w:tcPr>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样品</w:t>
            </w:r>
          </w:p>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编号</w:t>
            </w:r>
          </w:p>
        </w:tc>
        <w:tc>
          <w:tcPr>
            <w:tcW w:w="4957" w:type="dxa"/>
            <w:gridSpan w:val="4"/>
            <w:vAlign w:val="center"/>
          </w:tcPr>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颗粒分析（</w:t>
            </w:r>
            <w:r>
              <w:rPr>
                <w:rFonts w:ascii="Arial" w:hAnsi="Arial" w:cs="Arial"/>
                <w:color w:val="auto"/>
                <w:sz w:val="21"/>
                <w:szCs w:val="21"/>
              </w:rPr>
              <w:t>%</w:t>
            </w:r>
            <w:r>
              <w:rPr>
                <w:rFonts w:ascii="Arial" w:hAnsi="宋体" w:cs="Arial"/>
                <w:color w:val="auto"/>
                <w:sz w:val="21"/>
                <w:szCs w:val="21"/>
              </w:rPr>
              <w:t>）（</w:t>
            </w:r>
            <w:r>
              <w:rPr>
                <w:rFonts w:ascii="Arial" w:hAnsi="Arial" w:cs="Arial"/>
                <w:color w:val="auto"/>
                <w:sz w:val="21"/>
                <w:szCs w:val="21"/>
              </w:rPr>
              <w:t>mm</w:t>
            </w:r>
            <w:r>
              <w:rPr>
                <w:rFonts w:ascii="Arial" w:hAnsi="宋体" w:cs="Arial"/>
                <w:color w:val="auto"/>
                <w:sz w:val="21"/>
                <w:szCs w:val="21"/>
              </w:rPr>
              <w:t>）</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塑性</w:t>
            </w:r>
          </w:p>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指数</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液限</w:t>
            </w:r>
          </w:p>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w:t>
            </w:r>
            <w:r>
              <w:rPr>
                <w:rFonts w:ascii="Arial" w:hAnsi="Arial" w:cs="Arial"/>
                <w:color w:val="auto"/>
                <w:sz w:val="21"/>
                <w:szCs w:val="21"/>
              </w:rPr>
              <w:t>%</w:t>
            </w:r>
            <w:r>
              <w:rPr>
                <w:rFonts w:ascii="Arial" w:hAnsi="宋体" w:cs="Arial"/>
                <w:color w:val="auto"/>
                <w:sz w:val="21"/>
                <w:szCs w:val="21"/>
              </w:rPr>
              <w:t>）</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塑限（</w:t>
            </w:r>
            <w:r>
              <w:rPr>
                <w:rFonts w:ascii="Arial" w:hAnsi="Arial" w:cs="Arial"/>
                <w:color w:val="auto"/>
                <w:sz w:val="21"/>
                <w:szCs w:val="21"/>
              </w:rPr>
              <w:t>%</w:t>
            </w:r>
            <w:r>
              <w:rPr>
                <w:rFonts w:ascii="Arial" w:hAnsi="宋体" w:cs="Arial"/>
                <w:color w:val="auto"/>
                <w:sz w:val="21"/>
                <w:szCs w:val="21"/>
              </w:rPr>
              <w:t>）</w:t>
            </w:r>
          </w:p>
        </w:tc>
        <w:tc>
          <w:tcPr>
            <w:tcW w:w="688" w:type="dxa"/>
            <w:vMerge w:val="restart"/>
            <w:vAlign w:val="center"/>
          </w:tcPr>
          <w:p>
            <w:pPr>
              <w:wordWrap/>
              <w:spacing w:line="300" w:lineRule="exact"/>
              <w:ind w:firstLine="0" w:firstLineChars="0"/>
              <w:jc w:val="center"/>
              <w:rPr>
                <w:rFonts w:ascii="Arial" w:hAnsi="Arial" w:cs="Arial"/>
                <w:color w:val="auto"/>
                <w:sz w:val="21"/>
                <w:szCs w:val="21"/>
              </w:rPr>
            </w:pPr>
            <w:r>
              <w:rPr>
                <w:rFonts w:ascii="Arial" w:hAnsi="Arial" w:cs="Arial"/>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trPr>
        <w:tc>
          <w:tcPr>
            <w:tcW w:w="977" w:type="dxa"/>
            <w:vMerge w:val="continue"/>
            <w:vAlign w:val="center"/>
          </w:tcPr>
          <w:p>
            <w:pPr>
              <w:wordWrap/>
              <w:spacing w:line="300" w:lineRule="exact"/>
              <w:ind w:firstLine="0" w:firstLineChars="0"/>
              <w:jc w:val="center"/>
              <w:rPr>
                <w:rFonts w:ascii="Arial" w:hAnsi="Arial" w:cs="Arial"/>
                <w:color w:val="auto"/>
                <w:sz w:val="21"/>
                <w:szCs w:val="21"/>
              </w:rPr>
            </w:pPr>
          </w:p>
        </w:tc>
        <w:tc>
          <w:tcPr>
            <w:tcW w:w="1239" w:type="dxa"/>
            <w:vAlign w:val="center"/>
          </w:tcPr>
          <w:p>
            <w:pPr>
              <w:wordWrap/>
              <w:spacing w:line="300" w:lineRule="exact"/>
              <w:ind w:firstLine="0" w:firstLineChars="0"/>
              <w:jc w:val="center"/>
              <w:rPr>
                <w:rFonts w:ascii="Arial" w:hAnsi="Arial" w:cs="Arial"/>
                <w:color w:val="auto"/>
                <w:sz w:val="21"/>
                <w:szCs w:val="21"/>
              </w:rPr>
            </w:pPr>
            <w:r>
              <w:rPr>
                <w:rFonts w:ascii="Arial" w:hAnsi="Arial" w:cs="Arial"/>
                <w:color w:val="auto"/>
                <w:sz w:val="21"/>
                <w:szCs w:val="21"/>
              </w:rPr>
              <w:t>0.5</w:t>
            </w:r>
            <w:r>
              <w:rPr>
                <w:rFonts w:ascii="Arial" w:hAnsi="宋体" w:cs="Arial"/>
                <w:color w:val="auto"/>
                <w:sz w:val="21"/>
                <w:szCs w:val="21"/>
              </w:rPr>
              <w:t>～</w:t>
            </w:r>
            <w:r>
              <w:rPr>
                <w:rFonts w:ascii="Arial" w:hAnsi="Arial" w:cs="Arial"/>
                <w:color w:val="auto"/>
                <w:sz w:val="21"/>
                <w:szCs w:val="21"/>
              </w:rPr>
              <w:t>0.05</w:t>
            </w:r>
          </w:p>
        </w:tc>
        <w:tc>
          <w:tcPr>
            <w:tcW w:w="1239" w:type="dxa"/>
            <w:vAlign w:val="center"/>
          </w:tcPr>
          <w:p>
            <w:pPr>
              <w:wordWrap/>
              <w:spacing w:line="300" w:lineRule="exact"/>
              <w:ind w:firstLine="0" w:firstLineChars="0"/>
              <w:jc w:val="center"/>
              <w:rPr>
                <w:rFonts w:ascii="Arial" w:hAnsi="Arial" w:cs="Arial"/>
                <w:color w:val="auto"/>
                <w:sz w:val="21"/>
                <w:szCs w:val="21"/>
              </w:rPr>
            </w:pPr>
            <w:r>
              <w:rPr>
                <w:rFonts w:ascii="Arial" w:hAnsi="Arial" w:cs="Arial"/>
                <w:color w:val="auto"/>
                <w:w w:val="90"/>
                <w:sz w:val="21"/>
                <w:szCs w:val="21"/>
              </w:rPr>
              <w:t>0.05</w:t>
            </w:r>
            <w:r>
              <w:rPr>
                <w:rFonts w:ascii="Arial" w:hAnsi="宋体" w:cs="Arial"/>
                <w:color w:val="auto"/>
                <w:w w:val="90"/>
                <w:sz w:val="21"/>
                <w:szCs w:val="21"/>
              </w:rPr>
              <w:t>～</w:t>
            </w:r>
            <w:r>
              <w:rPr>
                <w:rFonts w:ascii="Arial" w:hAnsi="Arial" w:cs="Arial"/>
                <w:color w:val="auto"/>
                <w:w w:val="90"/>
                <w:sz w:val="21"/>
                <w:szCs w:val="21"/>
              </w:rPr>
              <w:t>0.0</w:t>
            </w:r>
            <w:r>
              <w:rPr>
                <w:rFonts w:hint="eastAsia" w:ascii="Arial" w:hAnsi="Arial" w:cs="Arial"/>
                <w:color w:val="auto"/>
                <w:w w:val="90"/>
                <w:sz w:val="21"/>
                <w:szCs w:val="21"/>
              </w:rPr>
              <w:t>1</w:t>
            </w:r>
          </w:p>
        </w:tc>
        <w:tc>
          <w:tcPr>
            <w:tcW w:w="1239" w:type="dxa"/>
            <w:vAlign w:val="center"/>
          </w:tcPr>
          <w:p>
            <w:pPr>
              <w:wordWrap/>
              <w:spacing w:line="300" w:lineRule="exact"/>
              <w:ind w:firstLine="0" w:firstLineChars="0"/>
              <w:jc w:val="center"/>
              <w:rPr>
                <w:rFonts w:ascii="Arial" w:hAnsi="Arial" w:cs="Arial"/>
                <w:color w:val="auto"/>
                <w:w w:val="90"/>
                <w:sz w:val="21"/>
                <w:szCs w:val="21"/>
              </w:rPr>
            </w:pPr>
            <w:r>
              <w:rPr>
                <w:rFonts w:ascii="Arial" w:hAnsi="Arial" w:cs="Arial"/>
                <w:color w:val="auto"/>
                <w:w w:val="90"/>
                <w:sz w:val="21"/>
                <w:szCs w:val="21"/>
              </w:rPr>
              <w:t>0.05</w:t>
            </w:r>
            <w:r>
              <w:rPr>
                <w:rFonts w:ascii="Arial" w:hAnsi="宋体" w:cs="Arial"/>
                <w:color w:val="auto"/>
                <w:w w:val="90"/>
                <w:sz w:val="21"/>
                <w:szCs w:val="21"/>
              </w:rPr>
              <w:t>～</w:t>
            </w:r>
            <w:r>
              <w:rPr>
                <w:rFonts w:ascii="Arial" w:hAnsi="Arial" w:cs="Arial"/>
                <w:color w:val="auto"/>
                <w:w w:val="90"/>
                <w:sz w:val="21"/>
                <w:szCs w:val="21"/>
              </w:rPr>
              <w:t>0.0</w:t>
            </w:r>
            <w:r>
              <w:rPr>
                <w:rFonts w:hint="eastAsia" w:ascii="Arial" w:hAnsi="Arial" w:cs="Arial"/>
                <w:color w:val="auto"/>
                <w:w w:val="90"/>
                <w:sz w:val="21"/>
                <w:szCs w:val="21"/>
              </w:rPr>
              <w:t>05</w:t>
            </w:r>
          </w:p>
        </w:tc>
        <w:tc>
          <w:tcPr>
            <w:tcW w:w="1240" w:type="dxa"/>
            <w:vAlign w:val="center"/>
          </w:tcPr>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w:t>
            </w:r>
            <w:r>
              <w:rPr>
                <w:rFonts w:ascii="Arial" w:hAnsi="Arial" w:cs="Arial"/>
                <w:color w:val="auto"/>
                <w:sz w:val="21"/>
                <w:szCs w:val="21"/>
              </w:rPr>
              <w:t>0.005</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ascii="Arial" w:hAnsi="Arial" w:cs="Arial"/>
                <w:color w:val="auto"/>
                <w:sz w:val="21"/>
                <w:szCs w:val="21"/>
              </w:rPr>
              <w:t>IP</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ascii="Arial" w:hAnsi="Arial" w:cs="Arial"/>
                <w:color w:val="auto"/>
                <w:sz w:val="21"/>
                <w:szCs w:val="21"/>
              </w:rPr>
              <w:t>10WL</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ascii="Arial" w:hAnsi="Arial" w:cs="Arial"/>
                <w:color w:val="auto"/>
                <w:sz w:val="21"/>
                <w:szCs w:val="21"/>
              </w:rPr>
              <w:t>WP</w:t>
            </w:r>
          </w:p>
        </w:tc>
        <w:tc>
          <w:tcPr>
            <w:tcW w:w="688" w:type="dxa"/>
            <w:vMerge w:val="continue"/>
            <w:vAlign w:val="center"/>
          </w:tcPr>
          <w:p>
            <w:pPr>
              <w:wordWrap/>
              <w:spacing w:line="300" w:lineRule="exact"/>
              <w:ind w:firstLine="0" w:firstLineChars="0"/>
              <w:jc w:val="center"/>
              <w:rPr>
                <w:rFonts w:ascii="Arial" w:hAnsi="Arial"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77"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zk603-D1</w:t>
            </w:r>
          </w:p>
        </w:tc>
        <w:tc>
          <w:tcPr>
            <w:tcW w:w="1239"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11.20</w:t>
            </w:r>
          </w:p>
        </w:tc>
        <w:tc>
          <w:tcPr>
            <w:tcW w:w="1239"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18.70</w:t>
            </w:r>
          </w:p>
        </w:tc>
        <w:tc>
          <w:tcPr>
            <w:tcW w:w="1239"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24.60</w:t>
            </w:r>
          </w:p>
        </w:tc>
        <w:tc>
          <w:tcPr>
            <w:tcW w:w="1240"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45.50</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9.20</w:t>
            </w:r>
          </w:p>
        </w:tc>
        <w:tc>
          <w:tcPr>
            <w:tcW w:w="746"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27.30</w:t>
            </w:r>
          </w:p>
        </w:tc>
        <w:tc>
          <w:tcPr>
            <w:tcW w:w="746"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18.10</w:t>
            </w:r>
          </w:p>
        </w:tc>
        <w:tc>
          <w:tcPr>
            <w:tcW w:w="688" w:type="dxa"/>
            <w:vAlign w:val="center"/>
          </w:tcPr>
          <w:p>
            <w:pPr>
              <w:wordWrap/>
              <w:spacing w:line="300" w:lineRule="exact"/>
              <w:ind w:firstLine="0" w:firstLineChars="0"/>
              <w:jc w:val="center"/>
              <w:rPr>
                <w:rFonts w:ascii="Arial" w:hAnsi="Arial"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77"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zk208-D1</w:t>
            </w:r>
          </w:p>
        </w:tc>
        <w:tc>
          <w:tcPr>
            <w:tcW w:w="1239"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10.20</w:t>
            </w:r>
          </w:p>
        </w:tc>
        <w:tc>
          <w:tcPr>
            <w:tcW w:w="1239"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14.60</w:t>
            </w:r>
          </w:p>
        </w:tc>
        <w:tc>
          <w:tcPr>
            <w:tcW w:w="1239"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20.90</w:t>
            </w:r>
          </w:p>
        </w:tc>
        <w:tc>
          <w:tcPr>
            <w:tcW w:w="1240"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54.30</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10.50</w:t>
            </w:r>
          </w:p>
        </w:tc>
        <w:tc>
          <w:tcPr>
            <w:tcW w:w="746"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31.20</w:t>
            </w:r>
          </w:p>
        </w:tc>
        <w:tc>
          <w:tcPr>
            <w:tcW w:w="746"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20.70</w:t>
            </w:r>
          </w:p>
        </w:tc>
        <w:tc>
          <w:tcPr>
            <w:tcW w:w="688" w:type="dxa"/>
            <w:vAlign w:val="center"/>
          </w:tcPr>
          <w:p>
            <w:pPr>
              <w:wordWrap/>
              <w:spacing w:line="300" w:lineRule="exact"/>
              <w:ind w:firstLine="0" w:firstLineChars="0"/>
              <w:jc w:val="center"/>
              <w:rPr>
                <w:rFonts w:ascii="Arial" w:hAnsi="Arial"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77"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zk302-D1</w:t>
            </w:r>
          </w:p>
        </w:tc>
        <w:tc>
          <w:tcPr>
            <w:tcW w:w="1239"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8.60</w:t>
            </w:r>
          </w:p>
        </w:tc>
        <w:tc>
          <w:tcPr>
            <w:tcW w:w="1239"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16.90</w:t>
            </w:r>
          </w:p>
        </w:tc>
        <w:tc>
          <w:tcPr>
            <w:tcW w:w="1239"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26.80</w:t>
            </w:r>
          </w:p>
        </w:tc>
        <w:tc>
          <w:tcPr>
            <w:tcW w:w="1240"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47.70</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9.60</w:t>
            </w:r>
          </w:p>
        </w:tc>
        <w:tc>
          <w:tcPr>
            <w:tcW w:w="746"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28.50</w:t>
            </w:r>
          </w:p>
        </w:tc>
        <w:tc>
          <w:tcPr>
            <w:tcW w:w="746" w:type="dxa"/>
            <w:vAlign w:val="center"/>
          </w:tcPr>
          <w:p>
            <w:pPr>
              <w:wordWrap/>
              <w:spacing w:line="240" w:lineRule="auto"/>
              <w:ind w:firstLine="0" w:firstLineChars="0"/>
              <w:jc w:val="center"/>
              <w:rPr>
                <w:rFonts w:ascii="Arial" w:hAnsi="Arial" w:cs="Arial"/>
                <w:color w:val="auto"/>
                <w:sz w:val="21"/>
                <w:szCs w:val="21"/>
              </w:rPr>
            </w:pPr>
            <w:r>
              <w:rPr>
                <w:rFonts w:hint="eastAsia" w:ascii="Arial" w:hAnsi="Arial" w:cs="Arial"/>
                <w:color w:val="auto"/>
                <w:sz w:val="21"/>
                <w:szCs w:val="21"/>
              </w:rPr>
              <w:t>18.90</w:t>
            </w:r>
          </w:p>
        </w:tc>
        <w:tc>
          <w:tcPr>
            <w:tcW w:w="688" w:type="dxa"/>
            <w:vAlign w:val="center"/>
          </w:tcPr>
          <w:p>
            <w:pPr>
              <w:wordWrap/>
              <w:spacing w:line="300" w:lineRule="exact"/>
              <w:ind w:firstLine="0" w:firstLineChars="0"/>
              <w:jc w:val="center"/>
              <w:rPr>
                <w:rFonts w:ascii="Arial" w:hAnsi="Arial"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977" w:type="dxa"/>
            <w:vAlign w:val="center"/>
          </w:tcPr>
          <w:p>
            <w:pPr>
              <w:wordWrap/>
              <w:spacing w:line="300" w:lineRule="exact"/>
              <w:ind w:firstLine="0" w:firstLineChars="0"/>
              <w:jc w:val="center"/>
              <w:rPr>
                <w:rFonts w:ascii="Arial" w:hAnsi="Arial" w:cs="Arial"/>
                <w:color w:val="auto"/>
                <w:sz w:val="21"/>
                <w:szCs w:val="21"/>
              </w:rPr>
            </w:pPr>
            <w:r>
              <w:rPr>
                <w:rFonts w:ascii="Arial" w:hAnsi="宋体" w:cs="Arial"/>
                <w:color w:val="auto"/>
                <w:sz w:val="21"/>
                <w:szCs w:val="21"/>
              </w:rPr>
              <w:t>平均值</w:t>
            </w:r>
          </w:p>
        </w:tc>
        <w:tc>
          <w:tcPr>
            <w:tcW w:w="1239"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10.00</w:t>
            </w:r>
          </w:p>
        </w:tc>
        <w:tc>
          <w:tcPr>
            <w:tcW w:w="1239" w:type="dxa"/>
            <w:vAlign w:val="center"/>
          </w:tcPr>
          <w:p>
            <w:pPr>
              <w:wordWrap/>
              <w:spacing w:line="300" w:lineRule="exact"/>
              <w:ind w:firstLine="0" w:firstLineChars="0"/>
              <w:jc w:val="center"/>
              <w:rPr>
                <w:rFonts w:ascii="Arial" w:hAnsi="Arial" w:cs="Arial"/>
                <w:color w:val="auto"/>
                <w:sz w:val="21"/>
                <w:szCs w:val="21"/>
              </w:rPr>
            </w:pPr>
            <w:r>
              <w:rPr>
                <w:rFonts w:ascii="Arial" w:hAnsi="Arial" w:cs="Arial"/>
                <w:color w:val="auto"/>
                <w:sz w:val="21"/>
                <w:szCs w:val="21"/>
              </w:rPr>
              <w:t>1</w:t>
            </w:r>
            <w:r>
              <w:rPr>
                <w:rFonts w:hint="eastAsia" w:ascii="Arial" w:hAnsi="Arial" w:cs="Arial"/>
                <w:color w:val="auto"/>
                <w:sz w:val="21"/>
                <w:szCs w:val="21"/>
              </w:rPr>
              <w:t>6.73</w:t>
            </w:r>
          </w:p>
        </w:tc>
        <w:tc>
          <w:tcPr>
            <w:tcW w:w="1239"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24.10</w:t>
            </w:r>
          </w:p>
        </w:tc>
        <w:tc>
          <w:tcPr>
            <w:tcW w:w="1240"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49.17</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9.77</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27.80</w:t>
            </w:r>
          </w:p>
        </w:tc>
        <w:tc>
          <w:tcPr>
            <w:tcW w:w="746" w:type="dxa"/>
            <w:vAlign w:val="center"/>
          </w:tcPr>
          <w:p>
            <w:pPr>
              <w:wordWrap/>
              <w:spacing w:line="300" w:lineRule="exact"/>
              <w:ind w:firstLine="0" w:firstLineChars="0"/>
              <w:jc w:val="center"/>
              <w:rPr>
                <w:rFonts w:ascii="Arial" w:hAnsi="Arial" w:cs="Arial"/>
                <w:color w:val="auto"/>
                <w:sz w:val="21"/>
                <w:szCs w:val="21"/>
              </w:rPr>
            </w:pPr>
            <w:r>
              <w:rPr>
                <w:rFonts w:hint="eastAsia" w:ascii="Arial" w:hAnsi="Arial" w:cs="Arial"/>
                <w:color w:val="auto"/>
                <w:sz w:val="21"/>
                <w:szCs w:val="21"/>
              </w:rPr>
              <w:t>19.23</w:t>
            </w:r>
          </w:p>
        </w:tc>
        <w:tc>
          <w:tcPr>
            <w:tcW w:w="688" w:type="dxa"/>
            <w:vAlign w:val="center"/>
          </w:tcPr>
          <w:p>
            <w:pPr>
              <w:wordWrap/>
              <w:spacing w:line="300" w:lineRule="exact"/>
              <w:ind w:firstLine="0" w:firstLineChars="0"/>
              <w:jc w:val="center"/>
              <w:rPr>
                <w:rFonts w:ascii="Arial" w:hAnsi="Arial" w:cs="Arial"/>
                <w:color w:val="auto"/>
                <w:sz w:val="21"/>
                <w:szCs w:val="21"/>
              </w:rPr>
            </w:pPr>
          </w:p>
        </w:tc>
      </w:tr>
    </w:tbl>
    <w:p>
      <w:pPr>
        <w:pStyle w:val="5"/>
        <w:ind w:firstLine="0" w:firstLineChars="0"/>
        <w:rPr>
          <w:rFonts w:ascii="Times New Roman" w:hAnsi="Times New Roman"/>
          <w:color w:val="auto"/>
        </w:rPr>
      </w:pPr>
      <w:bookmarkStart w:id="60" w:name="_Toc2104"/>
      <w:r>
        <w:rPr>
          <w:rFonts w:ascii="Times New Roman" w:hAnsi="Times New Roman"/>
          <w:color w:val="auto"/>
        </w:rPr>
        <w:t>2.3.</w:t>
      </w:r>
      <w:r>
        <w:rPr>
          <w:rFonts w:hint="eastAsia" w:ascii="Times New Roman" w:hAnsi="Times New Roman"/>
          <w:color w:val="auto"/>
        </w:rPr>
        <w:t>3</w:t>
      </w:r>
      <w:r>
        <w:rPr>
          <w:rFonts w:ascii="Times New Roman" w:hAnsi="Times New Roman"/>
          <w:color w:val="auto"/>
        </w:rPr>
        <w:t>水文地质条件</w:t>
      </w:r>
      <w:bookmarkEnd w:id="60"/>
    </w:p>
    <w:bookmarkEnd w:id="57"/>
    <w:p>
      <w:pPr>
        <w:spacing w:line="360" w:lineRule="auto"/>
        <w:ind w:firstLine="560"/>
        <w:rPr>
          <w:color w:val="auto"/>
        </w:rPr>
      </w:pPr>
      <w:bookmarkStart w:id="61" w:name="_Toc514763870"/>
      <w:bookmarkStart w:id="62" w:name="_Toc528232009"/>
      <w:bookmarkStart w:id="63" w:name="_Toc530986664"/>
      <w:bookmarkStart w:id="64" w:name="_Hlk14552203"/>
      <w:r>
        <w:rPr>
          <w:rFonts w:hint="eastAsia"/>
          <w:color w:val="auto"/>
        </w:rPr>
        <w:t>1、矿区水文地质条件现状</w:t>
      </w:r>
    </w:p>
    <w:p>
      <w:pPr>
        <w:spacing w:line="360" w:lineRule="auto"/>
        <w:ind w:firstLine="560"/>
        <w:rPr>
          <w:color w:val="auto"/>
        </w:rPr>
      </w:pPr>
      <w:r>
        <w:rPr>
          <w:rFonts w:hint="eastAsia"/>
          <w:color w:val="auto"/>
        </w:rPr>
        <w:t>1）概述</w:t>
      </w:r>
    </w:p>
    <w:p>
      <w:pPr>
        <w:spacing w:line="360" w:lineRule="auto"/>
        <w:ind w:firstLine="560"/>
        <w:rPr>
          <w:color w:val="auto"/>
        </w:rPr>
      </w:pPr>
      <w:r>
        <w:rPr>
          <w:rFonts w:hint="eastAsia"/>
          <w:color w:val="auto"/>
        </w:rPr>
        <w:t>矿区属冈阜地貌类型，海拔标高</w:t>
      </w:r>
      <w:r>
        <w:rPr>
          <w:rFonts w:ascii="仿宋_GB2312" w:hAnsi="仿宋_GB2312" w:cs="仿宋_GB2312"/>
          <w:color w:val="auto"/>
        </w:rPr>
        <w:t>区内地势最高海拔高度在170</w:t>
      </w:r>
      <w:r>
        <w:rPr>
          <w:rFonts w:hint="eastAsia" w:ascii="仿宋_GB2312" w:hAnsi="仿宋_GB2312" w:cs="仿宋_GB2312"/>
          <w:color w:val="auto"/>
        </w:rPr>
        <w:t>m</w:t>
      </w:r>
      <w:r>
        <w:rPr>
          <w:rFonts w:ascii="仿宋_GB2312" w:hAnsi="仿宋_GB2312" w:cs="仿宋_GB2312"/>
          <w:color w:val="auto"/>
        </w:rPr>
        <w:t>-225m</w:t>
      </w:r>
      <w:r>
        <w:rPr>
          <w:rFonts w:hint="eastAsia" w:ascii="仿宋_GB2312" w:hAnsi="仿宋_GB2312" w:cs="仿宋_GB2312"/>
          <w:color w:val="auto"/>
        </w:rPr>
        <w:t>,</w:t>
      </w:r>
      <w:r>
        <w:rPr>
          <w:rFonts w:hint="eastAsia"/>
          <w:color w:val="auto"/>
        </w:rPr>
        <w:t>矿区周边有许多居民。</w:t>
      </w:r>
    </w:p>
    <w:p>
      <w:pPr>
        <w:spacing w:line="360" w:lineRule="auto"/>
        <w:ind w:firstLine="560"/>
        <w:rPr>
          <w:color w:val="auto"/>
        </w:rPr>
      </w:pPr>
      <w:r>
        <w:rPr>
          <w:rFonts w:hint="eastAsia"/>
          <w:color w:val="auto"/>
        </w:rPr>
        <w:t>矿区南侧外65m见一小溪通过，该小溪水位43m，小溪水流向赣江。矿区地形最低标高+48.5m，地表迳流向该小溪方向排泄。</w:t>
      </w:r>
    </w:p>
    <w:p>
      <w:pPr>
        <w:spacing w:line="360" w:lineRule="auto"/>
        <w:ind w:firstLine="560"/>
        <w:rPr>
          <w:color w:val="auto"/>
        </w:rPr>
      </w:pPr>
      <w:r>
        <w:rPr>
          <w:rFonts w:hint="eastAsia"/>
          <w:color w:val="auto"/>
        </w:rPr>
        <w:t>本区属亚热带气候，气候温暖，雨量充沛，四季分明，春季阴雨连绵，夏季多为暴雨，秋季晴朗凉爽，年平均气温17℃，年平均降雨量1591.29mm，历史最大日降雨量为215.3mm，日平均降雨量4.3597mm，年平均无霜期285天，4～6月份为雨季，1月、11月、12月为干枯季节。</w:t>
      </w:r>
    </w:p>
    <w:p>
      <w:pPr>
        <w:spacing w:line="360" w:lineRule="auto"/>
        <w:ind w:firstLine="560"/>
        <w:rPr>
          <w:color w:val="auto"/>
        </w:rPr>
      </w:pPr>
      <w:r>
        <w:rPr>
          <w:rFonts w:hint="eastAsia"/>
          <w:color w:val="auto"/>
        </w:rPr>
        <w:t>本区地表水不太发育，基本无长年积水的大中型水体。但在勘查区南侧边部有小型水体水塘，低于矿区地形最低标高，矿区岩性为泥质绢云母性隔水层的作用，小溪水等地表水前期对矿坑充水的影响较小，后期低于矿区地形标高开采对矿坑充水的影响较大。</w:t>
      </w:r>
    </w:p>
    <w:p>
      <w:pPr>
        <w:spacing w:line="360" w:lineRule="auto"/>
        <w:ind w:firstLine="560"/>
        <w:rPr>
          <w:color w:val="auto"/>
        </w:rPr>
      </w:pPr>
      <w:r>
        <w:rPr>
          <w:rFonts w:hint="eastAsia"/>
          <w:color w:val="auto"/>
        </w:rPr>
        <w:t>2）矿区地下水特征</w:t>
      </w:r>
    </w:p>
    <w:p>
      <w:pPr>
        <w:spacing w:line="360" w:lineRule="auto"/>
        <w:ind w:firstLine="560"/>
        <w:rPr>
          <w:color w:val="auto"/>
        </w:rPr>
      </w:pPr>
      <w:r>
        <w:rPr>
          <w:rFonts w:hint="eastAsia"/>
          <w:color w:val="auto"/>
        </w:rPr>
        <w:t>构造裂隙水特征：矿区位于变质岩区，褶皱较发育，受区域构造的影响，区内隐伏断裂较发育。</w:t>
      </w:r>
    </w:p>
    <w:p>
      <w:pPr>
        <w:spacing w:line="360" w:lineRule="auto"/>
        <w:ind w:firstLine="560"/>
        <w:rPr>
          <w:color w:val="auto"/>
        </w:rPr>
      </w:pPr>
      <w:r>
        <w:rPr>
          <w:rFonts w:hint="eastAsia"/>
          <w:color w:val="auto"/>
        </w:rPr>
        <w:t>⑴松散孔隙含水层：区内第四系松散堆积物为残坡积物，分布于缓山坡，覆盖层厚</w:t>
      </w:r>
      <w:bookmarkStart w:id="65" w:name="OLE_LINK2"/>
      <w:r>
        <w:rPr>
          <w:rFonts w:hint="eastAsia"/>
          <w:color w:val="auto"/>
        </w:rPr>
        <w:t>0～</w:t>
      </w:r>
      <w:bookmarkEnd w:id="65"/>
      <w:r>
        <w:rPr>
          <w:rFonts w:hint="eastAsia"/>
          <w:color w:val="auto"/>
        </w:rPr>
        <w:t>5.4m，平均3m，岩石结构松散，透水性较好，受大气降水补给，动态变化较大，以片流形式排泄于沟谷中或补给基岩裂隙水。</w:t>
      </w:r>
    </w:p>
    <w:p>
      <w:pPr>
        <w:spacing w:line="360" w:lineRule="auto"/>
        <w:ind w:firstLine="560"/>
        <w:rPr>
          <w:color w:val="auto"/>
        </w:rPr>
      </w:pPr>
      <w:r>
        <w:rPr>
          <w:rFonts w:hint="eastAsia"/>
          <w:color w:val="auto"/>
        </w:rPr>
        <w:t>⑵风化裂隙含水层</w:t>
      </w:r>
    </w:p>
    <w:p>
      <w:pPr>
        <w:spacing w:line="360" w:lineRule="auto"/>
        <w:ind w:firstLine="560"/>
        <w:rPr>
          <w:color w:val="auto"/>
        </w:rPr>
      </w:pPr>
      <w:r>
        <w:rPr>
          <w:rFonts w:hint="eastAsia"/>
          <w:color w:val="auto"/>
        </w:rPr>
        <w:t>分布在基岩地表段，分为剧风化带、强风化带、中风化带和微风化带。其中剧风化带、强风化带岩性均呈土状，瓷土矿体即赋存在剧风化带、强风化带内，因其岩性特征，其风化裂隙大多为泥质充填而含微弱承压水，成为相对隔水层。风化裂隙含水层，其地下水受大气降雨补给。</w:t>
      </w:r>
    </w:p>
    <w:p>
      <w:pPr>
        <w:spacing w:line="360" w:lineRule="auto"/>
        <w:ind w:firstLine="560"/>
        <w:rPr>
          <w:color w:val="auto"/>
        </w:rPr>
      </w:pPr>
      <w:r>
        <w:rPr>
          <w:rFonts w:hint="eastAsia"/>
          <w:color w:val="auto"/>
        </w:rPr>
        <w:t>⑶破碎带含水层：矿区内发育一条呈北西方向的硅化石英岩断裂构造带，以及与矿体方向大体一致的大小石英脉，均含构造裂隙水。从控制TKa</w:t>
      </w:r>
      <w:r>
        <w:rPr>
          <w:rFonts w:hint="eastAsia"/>
          <w:color w:val="auto"/>
          <w:vertAlign w:val="subscript"/>
        </w:rPr>
        <w:t>1</w:t>
      </w:r>
      <w:r>
        <w:rPr>
          <w:rFonts w:hint="eastAsia"/>
          <w:color w:val="auto"/>
        </w:rPr>
        <w:t>破碎带看，其破碎带呈硅化构造角砾岩，结构松散，从ZK202、ZK203、ZK004、ZK005、ZK104、ZK105钻孔简易水文观测，均有漏水等现象，水位变化较大，由此可推断，TKa</w:t>
      </w:r>
      <w:r>
        <w:rPr>
          <w:rFonts w:hint="eastAsia"/>
          <w:color w:val="auto"/>
          <w:vertAlign w:val="subscript"/>
        </w:rPr>
        <w:t>1</w:t>
      </w:r>
      <w:r>
        <w:rPr>
          <w:rFonts w:hint="eastAsia"/>
          <w:color w:val="auto"/>
        </w:rPr>
        <w:t>破碎带属含裂隙水层。发育于变质岩和瓷土矿体中的小断裂构造破碎带和石英细脉一般为含水层，为含水断裂破碎带。但由于泥质性变质岩以及风化成粘土等隔水性较强的地层岩性特征，这些含水层和水力联系较弱，富水性较差。经ZK004钻孔简易提水试验可知，该孔虽然有漏水现象，水位也变化，简易提水后，水位降至孔底，经估算其涌水量为39.74吨/日；同时，由此可见，矿区内发育的构造破碎带和大小网络状细小石英脉破坏了岩层的整体性，成为导水通道和含水空间，但因矿区泥质性变质岩等岩性的隔水性，使得矿区构造裂隙水富水性相对较弱。</w:t>
      </w:r>
    </w:p>
    <w:p>
      <w:pPr>
        <w:spacing w:line="360" w:lineRule="auto"/>
        <w:ind w:firstLine="560"/>
        <w:rPr>
          <w:color w:val="auto"/>
        </w:rPr>
      </w:pPr>
      <w:r>
        <w:rPr>
          <w:rFonts w:hint="eastAsia"/>
          <w:color w:val="auto"/>
        </w:rPr>
        <w:t>3）矿区地下水的补给、径流、排泄条件及与地表水的水力联系</w:t>
      </w:r>
    </w:p>
    <w:p>
      <w:pPr>
        <w:spacing w:line="360" w:lineRule="auto"/>
        <w:ind w:firstLine="560"/>
        <w:rPr>
          <w:color w:val="auto"/>
        </w:rPr>
      </w:pPr>
      <w:r>
        <w:rPr>
          <w:rFonts w:hint="eastAsia"/>
          <w:color w:val="auto"/>
        </w:rPr>
        <w:t>根据地下水的的补给、径流、排泄条件，以及矿区小溪河水位、流量大小的观测和矿区试采坑探矿排水情况可知，矿区地表水主要受大气降水影响，季节性变化较大。雨季时地表溪流水位抬升，流量增大，试采坑排水量也增大；干旱时，试采坑涌水量变小，甚至无水。说明大气降水与地表水和地下水联系明显，地表水与地下水在侵蚀面以下存在相互补充关系。</w:t>
      </w:r>
    </w:p>
    <w:p>
      <w:pPr>
        <w:spacing w:line="360" w:lineRule="auto"/>
        <w:ind w:firstLine="560"/>
        <w:rPr>
          <w:color w:val="auto"/>
        </w:rPr>
      </w:pPr>
      <w:r>
        <w:rPr>
          <w:rFonts w:hint="eastAsia"/>
          <w:color w:val="auto"/>
        </w:rPr>
        <w:t>2、矿区水文地质条件预测</w:t>
      </w:r>
    </w:p>
    <w:p>
      <w:pPr>
        <w:spacing w:line="360" w:lineRule="auto"/>
        <w:ind w:firstLine="560"/>
        <w:rPr>
          <w:color w:val="auto"/>
        </w:rPr>
      </w:pPr>
      <w:r>
        <w:rPr>
          <w:rFonts w:hint="eastAsia"/>
          <w:color w:val="auto"/>
        </w:rPr>
        <w:t>矿坑涌水量预测（+48.5m）：</w:t>
      </w:r>
    </w:p>
    <w:p>
      <w:pPr>
        <w:spacing w:line="360" w:lineRule="auto"/>
        <w:ind w:firstLine="560"/>
        <w:rPr>
          <w:color w:val="auto"/>
        </w:rPr>
      </w:pPr>
      <w:r>
        <w:rPr>
          <w:rFonts w:hint="eastAsia"/>
          <w:color w:val="auto"/>
        </w:rPr>
        <w:t>1）矿坑充水因素分析</w:t>
      </w:r>
    </w:p>
    <w:p>
      <w:pPr>
        <w:spacing w:line="360" w:lineRule="auto"/>
        <w:ind w:firstLine="560"/>
        <w:rPr>
          <w:color w:val="auto"/>
        </w:rPr>
      </w:pPr>
      <w:r>
        <w:rPr>
          <w:rFonts w:hint="eastAsia"/>
          <w:color w:val="auto"/>
        </w:rPr>
        <w:t>（1）地表水：矿区范围内有沟溪地表水体，雨季、暴雨见小径流，旱季无径流。</w:t>
      </w:r>
    </w:p>
    <w:p>
      <w:pPr>
        <w:spacing w:line="360" w:lineRule="auto"/>
        <w:ind w:firstLine="560"/>
        <w:rPr>
          <w:color w:val="auto"/>
        </w:rPr>
      </w:pPr>
      <w:r>
        <w:rPr>
          <w:rFonts w:hint="eastAsia"/>
          <w:color w:val="auto"/>
        </w:rPr>
        <w:t>季无径流。</w:t>
      </w:r>
    </w:p>
    <w:p>
      <w:pPr>
        <w:spacing w:line="360" w:lineRule="auto"/>
        <w:ind w:firstLine="560"/>
        <w:rPr>
          <w:color w:val="auto"/>
        </w:rPr>
      </w:pPr>
      <w:r>
        <w:rPr>
          <w:rFonts w:hint="eastAsia"/>
          <w:color w:val="auto"/>
        </w:rPr>
        <w:t>（2）地下水：矿山除</w:t>
      </w:r>
      <w:r>
        <w:rPr>
          <w:rFonts w:hint="eastAsia"/>
          <w:color w:val="auto"/>
        </w:rPr>
        <w:fldChar w:fldCharType="begin"/>
      </w:r>
      <w:r>
        <w:rPr>
          <w:color w:val="auto"/>
        </w:rPr>
        <w:instrText xml:space="preserve"> = 1 \* ROMAN \* MERGEFORMAT </w:instrText>
      </w:r>
      <w:r>
        <w:rPr>
          <w:rFonts w:hint="eastAsia"/>
          <w:color w:val="auto"/>
        </w:rPr>
        <w:fldChar w:fldCharType="separate"/>
      </w:r>
      <w:r>
        <w:rPr>
          <w:rFonts w:hint="eastAsia"/>
          <w:color w:val="auto"/>
        </w:rPr>
        <w:t>I</w:t>
      </w:r>
      <w:r>
        <w:rPr>
          <w:rFonts w:hint="eastAsia"/>
          <w:color w:val="auto"/>
        </w:rPr>
        <w:fldChar w:fldCharType="end"/>
      </w:r>
      <w:r>
        <w:rPr>
          <w:rFonts w:hint="eastAsia"/>
          <w:color w:val="auto"/>
        </w:rPr>
        <w:t>号矿体中采区属凹陷开采需要采用机械抽水外，其作采区均为山坡露天开采，采场洪水可直接外排。详查报告钻孔ZK202、</w:t>
      </w:r>
    </w:p>
    <w:p>
      <w:pPr>
        <w:spacing w:line="360" w:lineRule="auto"/>
        <w:ind w:firstLine="0" w:firstLineChars="0"/>
        <w:rPr>
          <w:color w:val="auto"/>
        </w:rPr>
      </w:pPr>
      <w:r>
        <w:rPr>
          <w:rFonts w:hint="eastAsia"/>
          <w:color w:val="auto"/>
        </w:rPr>
        <w:t>ZK203和ZK004、ZK005及ZK104、ZK105均有揭露，硅化破碎带呈北西走向，向南西倾，断裂角砾岩多为硅质、石英砂质，胶结物为硅质、砂质和泥质。在硅质破碎带内见贯穿泥质物。通过实际调查，破碎带石英硅质物较致密，充填物泥质较高，凹陷开采总体不深，总体富水性不大。</w:t>
      </w:r>
    </w:p>
    <w:p>
      <w:pPr>
        <w:spacing w:line="360" w:lineRule="auto"/>
        <w:ind w:firstLine="560"/>
        <w:rPr>
          <w:color w:val="auto"/>
        </w:rPr>
      </w:pPr>
      <w:r>
        <w:rPr>
          <w:rFonts w:hint="eastAsia"/>
          <w:color w:val="auto"/>
        </w:rPr>
        <w:t>矿区南西侧见有常年蓄水小水塘，矿区开采时离水塘大于20m外开始施工，水塘边部岩层为变质岩类粉砂岩、千枚岩、凝灰岩等，泥质成分较高，富水性弱，留好边坡维护，不易坍塌贯穿给开采区造成涌水。</w:t>
      </w:r>
    </w:p>
    <w:p>
      <w:pPr>
        <w:spacing w:line="360" w:lineRule="auto"/>
        <w:ind w:firstLine="560"/>
        <w:rPr>
          <w:color w:val="auto"/>
        </w:rPr>
      </w:pPr>
      <w:r>
        <w:rPr>
          <w:rFonts w:hint="eastAsia"/>
          <w:color w:val="auto"/>
        </w:rPr>
        <w:t>因矿区凹陷开采不深，边坡围岩和矿层泥质成分较高，区内千枚岩、凝灰质砂岩、凝灰岩富水性弱，地下涌水量小，总体地下水对矿坑的影响小，因此可不做计算。</w:t>
      </w:r>
    </w:p>
    <w:p>
      <w:pPr>
        <w:spacing w:line="360" w:lineRule="auto"/>
        <w:ind w:firstLine="560"/>
        <w:rPr>
          <w:color w:val="auto"/>
        </w:rPr>
      </w:pPr>
      <w:r>
        <w:rPr>
          <w:rFonts w:hint="eastAsia"/>
          <w:color w:val="auto"/>
        </w:rPr>
        <w:t>（3）大气降水：矿山未来采用阶段台阶式露天开采，大气降水直接汇入矿坑，未来矿坑涌水的主要因素为大气降水。</w:t>
      </w:r>
    </w:p>
    <w:p>
      <w:pPr>
        <w:spacing w:line="360" w:lineRule="auto"/>
        <w:ind w:firstLine="560"/>
        <w:rPr>
          <w:color w:val="auto"/>
        </w:rPr>
      </w:pPr>
      <w:r>
        <w:rPr>
          <w:rFonts w:hint="eastAsia"/>
          <w:color w:val="auto"/>
        </w:rPr>
        <w:t>2）矿坑涌水量预测</w:t>
      </w:r>
    </w:p>
    <w:p>
      <w:pPr>
        <w:spacing w:line="360" w:lineRule="auto"/>
        <w:ind w:firstLine="560"/>
        <w:rPr>
          <w:color w:val="auto"/>
        </w:rPr>
      </w:pPr>
      <w:r>
        <w:rPr>
          <w:rFonts w:hint="eastAsia"/>
          <w:color w:val="auto"/>
        </w:rPr>
        <w:t>矿坑充水</w:t>
      </w:r>
      <w:bookmarkStart w:id="66" w:name="_Hlk48920362"/>
      <w:r>
        <w:rPr>
          <w:rFonts w:hint="eastAsia"/>
          <w:color w:val="auto"/>
        </w:rPr>
        <w:t>主要为大气降水，地下水量可忽略不计，</w:t>
      </w:r>
      <w:bookmarkEnd w:id="66"/>
      <w:r>
        <w:rPr>
          <w:rFonts w:hint="eastAsia"/>
          <w:color w:val="auto"/>
        </w:rPr>
        <w:t>矿坑涌水量主要为采场大气降雨汇水量。</w:t>
      </w:r>
    </w:p>
    <w:p>
      <w:pPr>
        <w:spacing w:line="360" w:lineRule="auto"/>
        <w:ind w:firstLine="560"/>
        <w:rPr>
          <w:color w:val="auto"/>
        </w:rPr>
      </w:pPr>
      <w:r>
        <w:rPr>
          <w:rFonts w:hint="eastAsia"/>
          <w:color w:val="auto"/>
        </w:rPr>
        <w:t>公式：Q=F·X</w:t>
      </w:r>
      <w:r>
        <w:rPr>
          <w:rFonts w:hint="eastAsia"/>
          <w:color w:val="auto"/>
        </w:rPr>
        <w:tab/>
      </w:r>
    </w:p>
    <w:p>
      <w:pPr>
        <w:spacing w:line="360" w:lineRule="auto"/>
        <w:ind w:firstLine="560"/>
        <w:rPr>
          <w:color w:val="auto"/>
        </w:rPr>
      </w:pPr>
      <w:r>
        <w:rPr>
          <w:rFonts w:hint="eastAsia"/>
          <w:color w:val="auto"/>
        </w:rPr>
        <w:t>式中  Q：矿坑涌水量</w:t>
      </w:r>
    </w:p>
    <w:p>
      <w:pPr>
        <w:spacing w:line="360" w:lineRule="auto"/>
        <w:ind w:firstLine="1400" w:firstLineChars="500"/>
        <w:rPr>
          <w:color w:val="auto"/>
        </w:rPr>
      </w:pPr>
      <w:r>
        <w:rPr>
          <w:rFonts w:hint="eastAsia"/>
          <w:color w:val="auto"/>
        </w:rPr>
        <w:t>F：矿区以外的山坡汇水在采场北侧、北西、北东开挖截洪沟排出采场外，不在计算范围之内。降水汇水面积仅截排水沟靠近采坑小范围汇水面和采坑汇水面，10168+111366（采坑）=121534m</w:t>
      </w:r>
      <w:r>
        <w:rPr>
          <w:rFonts w:hint="eastAsia"/>
          <w:color w:val="auto"/>
          <w:vertAlign w:val="superscript"/>
        </w:rPr>
        <w:t>2</w:t>
      </w:r>
      <w:r>
        <w:rPr>
          <w:rFonts w:hint="eastAsia"/>
          <w:color w:val="auto"/>
        </w:rPr>
        <w:t>。</w:t>
      </w:r>
    </w:p>
    <w:p>
      <w:pPr>
        <w:spacing w:line="360" w:lineRule="auto"/>
        <w:ind w:firstLine="1400" w:firstLineChars="500"/>
        <w:rPr>
          <w:color w:val="auto"/>
        </w:rPr>
      </w:pPr>
      <w:r>
        <w:rPr>
          <w:rFonts w:hint="eastAsia"/>
          <w:color w:val="auto"/>
        </w:rPr>
        <w:t>X：日降水量</w:t>
      </w:r>
    </w:p>
    <w:p>
      <w:pPr>
        <w:spacing w:line="360" w:lineRule="auto"/>
        <w:ind w:firstLine="1400" w:firstLineChars="500"/>
        <w:rPr>
          <w:color w:val="auto"/>
        </w:rPr>
      </w:pPr>
      <w:r>
        <w:rPr>
          <w:rFonts w:hint="eastAsia"/>
          <w:color w:val="auto"/>
        </w:rPr>
        <w:t>X取历年日最大降雨量，预测日最大涌水量，X取历年日平均降雨量，预测日正常涌水量，计算结果见表2-6。</w:t>
      </w:r>
    </w:p>
    <w:p>
      <w:pPr>
        <w:spacing w:line="360" w:lineRule="auto"/>
        <w:ind w:firstLine="2125" w:firstLineChars="882"/>
        <w:rPr>
          <w:b/>
          <w:bCs/>
          <w:color w:val="auto"/>
          <w:sz w:val="24"/>
          <w:szCs w:val="22"/>
        </w:rPr>
      </w:pPr>
      <w:r>
        <w:rPr>
          <w:rFonts w:hint="eastAsia"/>
          <w:b/>
          <w:bCs/>
          <w:color w:val="auto"/>
          <w:sz w:val="24"/>
          <w:szCs w:val="22"/>
        </w:rPr>
        <w:t>表2-6       山坡露天开采矿坑涌水量预测</w:t>
      </w:r>
    </w:p>
    <w:tbl>
      <w:tblPr>
        <w:tblStyle w:val="36"/>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2"/>
        <w:gridCol w:w="1161"/>
        <w:gridCol w:w="1161"/>
        <w:gridCol w:w="1460"/>
        <w:gridCol w:w="1813"/>
        <w:gridCol w:w="1162"/>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6" w:hRule="atLeast"/>
        </w:trPr>
        <w:tc>
          <w:tcPr>
            <w:tcW w:w="1162"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涌水量</w:t>
            </w:r>
          </w:p>
        </w:tc>
        <w:tc>
          <w:tcPr>
            <w:tcW w:w="1161"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采场汇水面积（m</w:t>
            </w:r>
            <w:r>
              <w:rPr>
                <w:rFonts w:hint="eastAsia" w:ascii="宋体" w:hAnsi="宋体" w:cs="宋体"/>
                <w:bCs/>
                <w:color w:val="auto"/>
                <w:kern w:val="0"/>
                <w:sz w:val="24"/>
                <w:vertAlign w:val="superscript"/>
              </w:rPr>
              <w:t>2</w:t>
            </w:r>
            <w:r>
              <w:rPr>
                <w:rFonts w:hint="eastAsia" w:ascii="宋体" w:hAnsi="宋体" w:cs="宋体"/>
                <w:bCs/>
                <w:color w:val="auto"/>
                <w:kern w:val="0"/>
                <w:sz w:val="24"/>
              </w:rPr>
              <w:t>）</w:t>
            </w:r>
          </w:p>
        </w:tc>
        <w:tc>
          <w:tcPr>
            <w:tcW w:w="1161"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截排水沟靠近采坑（m</w:t>
            </w:r>
            <w:r>
              <w:rPr>
                <w:rFonts w:hint="eastAsia" w:ascii="宋体" w:hAnsi="宋体" w:cs="宋体"/>
                <w:bCs/>
                <w:color w:val="auto"/>
                <w:kern w:val="0"/>
                <w:sz w:val="24"/>
                <w:vertAlign w:val="superscript"/>
              </w:rPr>
              <w:t>2</w:t>
            </w:r>
            <w:r>
              <w:rPr>
                <w:rFonts w:hint="eastAsia" w:ascii="宋体" w:hAnsi="宋体" w:cs="宋体"/>
                <w:bCs/>
                <w:color w:val="auto"/>
                <w:kern w:val="0"/>
                <w:sz w:val="24"/>
              </w:rPr>
              <w:t>）</w:t>
            </w:r>
          </w:p>
        </w:tc>
        <w:tc>
          <w:tcPr>
            <w:tcW w:w="1460"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汇水面</w:t>
            </w:r>
          </w:p>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（m</w:t>
            </w:r>
            <w:r>
              <w:rPr>
                <w:rFonts w:hint="eastAsia" w:ascii="宋体" w:hAnsi="宋体" w:cs="宋体"/>
                <w:bCs/>
                <w:color w:val="auto"/>
                <w:kern w:val="0"/>
                <w:sz w:val="24"/>
                <w:vertAlign w:val="superscript"/>
              </w:rPr>
              <w:t>2</w:t>
            </w:r>
            <w:r>
              <w:rPr>
                <w:rFonts w:hint="eastAsia" w:ascii="宋体" w:hAnsi="宋体" w:cs="宋体"/>
                <w:bCs/>
                <w:color w:val="auto"/>
                <w:kern w:val="0"/>
                <w:sz w:val="24"/>
              </w:rPr>
              <w:t>）F</w:t>
            </w:r>
          </w:p>
        </w:tc>
        <w:tc>
          <w:tcPr>
            <w:tcW w:w="1813"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日降雨量X</w:t>
            </w:r>
          </w:p>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（mm）</w:t>
            </w:r>
          </w:p>
        </w:tc>
        <w:tc>
          <w:tcPr>
            <w:tcW w:w="1162"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计算公式</w:t>
            </w:r>
          </w:p>
        </w:tc>
        <w:tc>
          <w:tcPr>
            <w:tcW w:w="1162"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计算结果Q(m</w:t>
            </w:r>
            <w:r>
              <w:rPr>
                <w:rFonts w:hint="eastAsia" w:ascii="宋体" w:hAnsi="宋体" w:cs="宋体"/>
                <w:bCs/>
                <w:color w:val="auto"/>
                <w:kern w:val="0"/>
                <w:sz w:val="24"/>
                <w:vertAlign w:val="superscript"/>
              </w:rPr>
              <w:t>3</w:t>
            </w:r>
            <w:r>
              <w:rPr>
                <w:rFonts w:hint="eastAsia" w:ascii="宋体" w:hAnsi="宋体" w:cs="宋体"/>
                <w:bCs/>
                <w:color w:val="auto"/>
                <w:kern w:val="0"/>
                <w:sz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162"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最大涌水量</w:t>
            </w:r>
          </w:p>
        </w:tc>
        <w:tc>
          <w:tcPr>
            <w:tcW w:w="1161" w:type="dxa"/>
            <w:vMerge w:val="restart"/>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111366</w:t>
            </w:r>
          </w:p>
        </w:tc>
        <w:tc>
          <w:tcPr>
            <w:tcW w:w="1161" w:type="dxa"/>
            <w:vMerge w:val="restart"/>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10168</w:t>
            </w:r>
          </w:p>
        </w:tc>
        <w:tc>
          <w:tcPr>
            <w:tcW w:w="1460" w:type="dxa"/>
            <w:vMerge w:val="restart"/>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121534</w:t>
            </w:r>
          </w:p>
        </w:tc>
        <w:tc>
          <w:tcPr>
            <w:tcW w:w="1813"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215.3</w:t>
            </w:r>
          </w:p>
        </w:tc>
        <w:tc>
          <w:tcPr>
            <w:tcW w:w="1162" w:type="dxa"/>
            <w:vMerge w:val="restart"/>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Q=F·X</w:t>
            </w:r>
          </w:p>
        </w:tc>
        <w:tc>
          <w:tcPr>
            <w:tcW w:w="1162"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26166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162"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正常涌水量</w:t>
            </w:r>
          </w:p>
        </w:tc>
        <w:tc>
          <w:tcPr>
            <w:tcW w:w="1161" w:type="dxa"/>
            <w:vMerge w:val="continue"/>
            <w:vAlign w:val="center"/>
          </w:tcPr>
          <w:p>
            <w:pPr>
              <w:wordWrap/>
              <w:spacing w:line="240" w:lineRule="exact"/>
              <w:ind w:firstLine="0" w:firstLineChars="0"/>
              <w:jc w:val="center"/>
              <w:rPr>
                <w:rFonts w:ascii="宋体" w:hAnsi="宋体" w:cs="宋体"/>
                <w:bCs/>
                <w:color w:val="auto"/>
                <w:kern w:val="0"/>
                <w:sz w:val="24"/>
              </w:rPr>
            </w:pPr>
          </w:p>
        </w:tc>
        <w:tc>
          <w:tcPr>
            <w:tcW w:w="1161" w:type="dxa"/>
            <w:vMerge w:val="continue"/>
          </w:tcPr>
          <w:p>
            <w:pPr>
              <w:wordWrap/>
              <w:spacing w:line="240" w:lineRule="exact"/>
              <w:ind w:firstLine="0" w:firstLineChars="0"/>
              <w:jc w:val="center"/>
              <w:rPr>
                <w:rFonts w:ascii="宋体" w:hAnsi="宋体" w:cs="宋体"/>
                <w:bCs/>
                <w:color w:val="auto"/>
                <w:kern w:val="0"/>
                <w:sz w:val="24"/>
              </w:rPr>
            </w:pPr>
          </w:p>
        </w:tc>
        <w:tc>
          <w:tcPr>
            <w:tcW w:w="1460" w:type="dxa"/>
            <w:vMerge w:val="continue"/>
          </w:tcPr>
          <w:p>
            <w:pPr>
              <w:wordWrap/>
              <w:spacing w:line="240" w:lineRule="exact"/>
              <w:ind w:firstLine="0" w:firstLineChars="0"/>
              <w:jc w:val="center"/>
              <w:rPr>
                <w:rFonts w:ascii="宋体" w:hAnsi="宋体" w:cs="宋体"/>
                <w:bCs/>
                <w:color w:val="auto"/>
                <w:kern w:val="0"/>
                <w:sz w:val="24"/>
              </w:rPr>
            </w:pPr>
          </w:p>
        </w:tc>
        <w:tc>
          <w:tcPr>
            <w:tcW w:w="1813"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1591.29÷365=4.36</w:t>
            </w:r>
          </w:p>
        </w:tc>
        <w:tc>
          <w:tcPr>
            <w:tcW w:w="1162" w:type="dxa"/>
            <w:vMerge w:val="continue"/>
            <w:vAlign w:val="center"/>
          </w:tcPr>
          <w:p>
            <w:pPr>
              <w:wordWrap/>
              <w:spacing w:line="240" w:lineRule="exact"/>
              <w:ind w:firstLine="0" w:firstLineChars="0"/>
              <w:jc w:val="center"/>
              <w:rPr>
                <w:rFonts w:ascii="宋体" w:hAnsi="宋体" w:cs="宋体"/>
                <w:bCs/>
                <w:color w:val="auto"/>
                <w:kern w:val="0"/>
                <w:sz w:val="24"/>
              </w:rPr>
            </w:pPr>
          </w:p>
        </w:tc>
        <w:tc>
          <w:tcPr>
            <w:tcW w:w="1162" w:type="dxa"/>
            <w:vAlign w:val="center"/>
          </w:tcPr>
          <w:p>
            <w:pPr>
              <w:wordWrap/>
              <w:spacing w:line="240" w:lineRule="exact"/>
              <w:ind w:firstLine="0" w:firstLineChars="0"/>
              <w:jc w:val="center"/>
              <w:rPr>
                <w:rFonts w:ascii="宋体" w:hAnsi="宋体" w:cs="宋体"/>
                <w:bCs/>
                <w:color w:val="auto"/>
                <w:kern w:val="0"/>
                <w:sz w:val="24"/>
              </w:rPr>
            </w:pPr>
            <w:r>
              <w:rPr>
                <w:rFonts w:hint="eastAsia" w:ascii="宋体" w:hAnsi="宋体" w:cs="宋体"/>
                <w:bCs/>
                <w:color w:val="auto"/>
                <w:kern w:val="0"/>
                <w:sz w:val="24"/>
              </w:rPr>
              <w:t>530</w:t>
            </w:r>
          </w:p>
        </w:tc>
      </w:tr>
    </w:tbl>
    <w:p>
      <w:pPr>
        <w:spacing w:line="360" w:lineRule="auto"/>
        <w:ind w:firstLine="560"/>
        <w:rPr>
          <w:color w:val="auto"/>
        </w:rPr>
      </w:pPr>
      <w:r>
        <w:rPr>
          <w:rFonts w:hint="eastAsia"/>
          <w:color w:val="auto"/>
        </w:rPr>
        <w:t>3、矿区水文地质条件类型及开采后的变化</w:t>
      </w:r>
    </w:p>
    <w:p>
      <w:pPr>
        <w:spacing w:line="360" w:lineRule="auto"/>
        <w:ind w:firstLine="560"/>
        <w:rPr>
          <w:color w:val="auto"/>
        </w:rPr>
      </w:pPr>
      <w:r>
        <w:rPr>
          <w:rFonts w:hint="eastAsia"/>
          <w:color w:val="auto"/>
        </w:rPr>
        <w:t>矿区属冈阜地貌，地表水系不发育，矿体产于变质岩风化带中，当矿体位于当地侵蚀基准面以上，矿山进行露天开采时，大气降水易于直接排泄。而当矿体采至当地侵蚀基准面以下，矿山进行露天开采时，大气降水需疏通或机械抽水排泄。</w:t>
      </w:r>
    </w:p>
    <w:p>
      <w:pPr>
        <w:spacing w:line="360" w:lineRule="auto"/>
        <w:ind w:firstLine="560"/>
        <w:rPr>
          <w:color w:val="auto"/>
        </w:rPr>
      </w:pPr>
      <w:r>
        <w:rPr>
          <w:rFonts w:hint="eastAsia"/>
          <w:color w:val="auto"/>
        </w:rPr>
        <w:t>基岩裂隙水以风化带网状裂隙水为主，其赋存在变质岩的风化裂隙中，水力性质为潜水，局部为微承压。强风化带厚度&gt;10m，呈粘土状，风化裂隙不发育，不利于地下水的贮存，而弱风化带一般风化裂隙不发育，含水性差，因此风化裂隙水主要贮存在强风化带含水层中。</w:t>
      </w:r>
    </w:p>
    <w:p>
      <w:pPr>
        <w:spacing w:line="360" w:lineRule="auto"/>
        <w:ind w:firstLine="560"/>
        <w:rPr>
          <w:color w:val="auto"/>
        </w:rPr>
      </w:pPr>
      <w:r>
        <w:rPr>
          <w:rFonts w:hint="eastAsia"/>
          <w:color w:val="auto"/>
        </w:rPr>
        <w:t>矿区风化裂隙水有独立的水文地质单元，地下水与地表水分水岭基本一致，地下水多呈层状分布，水力坡度与地形坡度基本相近，地下水径流途径短，顺坡运移，向地势低洼的谷地和地形突变的坡谷凹处排泄。</w:t>
      </w:r>
    </w:p>
    <w:p>
      <w:pPr>
        <w:spacing w:line="360" w:lineRule="auto"/>
        <w:ind w:firstLine="560"/>
        <w:rPr>
          <w:color w:val="auto"/>
        </w:rPr>
      </w:pPr>
      <w:r>
        <w:rPr>
          <w:rFonts w:hint="eastAsia"/>
          <w:color w:val="auto"/>
        </w:rPr>
        <w:t>经预测矿区涌水途径主要为大气降水，地下水量可忽略不计，开采至矿层底界标高时，</w:t>
      </w:r>
      <w:bookmarkStart w:id="67" w:name="_Hlk68597174"/>
      <w:r>
        <w:rPr>
          <w:rFonts w:hint="eastAsia"/>
          <w:color w:val="auto"/>
        </w:rPr>
        <w:t>按日平均降雨量计，矿坑涌水量为530吨/日</w:t>
      </w:r>
      <w:bookmarkEnd w:id="67"/>
      <w:r>
        <w:rPr>
          <w:rFonts w:hint="eastAsia"/>
          <w:color w:val="auto"/>
        </w:rPr>
        <w:t>，按万安历年最大日降雨量计（2009.7.25），矿坑涌水量为26166吨/日。</w:t>
      </w:r>
    </w:p>
    <w:p>
      <w:pPr>
        <w:spacing w:line="360" w:lineRule="auto"/>
        <w:ind w:firstLine="560"/>
        <w:rPr>
          <w:color w:val="auto"/>
        </w:rPr>
      </w:pPr>
      <w:r>
        <w:rPr>
          <w:rFonts w:hint="eastAsia"/>
          <w:color w:val="auto"/>
        </w:rPr>
        <w:t>综上所述，矿区水文地质条件为简单类型。</w:t>
      </w:r>
    </w:p>
    <w:p>
      <w:pPr>
        <w:pStyle w:val="5"/>
        <w:ind w:firstLine="0" w:firstLineChars="0"/>
        <w:rPr>
          <w:rFonts w:ascii="Times New Roman" w:hAnsi="Times New Roman"/>
          <w:color w:val="auto"/>
        </w:rPr>
      </w:pPr>
      <w:bookmarkStart w:id="68" w:name="_Toc30544"/>
      <w:r>
        <w:rPr>
          <w:rFonts w:hint="eastAsia" w:ascii="Times New Roman" w:hAnsi="Times New Roman"/>
          <w:color w:val="auto"/>
        </w:rPr>
        <w:t>2.3.4工程</w:t>
      </w:r>
      <w:r>
        <w:rPr>
          <w:rFonts w:ascii="Times New Roman" w:hAnsi="Times New Roman"/>
          <w:color w:val="auto"/>
        </w:rPr>
        <w:t>地质概况</w:t>
      </w:r>
      <w:bookmarkEnd w:id="61"/>
      <w:bookmarkEnd w:id="62"/>
      <w:bookmarkEnd w:id="63"/>
      <w:bookmarkEnd w:id="68"/>
    </w:p>
    <w:bookmarkEnd w:id="56"/>
    <w:bookmarkEnd w:id="58"/>
    <w:bookmarkEnd w:id="64"/>
    <w:p>
      <w:pPr>
        <w:spacing w:line="360" w:lineRule="auto"/>
        <w:ind w:firstLine="560"/>
        <w:rPr>
          <w:color w:val="auto"/>
        </w:rPr>
      </w:pPr>
      <w:bookmarkStart w:id="69" w:name="_Toc25743238"/>
      <w:bookmarkStart w:id="70" w:name="_Toc112037007"/>
      <w:r>
        <w:rPr>
          <w:rFonts w:hint="eastAsia"/>
          <w:color w:val="auto"/>
        </w:rPr>
        <w:t>1、矿区工程地质条件现状评价</w:t>
      </w:r>
    </w:p>
    <w:p>
      <w:pPr>
        <w:spacing w:line="360" w:lineRule="auto"/>
        <w:ind w:firstLine="560"/>
        <w:rPr>
          <w:color w:val="auto"/>
        </w:rPr>
      </w:pPr>
      <w:r>
        <w:rPr>
          <w:rFonts w:hint="eastAsia"/>
          <w:color w:val="auto"/>
        </w:rPr>
        <w:t>矿区工程地质岩组及特征：根据详查区工程地质岩组岩性特征，划分以下三个工程地质岩组。</w:t>
      </w:r>
    </w:p>
    <w:p>
      <w:pPr>
        <w:spacing w:line="360" w:lineRule="auto"/>
        <w:ind w:firstLine="560"/>
        <w:rPr>
          <w:color w:val="auto"/>
        </w:rPr>
      </w:pPr>
      <w:r>
        <w:rPr>
          <w:rFonts w:hint="eastAsia"/>
          <w:color w:val="auto"/>
        </w:rPr>
        <w:t>第四系松散松软工程地质岩组：不稳固工程地质岩组。该类岩组主要为第四系坡积层，粘土型岩组以及构造破碎带等，呈土状、粉状、碎裂状等形态存在。以不稳固岩组形成边坡时，由于覆盖不厚，本次边坡角不单独考虑。</w:t>
      </w:r>
    </w:p>
    <w:p>
      <w:pPr>
        <w:spacing w:line="360" w:lineRule="auto"/>
        <w:ind w:firstLine="560"/>
        <w:rPr>
          <w:color w:val="auto"/>
        </w:rPr>
      </w:pPr>
      <w:r>
        <w:rPr>
          <w:rFonts w:hint="eastAsia"/>
          <w:color w:val="auto"/>
        </w:rPr>
        <w:t>松软-半坚硬变质岩工程地质岩组：</w:t>
      </w:r>
    </w:p>
    <w:p>
      <w:pPr>
        <w:spacing w:line="360" w:lineRule="auto"/>
        <w:ind w:firstLine="560"/>
        <w:rPr>
          <w:color w:val="auto"/>
        </w:rPr>
      </w:pPr>
      <w:r>
        <w:rPr>
          <w:rFonts w:hint="eastAsia"/>
          <w:color w:val="auto"/>
        </w:rPr>
        <w:t>风化层亚组：中等稳固工程地质岩组。该类岩组主要为中等风化至微化风化的千枚岩、绢云母凝灰质千枚岩、凝灰岩等变质岩石，呈层状、块状形态存在。以中等稳固岩组形成边坡时，边坡角应小于53°，构成矿体底板岩组。</w:t>
      </w:r>
    </w:p>
    <w:p>
      <w:pPr>
        <w:spacing w:line="360" w:lineRule="auto"/>
        <w:ind w:firstLine="560"/>
        <w:rPr>
          <w:color w:val="auto"/>
        </w:rPr>
      </w:pPr>
      <w:r>
        <w:rPr>
          <w:rFonts w:hint="eastAsia"/>
          <w:color w:val="auto"/>
        </w:rPr>
        <w:t>新鲜基岩地质岩组：稳固工程地质岩组。该类岩组主要为未风化的变质岩，即未风化的千枚岩、绢云母凝灰质千枚岩、凝灰岩等岩石，呈层状形态存在在，以稳固岩工程地质岩组形成边坡时，边坡角小于65°。</w:t>
      </w:r>
    </w:p>
    <w:p>
      <w:pPr>
        <w:spacing w:line="360" w:lineRule="auto"/>
        <w:ind w:firstLine="560"/>
        <w:rPr>
          <w:color w:val="auto"/>
        </w:rPr>
      </w:pPr>
      <w:r>
        <w:rPr>
          <w:rFonts w:hint="eastAsia"/>
          <w:color w:val="auto"/>
        </w:rPr>
        <w:t>2、岩体结构</w:t>
      </w:r>
    </w:p>
    <w:p>
      <w:pPr>
        <w:spacing w:line="360" w:lineRule="auto"/>
        <w:ind w:firstLine="560"/>
        <w:rPr>
          <w:color w:val="auto"/>
        </w:rPr>
      </w:pPr>
      <w:r>
        <w:rPr>
          <w:rFonts w:hint="eastAsia"/>
          <w:color w:val="auto"/>
        </w:rPr>
        <w:t>依据岩体组成单元的形态、各类结构面发育情况及其组合特征，矿区范围内岩体结构可分为以下二类：</w:t>
      </w:r>
    </w:p>
    <w:p>
      <w:pPr>
        <w:spacing w:line="360" w:lineRule="auto"/>
        <w:ind w:firstLine="560"/>
        <w:rPr>
          <w:color w:val="auto"/>
        </w:rPr>
      </w:pPr>
      <w:r>
        <w:rPr>
          <w:rFonts w:hint="eastAsia"/>
          <w:color w:val="auto"/>
        </w:rPr>
        <w:t>1）松散、松软结构：此类结构的有近地表残、坡积层和强风化层，为覆盖粘土、矿体和矿体夹层及少量碎块等，风化强烈，原岩原始结构多被破坏，遇水易软化，RQD值一般为0-15%，结构松散，稳定性差。</w:t>
      </w:r>
    </w:p>
    <w:p>
      <w:pPr>
        <w:spacing w:line="360" w:lineRule="auto"/>
        <w:ind w:firstLine="560"/>
        <w:rPr>
          <w:color w:val="auto"/>
        </w:rPr>
      </w:pPr>
      <w:r>
        <w:rPr>
          <w:rFonts w:hint="eastAsia"/>
          <w:color w:val="auto"/>
        </w:rPr>
        <w:t>2）属于此类结构的岩石为微-半风化千枚岩和变余砂岩，此类结构面较稳定-稳定，钻孔RQD一般30%-60%，是稳定性较好为主的地层结构。</w:t>
      </w:r>
    </w:p>
    <w:p>
      <w:pPr>
        <w:spacing w:line="360" w:lineRule="auto"/>
        <w:ind w:firstLine="560"/>
        <w:rPr>
          <w:color w:val="auto"/>
        </w:rPr>
      </w:pPr>
      <w:r>
        <w:rPr>
          <w:rFonts w:hint="eastAsia"/>
          <w:color w:val="auto"/>
        </w:rPr>
        <w:t>3、岩体边坡</w:t>
      </w:r>
    </w:p>
    <w:p>
      <w:pPr>
        <w:spacing w:line="360" w:lineRule="auto"/>
        <w:ind w:firstLine="560"/>
        <w:rPr>
          <w:color w:val="auto"/>
        </w:rPr>
      </w:pPr>
      <w:r>
        <w:rPr>
          <w:rFonts w:hint="eastAsia"/>
          <w:color w:val="auto"/>
        </w:rPr>
        <w:t>矿体处于冈埠山区，经调查天然坡角5°-30°，开采方法为露天分台阶开采方式，矿体为瓷土矿，围岩顶板为第四系粘土、亚粘土和少量不达工业品位的瓷土，底板为微-中-全风化花千枚岩和变余砂岩，矿区开采时边坡多为矿体瓷土，岩石松散不稳定，开采时可能造成不良工程地质变形外等，但好在开采边坡高度不大。</w:t>
      </w:r>
    </w:p>
    <w:p>
      <w:pPr>
        <w:spacing w:line="360" w:lineRule="auto"/>
        <w:ind w:firstLine="560"/>
        <w:rPr>
          <w:color w:val="auto"/>
        </w:rPr>
      </w:pPr>
      <w:r>
        <w:rPr>
          <w:rFonts w:hint="eastAsia"/>
          <w:color w:val="auto"/>
        </w:rPr>
        <w:t>根据以上条件，按工程地质手册（第四版）中岩石的人工边坡设计，每台阶开采边坡角按50°留设基本可满足要求，设置4m阶段平台，2-3个阶段平台设置一个6m的清扫平台。</w:t>
      </w:r>
    </w:p>
    <w:p>
      <w:pPr>
        <w:spacing w:line="360" w:lineRule="auto"/>
        <w:ind w:firstLine="560"/>
        <w:rPr>
          <w:color w:val="auto"/>
        </w:rPr>
      </w:pPr>
      <w:r>
        <w:rPr>
          <w:rFonts w:hint="eastAsia"/>
          <w:color w:val="auto"/>
        </w:rPr>
        <w:t>4、矿区工程地质现状评价</w:t>
      </w:r>
    </w:p>
    <w:p>
      <w:pPr>
        <w:spacing w:line="360" w:lineRule="auto"/>
        <w:ind w:firstLine="560"/>
        <w:rPr>
          <w:rFonts w:hint="eastAsia"/>
          <w:color w:val="auto"/>
        </w:rPr>
      </w:pPr>
      <w:r>
        <w:rPr>
          <w:rFonts w:hint="eastAsia"/>
          <w:color w:val="auto"/>
        </w:rPr>
        <w:t>矿区为新设立矿山，至今未生产，通过详查地质工作矿区内未见塌陷、滑坡、溜坡等地质灾害问题。矿体呈泥状胶结块状。矿体随着开采深度的加深，边坡规模增大，严重破坏了地应力的自然平衡，导致人工边坡的变形，有可能诱发崩塌、滑坡、溜坡等地质灾害。开采过程中应做好对人工挖方边坡和自然斜坡的检测，在降雨的时候应加强监测，做到早发现，早治理。综合上述，据《矿区水文地质工程地质勘探规范》</w:t>
      </w:r>
    </w:p>
    <w:p>
      <w:pPr>
        <w:spacing w:line="360" w:lineRule="auto"/>
        <w:ind w:left="0" w:leftChars="0" w:firstLine="0" w:firstLineChars="0"/>
        <w:rPr>
          <w:color w:val="auto"/>
        </w:rPr>
      </w:pPr>
      <w:r>
        <w:rPr>
          <w:rFonts w:hint="eastAsia"/>
          <w:color w:val="auto"/>
        </w:rPr>
        <w:t>（GB</w:t>
      </w:r>
      <w:r>
        <w:rPr>
          <w:rFonts w:hint="eastAsia"/>
          <w:color w:val="auto"/>
          <w:lang w:val="en-US" w:eastAsia="zh-CN"/>
        </w:rPr>
        <w:t>/T</w:t>
      </w:r>
      <w:r>
        <w:rPr>
          <w:rFonts w:hint="eastAsia"/>
          <w:color w:val="auto"/>
        </w:rPr>
        <w:t>12719-2021），本矿区工程地质划分为中等类型。</w:t>
      </w:r>
    </w:p>
    <w:p>
      <w:pPr>
        <w:pStyle w:val="5"/>
        <w:ind w:firstLine="0" w:firstLineChars="0"/>
        <w:rPr>
          <w:rFonts w:ascii="Times New Roman" w:hAnsi="Times New Roman"/>
          <w:color w:val="auto"/>
        </w:rPr>
      </w:pPr>
      <w:bookmarkStart w:id="71" w:name="_Toc17498"/>
      <w:r>
        <w:rPr>
          <w:rFonts w:hint="eastAsia" w:ascii="Times New Roman" w:hAnsi="Times New Roman"/>
          <w:color w:val="auto"/>
        </w:rPr>
        <w:t>2.3.5 环境地质概况</w:t>
      </w:r>
      <w:bookmarkEnd w:id="69"/>
      <w:bookmarkEnd w:id="71"/>
    </w:p>
    <w:p>
      <w:pPr>
        <w:spacing w:line="360" w:lineRule="auto"/>
        <w:ind w:firstLine="560"/>
        <w:rPr>
          <w:color w:val="auto"/>
        </w:rPr>
      </w:pPr>
      <w:r>
        <w:rPr>
          <w:rFonts w:hint="eastAsia"/>
          <w:color w:val="auto"/>
        </w:rPr>
        <w:t>1、矿区环境地质条件现状评价</w:t>
      </w:r>
    </w:p>
    <w:p>
      <w:pPr>
        <w:spacing w:line="360" w:lineRule="auto"/>
        <w:ind w:firstLine="560"/>
        <w:rPr>
          <w:color w:val="auto"/>
        </w:rPr>
      </w:pPr>
      <w:r>
        <w:rPr>
          <w:rFonts w:hint="eastAsia"/>
          <w:color w:val="auto"/>
        </w:rPr>
        <w:t>矿区在大地区域构造位置上位于赣中南赣西南拗陷区中武功山～玉华山隆断束之万安县西部境内。</w:t>
      </w:r>
    </w:p>
    <w:p>
      <w:pPr>
        <w:spacing w:line="360" w:lineRule="auto"/>
        <w:ind w:firstLine="560"/>
        <w:rPr>
          <w:color w:val="auto"/>
        </w:rPr>
      </w:pPr>
      <w:r>
        <w:rPr>
          <w:rFonts w:hint="eastAsia"/>
          <w:color w:val="auto"/>
        </w:rPr>
        <w:t>出露了以南华系、震旦系和寒武系为主的变质岩。区域地质构造基本处于稳定状态，未见活动性大断裂。根据国家质量技术监督局发布的《中国地震动参数区划图》，区域地震活动频率小，强度低，地震基本烈度VI度，区域稳定性较好。</w:t>
      </w:r>
    </w:p>
    <w:p>
      <w:pPr>
        <w:spacing w:line="360" w:lineRule="auto"/>
        <w:ind w:firstLine="560"/>
        <w:rPr>
          <w:color w:val="auto"/>
        </w:rPr>
      </w:pPr>
      <w:r>
        <w:rPr>
          <w:rFonts w:hint="eastAsia"/>
          <w:color w:val="auto"/>
        </w:rPr>
        <w:t>矿区与周边环境关系：矿区附近无自然保护区、风景名胜区、城市规划区存在。</w:t>
      </w:r>
    </w:p>
    <w:p>
      <w:pPr>
        <w:spacing w:line="360" w:lineRule="auto"/>
        <w:ind w:firstLine="560"/>
        <w:rPr>
          <w:color w:val="auto"/>
        </w:rPr>
      </w:pPr>
      <w:r>
        <w:rPr>
          <w:rFonts w:hint="eastAsia"/>
          <w:color w:val="auto"/>
        </w:rPr>
        <w:t>矿区内南侧、南西侧、南东侧外围有少量基本农田存在，区内无基本农田、生态红线、无村庄存在。</w:t>
      </w:r>
    </w:p>
    <w:p>
      <w:pPr>
        <w:spacing w:line="360" w:lineRule="auto"/>
        <w:ind w:firstLine="560"/>
        <w:rPr>
          <w:color w:val="auto"/>
        </w:rPr>
      </w:pPr>
      <w:r>
        <w:rPr>
          <w:rFonts w:hint="eastAsia"/>
          <w:color w:val="auto"/>
        </w:rPr>
        <w:t>地质灾害：区内地势相对平坦，相对高差较小，未发现有不良地质体，如崩塌、滑坡、泥石流等地质灾害现象，但影响地质灾害的因素主要有以下几种。</w:t>
      </w:r>
    </w:p>
    <w:p>
      <w:pPr>
        <w:spacing w:line="360" w:lineRule="auto"/>
        <w:ind w:firstLine="560"/>
        <w:rPr>
          <w:color w:val="auto"/>
        </w:rPr>
      </w:pPr>
      <w:r>
        <w:rPr>
          <w:rFonts w:hint="eastAsia"/>
          <w:color w:val="auto"/>
        </w:rPr>
        <w:t>1）矿层及顶板底岩性主要为风化岩层等软质岩土，节理裂隙发育，易软化崩塌，地下水活动区和揭露风化后易出现边坡不稳滑坡等事故。未来开采矿山，局部地段可能产生滑坡、泥石流等地质灾害现象。</w:t>
      </w:r>
    </w:p>
    <w:p>
      <w:pPr>
        <w:spacing w:line="360" w:lineRule="auto"/>
        <w:ind w:firstLine="560"/>
        <w:rPr>
          <w:color w:val="auto"/>
        </w:rPr>
      </w:pPr>
      <w:r>
        <w:rPr>
          <w:rFonts w:hint="eastAsia"/>
          <w:color w:val="auto"/>
        </w:rPr>
        <w:t>2）断裂破碎带，不仅破坏了地层和矿层的完整性，而且降低了围岩的强度，其旁侧节理裂隙发育带和断裂破碎带为极不稳定的软弱结构面，同时，断裂沟通了含水层，导致含水层与矿坑的水力联系，加剧了矿坑充水的来源和强度，给露天采矿带来了困难，遇断裂破碎带易发生涌水现象。</w:t>
      </w:r>
    </w:p>
    <w:p>
      <w:pPr>
        <w:spacing w:line="360" w:lineRule="auto"/>
        <w:ind w:firstLine="560"/>
        <w:rPr>
          <w:color w:val="auto"/>
        </w:rPr>
      </w:pPr>
      <w:r>
        <w:rPr>
          <w:rFonts w:hint="eastAsia"/>
          <w:color w:val="auto"/>
        </w:rPr>
        <w:t>2、矿山开采对环境影响及防治措施：整个矿区为荒坡荒山，未来矿山采矿为露天开采，露采对环境有一定的影响。</w:t>
      </w:r>
    </w:p>
    <w:p>
      <w:pPr>
        <w:spacing w:line="360" w:lineRule="auto"/>
        <w:ind w:firstLine="560"/>
        <w:rPr>
          <w:color w:val="auto"/>
        </w:rPr>
      </w:pPr>
      <w:r>
        <w:rPr>
          <w:rFonts w:hint="eastAsia"/>
          <w:color w:val="auto"/>
        </w:rPr>
        <w:t>1）露天开采会形成较大露天采坑，会导致采坑边坡不稳，可能产生滑坡、泥石流等地质灾害现象。应按规定留设安全平台和边坡，并及时采取相关治理技术措施，降低边坡滑坡造成的危害。</w:t>
      </w:r>
    </w:p>
    <w:p>
      <w:pPr>
        <w:spacing w:line="360" w:lineRule="auto"/>
        <w:ind w:firstLine="560"/>
        <w:rPr>
          <w:color w:val="auto"/>
        </w:rPr>
      </w:pPr>
      <w:r>
        <w:rPr>
          <w:rFonts w:hint="eastAsia"/>
          <w:color w:val="auto"/>
        </w:rPr>
        <w:t>2）废水、废石、废渣的排放处理</w:t>
      </w:r>
    </w:p>
    <w:p>
      <w:pPr>
        <w:spacing w:line="360" w:lineRule="auto"/>
        <w:ind w:firstLine="560"/>
        <w:rPr>
          <w:color w:val="auto"/>
        </w:rPr>
      </w:pPr>
      <w:r>
        <w:rPr>
          <w:rFonts w:hint="eastAsia"/>
          <w:color w:val="auto"/>
        </w:rPr>
        <w:t>矿坑排水排放的废水带有一定的粉砂和泥砂，应沉淀处理达到标准后排放。</w:t>
      </w:r>
    </w:p>
    <w:p>
      <w:pPr>
        <w:spacing w:line="360" w:lineRule="auto"/>
        <w:ind w:firstLine="560"/>
        <w:rPr>
          <w:color w:val="auto"/>
        </w:rPr>
      </w:pPr>
      <w:r>
        <w:rPr>
          <w:rFonts w:hint="eastAsia"/>
          <w:color w:val="auto"/>
        </w:rPr>
        <w:t>废石、废渣应围隔存放，减少环境污染。</w:t>
      </w:r>
    </w:p>
    <w:p>
      <w:pPr>
        <w:spacing w:line="360" w:lineRule="auto"/>
        <w:ind w:firstLine="560"/>
        <w:rPr>
          <w:color w:val="auto"/>
        </w:rPr>
      </w:pPr>
      <w:r>
        <w:rPr>
          <w:rFonts w:hint="eastAsia"/>
          <w:color w:val="auto"/>
        </w:rPr>
        <w:t>3）土地复垦与绿化</w:t>
      </w:r>
    </w:p>
    <w:p>
      <w:pPr>
        <w:spacing w:line="360" w:lineRule="auto"/>
        <w:ind w:firstLine="560"/>
        <w:rPr>
          <w:color w:val="auto"/>
        </w:rPr>
      </w:pPr>
      <w:r>
        <w:rPr>
          <w:rFonts w:hint="eastAsia"/>
          <w:color w:val="auto"/>
        </w:rPr>
        <w:t>矿山为露天开采，基本均占用山地；矿区采坑、工业场地、矿山公路需占用土地。矿山闭坑时，对上述地区应及时复垦、绿化，恢复植被。</w:t>
      </w:r>
    </w:p>
    <w:p>
      <w:pPr>
        <w:spacing w:line="360" w:lineRule="auto"/>
        <w:ind w:firstLine="560"/>
        <w:rPr>
          <w:color w:val="auto"/>
        </w:rPr>
      </w:pPr>
      <w:r>
        <w:rPr>
          <w:rFonts w:hint="eastAsia"/>
          <w:color w:val="auto"/>
        </w:rPr>
        <w:t>矿山停采闭坑对地质灾害处理：根据矿区开采范围和边坡滑坡区情况，制定出治理方案，报批后实施。</w:t>
      </w:r>
    </w:p>
    <w:p>
      <w:pPr>
        <w:pStyle w:val="5"/>
        <w:ind w:firstLine="0" w:firstLineChars="0"/>
        <w:rPr>
          <w:rFonts w:cs="宋体"/>
          <w:color w:val="auto"/>
        </w:rPr>
      </w:pPr>
      <w:bookmarkStart w:id="72" w:name="_Toc19388"/>
      <w:r>
        <w:rPr>
          <w:rFonts w:hint="eastAsia"/>
          <w:color w:val="auto"/>
        </w:rPr>
        <w:t>2.3.6矿区开采技术条件类型</w:t>
      </w:r>
      <w:bookmarkEnd w:id="72"/>
    </w:p>
    <w:p>
      <w:pPr>
        <w:spacing w:line="360" w:lineRule="auto"/>
        <w:ind w:firstLine="560"/>
        <w:rPr>
          <w:color w:val="auto"/>
        </w:rPr>
      </w:pPr>
      <w:r>
        <w:rPr>
          <w:rFonts w:hint="eastAsia"/>
          <w:color w:val="auto"/>
        </w:rPr>
        <w:t>矿区的水文地质勘查类型为简单类型；工程地质为第三类复杂型；环境地质勘查类型为第二类。根据中华人民共和国国家标准《固体矿产地质勘查规范总则》(GB/T13908-2002）固体矿产开采技术条件勘查类型划分标准，矿区开采技术条件以工程地质、环境地质为主的中等复合型矿床（Ⅱ–4）。</w:t>
      </w:r>
    </w:p>
    <w:p>
      <w:pPr>
        <w:pStyle w:val="5"/>
        <w:ind w:firstLine="0" w:firstLineChars="0"/>
        <w:rPr>
          <w:color w:val="auto"/>
        </w:rPr>
      </w:pPr>
      <w:bookmarkStart w:id="73" w:name="_Toc29131"/>
      <w:r>
        <w:rPr>
          <w:rFonts w:hint="eastAsia"/>
          <w:color w:val="auto"/>
        </w:rPr>
        <w:t>2.3.7矿区资源量</w:t>
      </w:r>
      <w:bookmarkEnd w:id="73"/>
    </w:p>
    <w:p>
      <w:pPr>
        <w:pStyle w:val="93"/>
        <w:spacing w:line="360" w:lineRule="auto"/>
        <w:ind w:firstLine="560" w:firstLineChars="0"/>
        <w:rPr>
          <w:rFonts w:ascii="仿宋_GB2312" w:hAnsi="仿宋_GB2312" w:cs="仿宋_GB2312"/>
          <w:color w:val="auto"/>
        </w:rPr>
      </w:pPr>
      <w:r>
        <w:rPr>
          <w:rFonts w:hint="eastAsia" w:ascii="仿宋_GB2312" w:hAnsi="仿宋_GB2312" w:cs="仿宋_GB2312"/>
          <w:color w:val="auto"/>
        </w:rPr>
        <w:t>矿区累计探明储量：186.48万吨。剥离量68.4万吨，剥采比1：0.36。</w:t>
      </w:r>
    </w:p>
    <w:p>
      <w:pPr>
        <w:pStyle w:val="4"/>
        <w:ind w:firstLine="0"/>
        <w:rPr>
          <w:rFonts w:ascii="Times New Roman" w:hAnsi="Times New Roman"/>
          <w:color w:val="auto"/>
        </w:rPr>
      </w:pPr>
      <w:bookmarkStart w:id="74" w:name="_Toc29678"/>
      <w:r>
        <w:rPr>
          <w:rFonts w:ascii="Times New Roman" w:hAnsi="Times New Roman"/>
          <w:color w:val="auto"/>
        </w:rPr>
        <w:t>2.4</w:t>
      </w:r>
      <w:bookmarkEnd w:id="70"/>
      <w:r>
        <w:rPr>
          <w:rFonts w:hint="eastAsia" w:ascii="Times New Roman" w:hAnsi="Times New Roman"/>
          <w:color w:val="auto"/>
        </w:rPr>
        <w:t>建设</w:t>
      </w:r>
      <w:r>
        <w:rPr>
          <w:rFonts w:ascii="Times New Roman" w:hAnsi="Times New Roman"/>
          <w:color w:val="auto"/>
        </w:rPr>
        <w:t>方案</w:t>
      </w:r>
      <w:r>
        <w:rPr>
          <w:rFonts w:hint="eastAsia" w:ascii="Times New Roman" w:hAnsi="Times New Roman"/>
          <w:color w:val="auto"/>
        </w:rPr>
        <w:t>概况</w:t>
      </w:r>
      <w:bookmarkEnd w:id="74"/>
    </w:p>
    <w:p>
      <w:pPr>
        <w:pStyle w:val="5"/>
        <w:ind w:firstLine="0" w:firstLineChars="0"/>
        <w:rPr>
          <w:rFonts w:cs="宋体"/>
          <w:color w:val="auto"/>
        </w:rPr>
      </w:pPr>
      <w:bookmarkStart w:id="75" w:name="_Toc21958"/>
      <w:r>
        <w:rPr>
          <w:rFonts w:hint="eastAsia"/>
          <w:color w:val="auto"/>
        </w:rPr>
        <w:t>2.4.1</w:t>
      </w:r>
      <w:r>
        <w:rPr>
          <w:rFonts w:hint="eastAsia" w:cs="宋体"/>
          <w:color w:val="auto"/>
        </w:rPr>
        <w:t>矿山开采现状</w:t>
      </w:r>
      <w:bookmarkEnd w:id="75"/>
    </w:p>
    <w:p>
      <w:pPr>
        <w:spacing w:line="360" w:lineRule="auto"/>
        <w:ind w:firstLine="560"/>
        <w:rPr>
          <w:color w:val="auto"/>
        </w:rPr>
      </w:pPr>
      <w:r>
        <w:rPr>
          <w:rFonts w:hint="eastAsia"/>
          <w:color w:val="auto"/>
        </w:rPr>
        <w:t>矿区现在还未开采，矿区现场仍为原始地貌。</w:t>
      </w:r>
    </w:p>
    <w:p>
      <w:pPr>
        <w:pStyle w:val="5"/>
        <w:ind w:firstLine="0" w:firstLineChars="0"/>
        <w:rPr>
          <w:rFonts w:cs="宋体"/>
          <w:color w:val="auto"/>
        </w:rPr>
      </w:pPr>
      <w:bookmarkStart w:id="76" w:name="_Toc26601"/>
      <w:r>
        <w:rPr>
          <w:rFonts w:hint="eastAsia"/>
          <w:color w:val="auto"/>
        </w:rPr>
        <w:t>2.4.2</w:t>
      </w:r>
      <w:r>
        <w:rPr>
          <w:rFonts w:hint="eastAsia" w:cs="宋体"/>
          <w:color w:val="auto"/>
        </w:rPr>
        <w:t>建设规模及工作制度</w:t>
      </w:r>
      <w:bookmarkEnd w:id="76"/>
    </w:p>
    <w:p>
      <w:pPr>
        <w:spacing w:line="360" w:lineRule="auto"/>
        <w:ind w:firstLine="560"/>
        <w:rPr>
          <w:color w:val="auto"/>
        </w:rPr>
      </w:pPr>
      <w:r>
        <w:rPr>
          <w:rFonts w:hint="eastAsia"/>
          <w:color w:val="auto"/>
        </w:rPr>
        <w:t>1)生产规模</w:t>
      </w:r>
    </w:p>
    <w:p>
      <w:pPr>
        <w:spacing w:line="360" w:lineRule="auto"/>
        <w:ind w:firstLine="560"/>
        <w:rPr>
          <w:color w:val="auto"/>
        </w:rPr>
      </w:pPr>
      <w:r>
        <w:rPr>
          <w:rFonts w:hint="eastAsia"/>
          <w:color w:val="auto"/>
        </w:rPr>
        <w:t>根据采矿证批准，本矿生产规模15万吨/年。</w:t>
      </w:r>
    </w:p>
    <w:p>
      <w:pPr>
        <w:spacing w:line="360" w:lineRule="auto"/>
        <w:ind w:firstLine="560"/>
        <w:rPr>
          <w:color w:val="auto"/>
        </w:rPr>
      </w:pPr>
      <w:r>
        <w:rPr>
          <w:rFonts w:hint="eastAsia"/>
          <w:color w:val="auto"/>
        </w:rPr>
        <w:t>2)工作制度</w:t>
      </w:r>
    </w:p>
    <w:p>
      <w:pPr>
        <w:spacing w:line="360" w:lineRule="auto"/>
        <w:ind w:firstLine="560"/>
        <w:rPr>
          <w:color w:val="auto"/>
        </w:rPr>
      </w:pPr>
      <w:r>
        <w:rPr>
          <w:rFonts w:hint="eastAsia"/>
          <w:color w:val="auto"/>
        </w:rPr>
        <w:t>本矿每年生产为250天，每天工作一班。</w:t>
      </w:r>
    </w:p>
    <w:p>
      <w:pPr>
        <w:pStyle w:val="5"/>
        <w:ind w:firstLine="0" w:firstLineChars="0"/>
        <w:rPr>
          <w:rFonts w:ascii="Times New Roman" w:hAnsi="Times New Roman"/>
          <w:color w:val="auto"/>
        </w:rPr>
      </w:pPr>
      <w:bookmarkStart w:id="77" w:name="_Toc31020"/>
      <w:bookmarkStart w:id="78" w:name="_Hlk14635016"/>
      <w:r>
        <w:rPr>
          <w:rFonts w:hint="eastAsia"/>
          <w:color w:val="auto"/>
        </w:rPr>
        <w:t>2.4.3</w:t>
      </w:r>
      <w:r>
        <w:rPr>
          <w:rFonts w:hint="eastAsia" w:ascii="Times New Roman" w:hAnsi="Times New Roman"/>
          <w:color w:val="auto"/>
        </w:rPr>
        <w:t>总图运输</w:t>
      </w:r>
      <w:bookmarkEnd w:id="77"/>
    </w:p>
    <w:p>
      <w:pPr>
        <w:spacing w:line="360" w:lineRule="auto"/>
        <w:ind w:firstLine="560"/>
        <w:rPr>
          <w:color w:val="auto"/>
        </w:rPr>
      </w:pPr>
      <w:r>
        <w:rPr>
          <w:rFonts w:hint="eastAsia"/>
          <w:color w:val="auto"/>
        </w:rPr>
        <w:t>大坪矿区瓷土矿为新建矿山，矿山总平面布置情况具体如下：</w:t>
      </w:r>
    </w:p>
    <w:p>
      <w:pPr>
        <w:spacing w:line="360" w:lineRule="auto"/>
        <w:ind w:firstLine="560"/>
        <w:rPr>
          <w:color w:val="auto"/>
        </w:rPr>
      </w:pPr>
      <w:r>
        <w:rPr>
          <w:rFonts w:hint="eastAsia"/>
          <w:color w:val="auto"/>
        </w:rPr>
        <w:t>（1）办公生活区：矿山办公室生活区建在矿区西北侧1000m外的一块平地上，并设有单身职工宿舍、食堂、浴室、洗衣房等满足矿山安全生产要求。</w:t>
      </w:r>
    </w:p>
    <w:p>
      <w:pPr>
        <w:spacing w:line="360" w:lineRule="auto"/>
        <w:ind w:firstLine="560"/>
        <w:rPr>
          <w:color w:val="auto"/>
        </w:rPr>
      </w:pPr>
      <w:r>
        <w:rPr>
          <w:rFonts w:hint="eastAsia"/>
          <w:color w:val="auto"/>
        </w:rPr>
        <w:t>（2）矿山采场：</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rFonts w:hint="eastAsia"/>
          <w:color w:val="auto"/>
        </w:rPr>
        <w:t>矿体北采区、</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rFonts w:hint="eastAsia"/>
          <w:color w:val="auto"/>
        </w:rPr>
        <w:t>矿体南采区、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号矿体北采区、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号矿体南采区均属山坡露天机械开采，</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号矿体中采区属凹陷露天开采采场，后期转为凹陷开采，采场+195m标高形成封闭圈。</w:t>
      </w:r>
    </w:p>
    <w:p>
      <w:pPr>
        <w:spacing w:line="360" w:lineRule="auto"/>
        <w:ind w:firstLine="560"/>
        <w:rPr>
          <w:color w:val="auto"/>
        </w:rPr>
      </w:pPr>
      <w:r>
        <w:rPr>
          <w:rFonts w:hint="eastAsia"/>
          <w:color w:val="auto"/>
        </w:rPr>
        <w:t>（3）矿五个采区开拓运输公路布设如下：</w:t>
      </w:r>
    </w:p>
    <w:p>
      <w:pPr>
        <w:spacing w:line="360" w:lineRule="auto"/>
        <w:ind w:firstLine="560"/>
        <w:rPr>
          <w:color w:val="auto"/>
        </w:rPr>
      </w:pPr>
      <w:r>
        <w:rPr>
          <w:rFonts w:hint="eastAsia"/>
          <w:color w:val="auto"/>
        </w:rPr>
        <w:fldChar w:fldCharType="begin"/>
      </w:r>
      <w:r>
        <w:rPr>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从采场现有矿山公路向北引路，盘旋通至</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rFonts w:hint="eastAsia"/>
          <w:color w:val="auto"/>
        </w:rPr>
        <w:t>矿体北采区最高+205m剥离平台,矿山道路以树枝状分别引路至+195m、+185m开采平台。</w:t>
      </w:r>
    </w:p>
    <w:p>
      <w:pPr>
        <w:spacing w:line="360" w:lineRule="auto"/>
        <w:ind w:firstLine="560"/>
        <w:rPr>
          <w:color w:val="auto"/>
        </w:rPr>
      </w:pPr>
      <w:r>
        <w:rPr>
          <w:rFonts w:hint="eastAsia"/>
          <w:color w:val="auto"/>
        </w:rPr>
        <w:fldChar w:fldCharType="begin"/>
      </w:r>
      <w:r>
        <w:rPr>
          <w:color w:val="auto"/>
        </w:rPr>
        <w:instrText xml:space="preserve"> = 2 \* GB3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从采场现有矿山公路向南引路，盘旋通至</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rFonts w:hint="eastAsia"/>
          <w:color w:val="auto"/>
        </w:rPr>
        <w:t>矿体南采区最高+190m剥离平台,矿山道路以树枝状引路至+180m开采平台。</w:t>
      </w:r>
    </w:p>
    <w:p>
      <w:pPr>
        <w:spacing w:line="360" w:lineRule="auto"/>
        <w:ind w:firstLine="560"/>
        <w:rPr>
          <w:color w:val="auto"/>
        </w:rPr>
      </w:pPr>
      <w:r>
        <w:rPr>
          <w:rFonts w:hint="eastAsia"/>
          <w:color w:val="auto"/>
        </w:rPr>
        <w:fldChar w:fldCharType="begin"/>
      </w:r>
      <w:r>
        <w:rPr>
          <w:color w:val="auto"/>
        </w:rPr>
        <w:instrText xml:space="preserve"> = 3 \* GB3 </w:instrText>
      </w:r>
      <w:r>
        <w:rPr>
          <w:rFonts w:hint="eastAsia"/>
          <w:color w:val="auto"/>
        </w:rPr>
        <w:fldChar w:fldCharType="separate"/>
      </w:r>
      <w:r>
        <w:rPr>
          <w:rFonts w:hint="eastAsia"/>
          <w:color w:val="auto"/>
        </w:rPr>
        <w:t>③</w:t>
      </w:r>
      <w:r>
        <w:rPr>
          <w:rFonts w:hint="eastAsia"/>
          <w:color w:val="auto"/>
        </w:rPr>
        <w:fldChar w:fldCharType="end"/>
      </w:r>
      <w:r>
        <w:rPr>
          <w:rFonts w:hint="eastAsia"/>
          <w:color w:val="auto"/>
        </w:rPr>
        <w:t>从采场现有矿山公路向西引路，盘旋通至</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矿体北采区最高+205m剥离平台,矿山道路以树枝状引路至+195m、+185m、+175m开采平台。</w:t>
      </w:r>
    </w:p>
    <w:p>
      <w:pPr>
        <w:spacing w:line="360" w:lineRule="auto"/>
        <w:ind w:firstLine="560"/>
        <w:rPr>
          <w:color w:val="auto"/>
        </w:rPr>
      </w:pPr>
      <w:r>
        <w:rPr>
          <w:rFonts w:hint="eastAsia"/>
          <w:color w:val="auto"/>
        </w:rPr>
        <w:fldChar w:fldCharType="begin"/>
      </w:r>
      <w:r>
        <w:rPr>
          <w:color w:val="auto"/>
        </w:rPr>
        <w:instrText xml:space="preserve"> = 4 \* GB3 </w:instrText>
      </w:r>
      <w:r>
        <w:rPr>
          <w:rFonts w:hint="eastAsia"/>
          <w:color w:val="auto"/>
        </w:rPr>
        <w:fldChar w:fldCharType="separate"/>
      </w:r>
      <w:r>
        <w:rPr>
          <w:rFonts w:hint="eastAsia"/>
          <w:color w:val="auto"/>
        </w:rPr>
        <w:t>④</w:t>
      </w:r>
      <w:r>
        <w:rPr>
          <w:rFonts w:hint="eastAsia"/>
          <w:color w:val="auto"/>
        </w:rPr>
        <w:fldChar w:fldCharType="end"/>
      </w:r>
      <w:r>
        <w:rPr>
          <w:rFonts w:hint="eastAsia"/>
          <w:color w:val="auto"/>
        </w:rPr>
        <w:t>从采场现有矿山公路向西引路，盘旋通至</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矿体中采区最高+195m剥离平台,矿山道路以树枝状引路至+185m开采平台。</w:t>
      </w:r>
    </w:p>
    <w:p>
      <w:pPr>
        <w:spacing w:line="360" w:lineRule="auto"/>
        <w:ind w:firstLine="560"/>
        <w:rPr>
          <w:color w:val="auto"/>
        </w:rPr>
      </w:pPr>
      <w:r>
        <w:rPr>
          <w:rFonts w:hint="eastAsia"/>
          <w:color w:val="auto"/>
        </w:rPr>
        <w:fldChar w:fldCharType="begin"/>
      </w:r>
      <w:r>
        <w:rPr>
          <w:color w:val="auto"/>
        </w:rPr>
        <w:instrText xml:space="preserve"> = 5 \* GB3 </w:instrText>
      </w:r>
      <w:r>
        <w:rPr>
          <w:rFonts w:hint="eastAsia"/>
          <w:color w:val="auto"/>
        </w:rPr>
        <w:fldChar w:fldCharType="separate"/>
      </w:r>
      <w:r>
        <w:rPr>
          <w:rFonts w:hint="eastAsia"/>
          <w:color w:val="auto"/>
        </w:rPr>
        <w:t>⑤</w:t>
      </w:r>
      <w:r>
        <w:rPr>
          <w:rFonts w:hint="eastAsia"/>
          <w:color w:val="auto"/>
        </w:rPr>
        <w:fldChar w:fldCharType="end"/>
      </w:r>
      <w:r>
        <w:rPr>
          <w:rFonts w:hint="eastAsia"/>
          <w:color w:val="auto"/>
        </w:rPr>
        <w:t>从采场现有矿山公路向西南引路，盘旋通至</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矿体南采区最高+245m剥离平台,矿山道路以树枝状引路至+235m、+225m开采平台。</w:t>
      </w:r>
    </w:p>
    <w:p>
      <w:pPr>
        <w:spacing w:line="360" w:lineRule="auto"/>
        <w:ind w:firstLine="560"/>
        <w:rPr>
          <w:color w:val="auto"/>
        </w:rPr>
      </w:pPr>
      <w:r>
        <w:rPr>
          <w:rFonts w:hint="eastAsia"/>
          <w:color w:val="auto"/>
        </w:rPr>
        <w:t>（4）排土场：矿山剥离土用于矿山场地平整、道路修建、矿山覆土覆绿需要，矿山不设排土场。</w:t>
      </w:r>
    </w:p>
    <w:p>
      <w:pPr>
        <w:spacing w:line="360" w:lineRule="auto"/>
        <w:ind w:firstLine="560"/>
        <w:rPr>
          <w:color w:val="auto"/>
        </w:rPr>
      </w:pPr>
      <w:r>
        <w:rPr>
          <w:rFonts w:hint="eastAsia"/>
          <w:color w:val="auto"/>
        </w:rPr>
        <w:t>（5）辅助设施：矿山不设陶瓷土暂存场、也不设柴油罐、机修房，机修及机动车加油依靠社会加油站及机修点解决。</w:t>
      </w:r>
    </w:p>
    <w:p>
      <w:pPr>
        <w:spacing w:line="360" w:lineRule="auto"/>
        <w:ind w:firstLine="560"/>
        <w:rPr>
          <w:color w:val="auto"/>
        </w:rPr>
      </w:pPr>
      <w:r>
        <w:rPr>
          <w:rFonts w:hint="eastAsia"/>
          <w:color w:val="auto"/>
        </w:rPr>
        <w:t>（6）矿山用电：矿山每天工作时间8小时，夜班不作业，矿山不需用电，后期</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rFonts w:hint="eastAsia"/>
          <w:color w:val="auto"/>
        </w:rPr>
        <w:t>号矿体中采区转入凹陷开采后可购买一台柴油机带动水泵作业。</w:t>
      </w:r>
    </w:p>
    <w:bookmarkEnd w:id="78"/>
    <w:p>
      <w:pPr>
        <w:widowControl/>
        <w:spacing w:line="360" w:lineRule="auto"/>
        <w:ind w:firstLine="0" w:firstLineChars="0"/>
        <w:jc w:val="left"/>
        <w:outlineLvl w:val="2"/>
        <w:rPr>
          <w:rFonts w:ascii="宋体" w:hAnsi="宋体"/>
          <w:b/>
          <w:bCs/>
          <w:color w:val="auto"/>
          <w:szCs w:val="28"/>
        </w:rPr>
      </w:pPr>
      <w:bookmarkStart w:id="79" w:name="_Toc25743243"/>
      <w:bookmarkStart w:id="80" w:name="_Toc25167"/>
      <w:r>
        <w:rPr>
          <w:rFonts w:hint="eastAsia" w:ascii="宋体" w:hAnsi="宋体"/>
          <w:b/>
          <w:bCs/>
          <w:color w:val="auto"/>
          <w:szCs w:val="28"/>
        </w:rPr>
        <w:t>2.4.4开采范围</w:t>
      </w:r>
      <w:bookmarkEnd w:id="79"/>
      <w:bookmarkEnd w:id="80"/>
    </w:p>
    <w:p>
      <w:pPr>
        <w:spacing w:line="360" w:lineRule="auto"/>
        <w:ind w:firstLine="560"/>
        <w:rPr>
          <w:color w:val="auto"/>
        </w:rPr>
      </w:pPr>
      <w:r>
        <w:rPr>
          <w:rFonts w:hint="eastAsia"/>
          <w:color w:val="auto"/>
        </w:rPr>
        <w:t>本次设计开采范围为采矿许可证批准的范围内及坐标见下表,矿区共分五个矿体各矿体开采坐标见表2-7。</w:t>
      </w:r>
    </w:p>
    <w:p>
      <w:pPr>
        <w:snapToGrid w:val="0"/>
        <w:spacing w:line="500" w:lineRule="exact"/>
        <w:ind w:left="-20" w:leftChars="-7" w:firstLine="2479" w:firstLineChars="1029"/>
        <w:rPr>
          <w:b/>
          <w:bCs/>
          <w:color w:val="auto"/>
          <w:sz w:val="24"/>
          <w:lang w:bidi="en-US"/>
        </w:rPr>
      </w:pPr>
      <w:r>
        <w:rPr>
          <w:rFonts w:hint="eastAsia"/>
          <w:b/>
          <w:bCs/>
          <w:color w:val="auto"/>
          <w:sz w:val="24"/>
          <w:lang w:bidi="en-US"/>
        </w:rPr>
        <w:t xml:space="preserve">表2-7 </w:t>
      </w:r>
      <w:r>
        <w:rPr>
          <w:b/>
          <w:bCs/>
          <w:color w:val="auto"/>
          <w:sz w:val="24"/>
          <w:lang w:bidi="en-US"/>
        </w:rPr>
        <w:t>矿</w:t>
      </w:r>
      <w:r>
        <w:rPr>
          <w:rFonts w:hint="eastAsia"/>
          <w:b/>
          <w:bCs/>
          <w:color w:val="auto"/>
          <w:sz w:val="24"/>
          <w:lang w:bidi="en-US"/>
        </w:rPr>
        <w:t>区</w:t>
      </w:r>
      <w:r>
        <w:rPr>
          <w:b/>
          <w:bCs/>
          <w:color w:val="auto"/>
          <w:sz w:val="24"/>
          <w:lang w:bidi="en-US"/>
        </w:rPr>
        <w:t>范围拐点坐标表</w:t>
      </w:r>
    </w:p>
    <w:tbl>
      <w:tblPr>
        <w:tblStyle w:val="36"/>
        <w:tblW w:w="10432" w:type="dxa"/>
        <w:tblInd w:w="-176" w:type="dxa"/>
        <w:tblLayout w:type="fixed"/>
        <w:tblCellMar>
          <w:top w:w="0" w:type="dxa"/>
          <w:left w:w="108" w:type="dxa"/>
          <w:bottom w:w="0" w:type="dxa"/>
          <w:right w:w="108" w:type="dxa"/>
        </w:tblCellMar>
      </w:tblPr>
      <w:tblGrid>
        <w:gridCol w:w="1135"/>
        <w:gridCol w:w="1570"/>
        <w:gridCol w:w="1569"/>
        <w:gridCol w:w="1116"/>
        <w:gridCol w:w="1586"/>
        <w:gridCol w:w="1728"/>
        <w:gridCol w:w="1728"/>
      </w:tblGrid>
      <w:tr>
        <w:tblPrEx>
          <w:tblLayout w:type="fixed"/>
          <w:tblCellMar>
            <w:top w:w="0" w:type="dxa"/>
            <w:left w:w="108" w:type="dxa"/>
            <w:bottom w:w="0" w:type="dxa"/>
            <w:right w:w="108" w:type="dxa"/>
          </w:tblCellMar>
        </w:tblPrEx>
        <w:trPr>
          <w:gridAfter w:val="1"/>
          <w:wAfter w:w="1728" w:type="dxa"/>
          <w:trHeight w:val="600" w:hRule="atLeast"/>
        </w:trPr>
        <w:tc>
          <w:tcPr>
            <w:tcW w:w="1135" w:type="dxa"/>
            <w:tcBorders>
              <w:top w:val="single" w:color="auto" w:sz="8" w:space="0"/>
              <w:left w:val="single" w:color="auto" w:sz="8" w:space="0"/>
              <w:bottom w:val="nil"/>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拐点</w:t>
            </w:r>
          </w:p>
        </w:tc>
        <w:tc>
          <w:tcPr>
            <w:tcW w:w="3139" w:type="dxa"/>
            <w:gridSpan w:val="2"/>
            <w:tcBorders>
              <w:top w:val="single" w:color="auto" w:sz="8" w:space="0"/>
              <w:left w:val="nil"/>
              <w:bottom w:val="single" w:color="auto" w:sz="8" w:space="0"/>
              <w:right w:val="single" w:color="000000" w:sz="8" w:space="0"/>
            </w:tcBorders>
            <w:vAlign w:val="center"/>
          </w:tcPr>
          <w:p>
            <w:pPr>
              <w:spacing w:line="400" w:lineRule="exact"/>
              <w:ind w:firstLine="1050" w:firstLineChars="500"/>
              <w:rPr>
                <w:rFonts w:ascii="宋体" w:hAnsi="宋体"/>
                <w:color w:val="auto"/>
                <w:sz w:val="21"/>
                <w:szCs w:val="21"/>
              </w:rPr>
            </w:pPr>
            <w:r>
              <w:rPr>
                <w:rFonts w:ascii="宋体" w:hAnsi="宋体"/>
                <w:color w:val="auto"/>
                <w:sz w:val="21"/>
                <w:szCs w:val="21"/>
              </w:rPr>
              <w:t>西安80坐标</w:t>
            </w:r>
          </w:p>
        </w:tc>
        <w:tc>
          <w:tcPr>
            <w:tcW w:w="1116" w:type="dxa"/>
            <w:tcBorders>
              <w:top w:val="single" w:color="auto" w:sz="8" w:space="0"/>
              <w:left w:val="nil"/>
              <w:bottom w:val="nil"/>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拐点</w:t>
            </w:r>
          </w:p>
        </w:tc>
        <w:tc>
          <w:tcPr>
            <w:tcW w:w="3314" w:type="dxa"/>
            <w:gridSpan w:val="2"/>
            <w:tcBorders>
              <w:top w:val="single" w:color="auto" w:sz="8" w:space="0"/>
              <w:left w:val="nil"/>
              <w:bottom w:val="single" w:color="auto" w:sz="8" w:space="0"/>
              <w:right w:val="single" w:color="000000"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西安80坐标</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编号</w:t>
            </w:r>
          </w:p>
        </w:tc>
        <w:tc>
          <w:tcPr>
            <w:tcW w:w="1570"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X</w:t>
            </w:r>
          </w:p>
        </w:tc>
        <w:tc>
          <w:tcPr>
            <w:tcW w:w="1569"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Y</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编号</w:t>
            </w:r>
          </w:p>
        </w:tc>
        <w:tc>
          <w:tcPr>
            <w:tcW w:w="158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X</w:t>
            </w:r>
          </w:p>
        </w:tc>
        <w:tc>
          <w:tcPr>
            <w:tcW w:w="1728"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Y</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2893880.54</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8605549.95</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24</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2894354.69</w:t>
            </w:r>
          </w:p>
        </w:tc>
        <w:tc>
          <w:tcPr>
            <w:tcW w:w="1728" w:type="dxa"/>
            <w:tcBorders>
              <w:top w:val="nil"/>
              <w:left w:val="nil"/>
              <w:bottom w:val="single" w:color="auto" w:sz="8" w:space="0"/>
              <w:right w:val="single" w:color="auto" w:sz="8" w:space="0"/>
            </w:tcBorders>
            <w:vAlign w:val="center"/>
          </w:tcPr>
          <w:p>
            <w:pPr>
              <w:spacing w:line="400" w:lineRule="exact"/>
              <w:ind w:firstLine="105" w:firstLineChars="50"/>
              <w:rPr>
                <w:rFonts w:ascii="宋体" w:hAnsi="宋体"/>
                <w:color w:val="auto"/>
                <w:sz w:val="21"/>
                <w:szCs w:val="21"/>
              </w:rPr>
            </w:pPr>
            <w:r>
              <w:rPr>
                <w:rFonts w:hint="eastAsia" w:ascii="宋体" w:hAnsi="宋体"/>
                <w:color w:val="auto"/>
                <w:sz w:val="21"/>
                <w:szCs w:val="21"/>
              </w:rPr>
              <w:t>38605900.70</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J2</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2893888.40</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8605529.46</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25</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2894379.09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38605984.01</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J3</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2893923.79</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8605517.40</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26</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2894355.49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38605992.69</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J4</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2894063.27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8605655</w:t>
            </w:r>
            <w:r>
              <w:rPr>
                <w:rFonts w:ascii="宋体" w:hAnsi="宋体"/>
                <w:color w:val="auto"/>
                <w:sz w:val="21"/>
                <w:szCs w:val="21"/>
              </w:rPr>
              <w:t>.</w:t>
            </w:r>
            <w:r>
              <w:rPr>
                <w:rFonts w:hint="eastAsia" w:ascii="宋体" w:hAnsi="宋体"/>
                <w:color w:val="auto"/>
                <w:sz w:val="21"/>
                <w:szCs w:val="21"/>
              </w:rPr>
              <w:t>25</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27</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2894268.56</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38605936.42</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J5</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2894074.78</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38605693.75</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28</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2894257.80</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38605818059</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J6</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2894095.90</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8605719.89</w:t>
            </w:r>
          </w:p>
        </w:tc>
        <w:tc>
          <w:tcPr>
            <w:tcW w:w="1116" w:type="dxa"/>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29</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2894287.79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38605757.77</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J7</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2894116</w:t>
            </w:r>
            <w:r>
              <w:rPr>
                <w:rFonts w:ascii="宋体" w:hAnsi="宋体"/>
                <w:color w:val="auto"/>
                <w:sz w:val="21"/>
                <w:szCs w:val="21"/>
              </w:rPr>
              <w:t>.</w:t>
            </w:r>
            <w:r>
              <w:rPr>
                <w:rFonts w:hint="eastAsia" w:ascii="宋体" w:hAnsi="宋体"/>
                <w:color w:val="auto"/>
                <w:sz w:val="21"/>
                <w:szCs w:val="21"/>
              </w:rPr>
              <w:t>15</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8605732</w:t>
            </w:r>
            <w:r>
              <w:rPr>
                <w:rFonts w:ascii="宋体" w:hAnsi="宋体"/>
                <w:color w:val="auto"/>
                <w:sz w:val="21"/>
                <w:szCs w:val="21"/>
              </w:rPr>
              <w:t>.</w:t>
            </w:r>
            <w:r>
              <w:rPr>
                <w:rFonts w:hint="eastAsia" w:ascii="宋体" w:hAnsi="宋体"/>
                <w:color w:val="auto"/>
                <w:sz w:val="21"/>
                <w:szCs w:val="21"/>
              </w:rPr>
              <w:t>93</w:t>
            </w:r>
          </w:p>
        </w:tc>
        <w:tc>
          <w:tcPr>
            <w:tcW w:w="4430" w:type="dxa"/>
            <w:gridSpan w:val="3"/>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highlight w:val="yellow"/>
              </w:rPr>
            </w:pPr>
            <w:r>
              <w:rPr>
                <w:rFonts w:hint="eastAsia" w:ascii="宋体" w:hAnsi="宋体"/>
                <w:color w:val="auto"/>
                <w:sz w:val="21"/>
                <w:szCs w:val="21"/>
              </w:rPr>
              <w:t>开采标高：+260m～+156m</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highlight w:val="yellow"/>
              </w:rPr>
            </w:pPr>
            <w:r>
              <w:rPr>
                <w:rFonts w:ascii="宋体" w:hAnsi="宋体"/>
                <w:color w:val="auto"/>
                <w:sz w:val="21"/>
                <w:szCs w:val="21"/>
              </w:rPr>
              <w:t>J8</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2894114</w:t>
            </w:r>
            <w:r>
              <w:rPr>
                <w:rFonts w:ascii="宋体" w:hAnsi="宋体"/>
                <w:color w:val="auto"/>
                <w:sz w:val="21"/>
                <w:szCs w:val="21"/>
              </w:rPr>
              <w:t>.</w:t>
            </w:r>
            <w:r>
              <w:rPr>
                <w:rFonts w:hint="eastAsia" w:ascii="宋体" w:hAnsi="宋体"/>
                <w:color w:val="auto"/>
                <w:sz w:val="21"/>
                <w:szCs w:val="21"/>
              </w:rPr>
              <w:t>02</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8605756</w:t>
            </w:r>
            <w:r>
              <w:rPr>
                <w:rFonts w:ascii="宋体" w:hAnsi="宋体"/>
                <w:color w:val="auto"/>
                <w:sz w:val="21"/>
                <w:szCs w:val="21"/>
              </w:rPr>
              <w:t>.</w:t>
            </w:r>
            <w:r>
              <w:rPr>
                <w:rFonts w:hint="eastAsia" w:ascii="宋体" w:hAnsi="宋体"/>
                <w:color w:val="auto"/>
                <w:sz w:val="21"/>
                <w:szCs w:val="21"/>
              </w:rPr>
              <w:t>49</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30</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2894337.07</w:t>
            </w:r>
          </w:p>
        </w:tc>
        <w:tc>
          <w:tcPr>
            <w:tcW w:w="1728" w:type="dxa"/>
            <w:tcBorders>
              <w:top w:val="nil"/>
              <w:left w:val="nil"/>
              <w:bottom w:val="single" w:color="auto" w:sz="8" w:space="0"/>
              <w:right w:val="single" w:color="auto" w:sz="8" w:space="0"/>
            </w:tcBorders>
            <w:vAlign w:val="center"/>
          </w:tcPr>
          <w:p>
            <w:pPr>
              <w:spacing w:line="400" w:lineRule="exact"/>
              <w:ind w:firstLine="210" w:firstLineChars="100"/>
              <w:jc w:val="center"/>
              <w:rPr>
                <w:rFonts w:ascii="宋体" w:hAnsi="宋体"/>
                <w:color w:val="auto"/>
                <w:sz w:val="21"/>
                <w:szCs w:val="21"/>
              </w:rPr>
            </w:pPr>
            <w:r>
              <w:rPr>
                <w:rFonts w:hint="eastAsia" w:ascii="宋体" w:hAnsi="宋体"/>
                <w:color w:val="auto"/>
                <w:sz w:val="21"/>
                <w:szCs w:val="21"/>
              </w:rPr>
              <w:t>38606059.05</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J9</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2894047</w:t>
            </w:r>
            <w:r>
              <w:rPr>
                <w:rFonts w:ascii="宋体" w:hAnsi="宋体"/>
                <w:color w:val="auto"/>
                <w:sz w:val="21"/>
                <w:szCs w:val="21"/>
              </w:rPr>
              <w:t>.</w:t>
            </w:r>
            <w:r>
              <w:rPr>
                <w:rFonts w:hint="eastAsia" w:ascii="宋体" w:hAnsi="宋体"/>
                <w:color w:val="auto"/>
                <w:sz w:val="21"/>
                <w:szCs w:val="21"/>
              </w:rPr>
              <w:t>91</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8605732</w:t>
            </w:r>
            <w:r>
              <w:rPr>
                <w:rFonts w:ascii="宋体" w:hAnsi="宋体"/>
                <w:color w:val="auto"/>
                <w:sz w:val="21"/>
                <w:szCs w:val="21"/>
              </w:rPr>
              <w:t>.</w:t>
            </w:r>
            <w:r>
              <w:rPr>
                <w:rFonts w:hint="eastAsia" w:ascii="宋体" w:hAnsi="宋体"/>
                <w:color w:val="auto"/>
                <w:sz w:val="21"/>
                <w:szCs w:val="21"/>
              </w:rPr>
              <w:t>02</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31</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2894377.88</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386606021.80</w:t>
            </w:r>
          </w:p>
        </w:tc>
      </w:tr>
      <w:tr>
        <w:tblPrEx>
          <w:tblLayout w:type="fixed"/>
          <w:tblCellMar>
            <w:top w:w="0" w:type="dxa"/>
            <w:left w:w="108" w:type="dxa"/>
            <w:bottom w:w="0" w:type="dxa"/>
            <w:right w:w="108" w:type="dxa"/>
          </w:tblCellMar>
        </w:tblPrEx>
        <w:trPr>
          <w:gridAfter w:val="1"/>
          <w:wAfter w:w="1728" w:type="dxa"/>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J10</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hint="eastAsia" w:ascii="宋体" w:hAnsi="宋体"/>
                <w:color w:val="auto"/>
                <w:sz w:val="21"/>
                <w:szCs w:val="21"/>
              </w:rPr>
              <w:t>2893946.70</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highlight w:val="yellow"/>
              </w:rPr>
            </w:pPr>
            <w:r>
              <w:rPr>
                <w:rFonts w:ascii="宋体" w:hAnsi="宋体"/>
                <w:color w:val="auto"/>
                <w:sz w:val="21"/>
                <w:szCs w:val="21"/>
              </w:rPr>
              <w:t>3</w:t>
            </w:r>
            <w:r>
              <w:rPr>
                <w:rFonts w:hint="eastAsia" w:ascii="宋体" w:hAnsi="宋体"/>
                <w:color w:val="auto"/>
                <w:sz w:val="21"/>
                <w:szCs w:val="21"/>
              </w:rPr>
              <w:t>8605660</w:t>
            </w:r>
            <w:r>
              <w:rPr>
                <w:rFonts w:ascii="宋体" w:hAnsi="宋体"/>
                <w:color w:val="auto"/>
                <w:sz w:val="21"/>
                <w:szCs w:val="21"/>
              </w:rPr>
              <w:t>.</w:t>
            </w:r>
            <w:r>
              <w:rPr>
                <w:rFonts w:hint="eastAsia" w:ascii="宋体" w:hAnsi="宋体"/>
                <w:color w:val="auto"/>
                <w:sz w:val="21"/>
                <w:szCs w:val="21"/>
              </w:rPr>
              <w:t>21</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32</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2894413.62</w:t>
            </w:r>
          </w:p>
        </w:tc>
        <w:tc>
          <w:tcPr>
            <w:tcW w:w="1728" w:type="dxa"/>
            <w:tcBorders>
              <w:top w:val="nil"/>
              <w:left w:val="nil"/>
              <w:bottom w:val="single" w:color="auto" w:sz="8" w:space="0"/>
              <w:right w:val="single" w:color="auto" w:sz="8" w:space="0"/>
            </w:tcBorders>
            <w:vAlign w:val="center"/>
          </w:tcPr>
          <w:p>
            <w:pPr>
              <w:spacing w:line="400" w:lineRule="exact"/>
              <w:ind w:firstLine="199" w:firstLineChars="95"/>
              <w:rPr>
                <w:rFonts w:ascii="宋体" w:hAnsi="宋体"/>
                <w:color w:val="auto"/>
                <w:sz w:val="21"/>
                <w:szCs w:val="21"/>
              </w:rPr>
            </w:pPr>
            <w:r>
              <w:rPr>
                <w:rFonts w:hint="eastAsia" w:ascii="宋体" w:hAnsi="宋体"/>
                <w:color w:val="auto"/>
                <w:sz w:val="21"/>
                <w:szCs w:val="21"/>
              </w:rPr>
              <w:t>3860627.50</w:t>
            </w: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J11</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2893881.63</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8605592</w:t>
            </w:r>
            <w:r>
              <w:rPr>
                <w:rFonts w:ascii="宋体" w:hAnsi="宋体"/>
                <w:color w:val="auto"/>
                <w:sz w:val="21"/>
                <w:szCs w:val="21"/>
              </w:rPr>
              <w:t>.</w:t>
            </w:r>
            <w:r>
              <w:rPr>
                <w:rFonts w:hint="eastAsia" w:ascii="宋体" w:hAnsi="宋体"/>
                <w:color w:val="auto"/>
                <w:sz w:val="21"/>
                <w:szCs w:val="21"/>
              </w:rPr>
              <w:t>78</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33</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2894489.63</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38606024.38</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4274" w:type="dxa"/>
            <w:gridSpan w:val="3"/>
            <w:tcBorders>
              <w:top w:val="nil"/>
              <w:left w:val="single" w:color="auto" w:sz="8" w:space="0"/>
              <w:bottom w:val="single" w:color="auto" w:sz="8" w:space="0"/>
              <w:right w:val="single" w:color="auto" w:sz="8" w:space="0"/>
            </w:tcBorders>
            <w:vAlign w:val="center"/>
          </w:tcPr>
          <w:p>
            <w:pPr>
              <w:spacing w:line="400" w:lineRule="exact"/>
              <w:ind w:firstLine="420"/>
              <w:rPr>
                <w:rFonts w:ascii="宋体" w:hAnsi="宋体"/>
                <w:color w:val="auto"/>
                <w:sz w:val="21"/>
                <w:szCs w:val="21"/>
              </w:rPr>
            </w:pPr>
            <w:r>
              <w:rPr>
                <w:rFonts w:hint="eastAsia" w:ascii="宋体" w:hAnsi="宋体"/>
                <w:color w:val="auto"/>
                <w:sz w:val="21"/>
                <w:szCs w:val="21"/>
              </w:rPr>
              <w:t>开采标高：+260m～+176m</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34</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2894523.79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38606033.73</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2</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2894198.66</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38605657.48</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35</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2894557.54</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38606085.33</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3</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2894290.97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38605676.49</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36</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2894559.19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38606085.76</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4</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2894232.79</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38605754.43</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37</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2894531.79</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38606136.77</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5</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2894221.85</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38605754.43</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38</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2894442.67</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38606115.64</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6</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2894198.68</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38605747.02</w:t>
            </w:r>
          </w:p>
        </w:tc>
        <w:tc>
          <w:tcPr>
            <w:tcW w:w="4430" w:type="dxa"/>
            <w:gridSpan w:val="3"/>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hint="eastAsia" w:ascii="宋体" w:hAnsi="宋体"/>
                <w:color w:val="auto"/>
                <w:sz w:val="21"/>
                <w:szCs w:val="21"/>
              </w:rPr>
              <w:t>开采标高：+210m～+156m</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7</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5894190.87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38605728.06</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39</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2894591.15</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38606052.49</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8</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2894175.55</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38605730.14</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40</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2894673.90</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38606099.45</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4274" w:type="dxa"/>
            <w:gridSpan w:val="3"/>
            <w:tcBorders>
              <w:top w:val="nil"/>
              <w:left w:val="single" w:color="auto" w:sz="8" w:space="0"/>
              <w:bottom w:val="single" w:color="auto" w:sz="8" w:space="0"/>
              <w:right w:val="single" w:color="auto" w:sz="8" w:space="0"/>
            </w:tcBorders>
            <w:vAlign w:val="center"/>
          </w:tcPr>
          <w:p>
            <w:pPr>
              <w:spacing w:line="400" w:lineRule="exact"/>
              <w:ind w:firstLine="420"/>
              <w:rPr>
                <w:rFonts w:ascii="宋体" w:hAnsi="宋体"/>
                <w:color w:val="auto"/>
                <w:sz w:val="21"/>
                <w:szCs w:val="21"/>
              </w:rPr>
            </w:pPr>
            <w:r>
              <w:rPr>
                <w:rFonts w:hint="eastAsia" w:ascii="宋体" w:hAnsi="宋体"/>
                <w:color w:val="auto"/>
                <w:sz w:val="21"/>
                <w:szCs w:val="21"/>
              </w:rPr>
              <w:t>开采标高：+260m～+156m</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41</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2894664.80</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38606130.14</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J1</w:t>
            </w:r>
            <w:r>
              <w:rPr>
                <w:rFonts w:hint="eastAsia" w:ascii="宋体" w:hAnsi="宋体"/>
                <w:color w:val="auto"/>
                <w:sz w:val="21"/>
                <w:szCs w:val="21"/>
              </w:rPr>
              <w:t>9</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2894302.52</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38605701.84</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42</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2894591.26</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38606122.41</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20</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2894361.03</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38605691.75</w:t>
            </w:r>
          </w:p>
        </w:tc>
        <w:tc>
          <w:tcPr>
            <w:tcW w:w="1116" w:type="dxa"/>
            <w:tcBorders>
              <w:top w:val="nil"/>
              <w:left w:val="nil"/>
              <w:bottom w:val="single" w:color="auto" w:sz="8" w:space="0"/>
              <w:right w:val="single" w:color="auto" w:sz="8" w:space="0"/>
            </w:tcBorders>
            <w:vAlign w:val="center"/>
          </w:tcPr>
          <w:p>
            <w:pPr>
              <w:spacing w:line="400" w:lineRule="exact"/>
              <w:ind w:firstLine="304" w:firstLineChars="145"/>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43</w:t>
            </w:r>
          </w:p>
        </w:tc>
        <w:tc>
          <w:tcPr>
            <w:tcW w:w="1586"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2894586.33</w:t>
            </w:r>
          </w:p>
        </w:tc>
        <w:tc>
          <w:tcPr>
            <w:tcW w:w="1728"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38606086.74</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21</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2894467.77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38605798.80</w:t>
            </w:r>
          </w:p>
        </w:tc>
        <w:tc>
          <w:tcPr>
            <w:tcW w:w="4430" w:type="dxa"/>
            <w:gridSpan w:val="3"/>
            <w:tcBorders>
              <w:top w:val="nil"/>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hint="eastAsia" w:ascii="宋体" w:hAnsi="宋体"/>
                <w:color w:val="auto"/>
                <w:sz w:val="21"/>
                <w:szCs w:val="21"/>
              </w:rPr>
              <w:t>开采标高：+210m～+156m</w:t>
            </w: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22</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2894437.62</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38605798.80</w:t>
            </w:r>
          </w:p>
        </w:tc>
        <w:tc>
          <w:tcPr>
            <w:tcW w:w="4430" w:type="dxa"/>
            <w:gridSpan w:val="3"/>
            <w:vMerge w:val="restart"/>
            <w:tcBorders>
              <w:top w:val="nil"/>
              <w:left w:val="nil"/>
              <w:right w:val="single" w:color="auto" w:sz="8" w:space="0"/>
            </w:tcBorders>
            <w:vAlign w:val="center"/>
          </w:tcPr>
          <w:p>
            <w:pPr>
              <w:spacing w:line="400" w:lineRule="exact"/>
              <w:ind w:firstLine="420"/>
              <w:jc w:val="center"/>
              <w:rPr>
                <w:rFonts w:ascii="宋体" w:hAnsi="宋体"/>
                <w:color w:val="auto"/>
                <w:sz w:val="21"/>
                <w:szCs w:val="21"/>
              </w:rPr>
            </w:pP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23</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2894379.17</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38605862.18</w:t>
            </w:r>
          </w:p>
        </w:tc>
        <w:tc>
          <w:tcPr>
            <w:tcW w:w="4430" w:type="dxa"/>
            <w:gridSpan w:val="3"/>
            <w:vMerge w:val="continue"/>
            <w:tcBorders>
              <w:left w:val="nil"/>
              <w:right w:val="single" w:color="auto" w:sz="8" w:space="0"/>
            </w:tcBorders>
            <w:vAlign w:val="center"/>
          </w:tcPr>
          <w:p>
            <w:pPr>
              <w:spacing w:line="400" w:lineRule="exact"/>
              <w:ind w:firstLine="420"/>
              <w:jc w:val="center"/>
              <w:rPr>
                <w:rFonts w:ascii="宋体" w:hAnsi="宋体"/>
                <w:color w:val="auto"/>
                <w:sz w:val="21"/>
                <w:szCs w:val="21"/>
              </w:rPr>
            </w:pPr>
          </w:p>
        </w:tc>
        <w:tc>
          <w:tcPr>
            <w:tcW w:w="1728" w:type="dxa"/>
            <w:vAlign w:val="center"/>
          </w:tcPr>
          <w:p>
            <w:pPr>
              <w:spacing w:line="400" w:lineRule="exact"/>
              <w:ind w:firstLine="420"/>
              <w:jc w:val="center"/>
              <w:rPr>
                <w:rFonts w:ascii="宋体" w:hAnsi="宋体"/>
                <w:color w:val="auto"/>
                <w:sz w:val="21"/>
                <w:szCs w:val="21"/>
              </w:rPr>
            </w:pPr>
          </w:p>
        </w:tc>
      </w:tr>
      <w:tr>
        <w:tblPrEx>
          <w:tblLayout w:type="fixed"/>
          <w:tblCellMar>
            <w:top w:w="0" w:type="dxa"/>
            <w:left w:w="108" w:type="dxa"/>
            <w:bottom w:w="0" w:type="dxa"/>
            <w:right w:w="108" w:type="dxa"/>
          </w:tblCellMar>
        </w:tblPrEx>
        <w:trPr>
          <w:trHeight w:val="330" w:hRule="atLeast"/>
        </w:trPr>
        <w:tc>
          <w:tcPr>
            <w:tcW w:w="1135" w:type="dxa"/>
            <w:tcBorders>
              <w:top w:val="nil"/>
              <w:left w:val="single" w:color="auto" w:sz="8" w:space="0"/>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r>
              <w:rPr>
                <w:rFonts w:ascii="宋体" w:hAnsi="宋体"/>
                <w:color w:val="auto"/>
                <w:sz w:val="21"/>
                <w:szCs w:val="21"/>
              </w:rPr>
              <w:t>J</w:t>
            </w:r>
            <w:r>
              <w:rPr>
                <w:rFonts w:hint="eastAsia" w:ascii="宋体" w:hAnsi="宋体"/>
                <w:color w:val="auto"/>
                <w:sz w:val="21"/>
                <w:szCs w:val="21"/>
              </w:rPr>
              <w:t>24</w:t>
            </w:r>
          </w:p>
        </w:tc>
        <w:tc>
          <w:tcPr>
            <w:tcW w:w="1570"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2894354.69</w:t>
            </w:r>
          </w:p>
        </w:tc>
        <w:tc>
          <w:tcPr>
            <w:tcW w:w="1569" w:type="dxa"/>
            <w:tcBorders>
              <w:top w:val="nil"/>
              <w:left w:val="nil"/>
              <w:bottom w:val="single" w:color="auto" w:sz="8" w:space="0"/>
              <w:right w:val="single" w:color="auto" w:sz="8" w:space="0"/>
            </w:tcBorders>
            <w:vAlign w:val="center"/>
          </w:tcPr>
          <w:p>
            <w:pPr>
              <w:spacing w:line="400" w:lineRule="exact"/>
              <w:ind w:firstLine="0" w:firstLineChars="0"/>
              <w:rPr>
                <w:rFonts w:ascii="宋体" w:hAnsi="宋体"/>
                <w:color w:val="auto"/>
                <w:sz w:val="21"/>
                <w:szCs w:val="21"/>
              </w:rPr>
            </w:pPr>
            <w:r>
              <w:rPr>
                <w:rFonts w:hint="eastAsia" w:ascii="宋体" w:hAnsi="宋体"/>
                <w:color w:val="auto"/>
                <w:sz w:val="21"/>
                <w:szCs w:val="21"/>
              </w:rPr>
              <w:t>38605900.70</w:t>
            </w:r>
          </w:p>
        </w:tc>
        <w:tc>
          <w:tcPr>
            <w:tcW w:w="4430" w:type="dxa"/>
            <w:gridSpan w:val="3"/>
            <w:vMerge w:val="continue"/>
            <w:tcBorders>
              <w:left w:val="nil"/>
              <w:bottom w:val="single" w:color="auto" w:sz="8" w:space="0"/>
              <w:right w:val="single" w:color="auto" w:sz="8" w:space="0"/>
            </w:tcBorders>
            <w:vAlign w:val="center"/>
          </w:tcPr>
          <w:p>
            <w:pPr>
              <w:spacing w:line="400" w:lineRule="exact"/>
              <w:ind w:firstLine="420"/>
              <w:jc w:val="center"/>
              <w:rPr>
                <w:rFonts w:ascii="宋体" w:hAnsi="宋体"/>
                <w:color w:val="auto"/>
                <w:sz w:val="21"/>
                <w:szCs w:val="21"/>
              </w:rPr>
            </w:pPr>
          </w:p>
        </w:tc>
        <w:tc>
          <w:tcPr>
            <w:tcW w:w="1728" w:type="dxa"/>
            <w:vAlign w:val="center"/>
          </w:tcPr>
          <w:p>
            <w:pPr>
              <w:spacing w:line="400" w:lineRule="exact"/>
              <w:ind w:firstLine="420"/>
              <w:jc w:val="center"/>
              <w:rPr>
                <w:rFonts w:ascii="宋体" w:hAnsi="宋体"/>
                <w:color w:val="auto"/>
                <w:sz w:val="21"/>
                <w:szCs w:val="21"/>
              </w:rPr>
            </w:pPr>
          </w:p>
        </w:tc>
      </w:tr>
    </w:tbl>
    <w:p>
      <w:pPr>
        <w:pStyle w:val="2"/>
        <w:ind w:left="560"/>
        <w:rPr>
          <w:color w:val="auto"/>
        </w:rPr>
      </w:pPr>
    </w:p>
    <w:p>
      <w:pPr>
        <w:spacing w:line="360" w:lineRule="auto"/>
        <w:ind w:firstLine="0" w:firstLineChars="0"/>
        <w:outlineLvl w:val="2"/>
        <w:rPr>
          <w:rFonts w:ascii="宋体" w:hAnsi="宋体" w:cs="宋体"/>
          <w:b/>
          <w:bCs/>
          <w:color w:val="auto"/>
          <w:szCs w:val="28"/>
        </w:rPr>
      </w:pPr>
      <w:bookmarkStart w:id="81" w:name="_Toc13396"/>
      <w:r>
        <w:rPr>
          <w:rFonts w:hint="eastAsia" w:ascii="宋体" w:hAnsi="宋体" w:cs="宋体"/>
          <w:b/>
          <w:bCs/>
          <w:color w:val="auto"/>
          <w:szCs w:val="28"/>
        </w:rPr>
        <w:t>2.4.5开拓运输</w:t>
      </w:r>
      <w:bookmarkEnd w:id="81"/>
    </w:p>
    <w:p>
      <w:pPr>
        <w:widowControl/>
        <w:spacing w:line="360" w:lineRule="auto"/>
        <w:ind w:firstLine="560"/>
        <w:jc w:val="left"/>
        <w:rPr>
          <w:rFonts w:hAnsi="宋体"/>
          <w:color w:val="auto"/>
        </w:rPr>
      </w:pPr>
      <w:r>
        <w:rPr>
          <w:rFonts w:hint="eastAsia" w:hAnsi="宋体"/>
          <w:color w:val="auto"/>
        </w:rPr>
        <w:t>矿五个采区开拓运输公路布设如下：</w:t>
      </w:r>
    </w:p>
    <w:p>
      <w:pPr>
        <w:widowControl/>
        <w:spacing w:line="360" w:lineRule="auto"/>
        <w:ind w:firstLine="560"/>
        <w:jc w:val="left"/>
        <w:rPr>
          <w:rFonts w:hAnsi="宋体"/>
          <w:color w:val="auto"/>
        </w:rPr>
      </w:pPr>
      <w:r>
        <w:rPr>
          <w:rFonts w:hint="eastAsia" w:hAnsi="宋体"/>
          <w:color w:val="auto"/>
        </w:rPr>
        <w:t>1）从采场现有矿山公路向北引路，盘旋通至</w:t>
      </w:r>
      <w:r>
        <w:rPr>
          <w:rFonts w:hAnsi="宋体"/>
          <w:color w:val="auto"/>
        </w:rPr>
        <w:fldChar w:fldCharType="begin"/>
      </w:r>
      <w:r>
        <w:rPr>
          <w:rFonts w:hint="eastAsia" w:hAnsi="宋体"/>
          <w:color w:val="auto"/>
        </w:rPr>
        <w:instrText xml:space="preserve">= 2 \* ROMAN</w:instrText>
      </w:r>
      <w:r>
        <w:rPr>
          <w:rFonts w:hAnsi="宋体"/>
          <w:color w:val="auto"/>
        </w:rPr>
        <w:fldChar w:fldCharType="separate"/>
      </w:r>
      <w:r>
        <w:rPr>
          <w:rFonts w:hAnsi="宋体"/>
          <w:color w:val="auto"/>
        </w:rPr>
        <w:t>II</w:t>
      </w:r>
      <w:r>
        <w:rPr>
          <w:rFonts w:hAnsi="宋体"/>
          <w:color w:val="auto"/>
        </w:rPr>
        <w:fldChar w:fldCharType="end"/>
      </w:r>
      <w:r>
        <w:rPr>
          <w:rFonts w:hint="eastAsia" w:hAnsi="宋体"/>
          <w:color w:val="auto"/>
        </w:rPr>
        <w:t>矿体北采区最高+205m剥离平台,矿山道路以树枝状分别引路至+195m、+185m开采平台。</w:t>
      </w:r>
    </w:p>
    <w:p>
      <w:pPr>
        <w:widowControl/>
        <w:spacing w:line="360" w:lineRule="auto"/>
        <w:ind w:firstLine="560"/>
        <w:jc w:val="left"/>
        <w:rPr>
          <w:rFonts w:hAnsi="宋体"/>
          <w:color w:val="auto"/>
        </w:rPr>
      </w:pPr>
      <w:r>
        <w:rPr>
          <w:rFonts w:hint="eastAsia" w:hAnsi="宋体"/>
          <w:color w:val="auto"/>
        </w:rPr>
        <w:t>2）从采场现有矿山公路向南引路，盘旋通至</w:t>
      </w:r>
      <w:r>
        <w:rPr>
          <w:rFonts w:hAnsi="宋体"/>
          <w:color w:val="auto"/>
        </w:rPr>
        <w:fldChar w:fldCharType="begin"/>
      </w:r>
      <w:r>
        <w:rPr>
          <w:rFonts w:hint="eastAsia" w:hAnsi="宋体"/>
          <w:color w:val="auto"/>
        </w:rPr>
        <w:instrText xml:space="preserve">= 2 \* ROMAN</w:instrText>
      </w:r>
      <w:r>
        <w:rPr>
          <w:rFonts w:hAnsi="宋体"/>
          <w:color w:val="auto"/>
        </w:rPr>
        <w:fldChar w:fldCharType="separate"/>
      </w:r>
      <w:r>
        <w:rPr>
          <w:rFonts w:hAnsi="宋体"/>
          <w:color w:val="auto"/>
        </w:rPr>
        <w:t>II</w:t>
      </w:r>
      <w:r>
        <w:rPr>
          <w:rFonts w:hAnsi="宋体"/>
          <w:color w:val="auto"/>
        </w:rPr>
        <w:fldChar w:fldCharType="end"/>
      </w:r>
      <w:r>
        <w:rPr>
          <w:rFonts w:hint="eastAsia" w:hAnsi="宋体"/>
          <w:color w:val="auto"/>
        </w:rPr>
        <w:t>矿体南采区最高+190m剥离平台,矿山道路以树枝状引路至+180m开采平台。</w:t>
      </w:r>
    </w:p>
    <w:p>
      <w:pPr>
        <w:widowControl/>
        <w:spacing w:line="360" w:lineRule="auto"/>
        <w:ind w:firstLine="560"/>
        <w:jc w:val="left"/>
        <w:rPr>
          <w:rFonts w:hAnsi="宋体"/>
          <w:color w:val="auto"/>
        </w:rPr>
      </w:pPr>
      <w:r>
        <w:rPr>
          <w:rFonts w:hint="eastAsia" w:hAnsi="宋体"/>
          <w:color w:val="auto"/>
        </w:rPr>
        <w:t>3）从采场现有矿山公路向西引路，盘旋通至</w:t>
      </w:r>
      <w:r>
        <w:rPr>
          <w:rFonts w:hAnsi="宋体"/>
          <w:color w:val="auto"/>
        </w:rPr>
        <w:fldChar w:fldCharType="begin"/>
      </w:r>
      <w:r>
        <w:rPr>
          <w:rFonts w:hint="eastAsia" w:hAnsi="宋体"/>
          <w:color w:val="auto"/>
        </w:rPr>
        <w:instrText xml:space="preserve">= 1 \* ROMAN</w:instrText>
      </w:r>
      <w:r>
        <w:rPr>
          <w:rFonts w:hAnsi="宋体"/>
          <w:color w:val="auto"/>
        </w:rPr>
        <w:fldChar w:fldCharType="separate"/>
      </w:r>
      <w:r>
        <w:rPr>
          <w:rFonts w:hAnsi="宋体"/>
          <w:color w:val="auto"/>
        </w:rPr>
        <w:t>I</w:t>
      </w:r>
      <w:r>
        <w:rPr>
          <w:rFonts w:hAnsi="宋体"/>
          <w:color w:val="auto"/>
        </w:rPr>
        <w:fldChar w:fldCharType="end"/>
      </w:r>
      <w:r>
        <w:rPr>
          <w:rFonts w:hint="eastAsia" w:hAnsi="宋体"/>
          <w:color w:val="auto"/>
        </w:rPr>
        <w:t>矿体北采区最高+205m剥离平台,矿山道路以树枝状引路至+195m、+185m、+175m开采平台。</w:t>
      </w:r>
    </w:p>
    <w:p>
      <w:pPr>
        <w:widowControl/>
        <w:spacing w:line="360" w:lineRule="auto"/>
        <w:ind w:firstLine="560"/>
        <w:jc w:val="left"/>
        <w:rPr>
          <w:rFonts w:hAnsi="宋体"/>
          <w:color w:val="auto"/>
        </w:rPr>
      </w:pPr>
      <w:r>
        <w:rPr>
          <w:rFonts w:hint="eastAsia" w:hAnsi="宋体"/>
          <w:color w:val="auto"/>
        </w:rPr>
        <w:t>4）从采场现有矿山公路向西引路，盘旋通至</w:t>
      </w:r>
      <w:r>
        <w:rPr>
          <w:rFonts w:hAnsi="宋体"/>
          <w:color w:val="auto"/>
        </w:rPr>
        <w:fldChar w:fldCharType="begin"/>
      </w:r>
      <w:r>
        <w:rPr>
          <w:rFonts w:hint="eastAsia" w:hAnsi="宋体"/>
          <w:color w:val="auto"/>
        </w:rPr>
        <w:instrText xml:space="preserve">= 1 \* ROMAN</w:instrText>
      </w:r>
      <w:r>
        <w:rPr>
          <w:rFonts w:hAnsi="宋体"/>
          <w:color w:val="auto"/>
        </w:rPr>
        <w:fldChar w:fldCharType="separate"/>
      </w:r>
      <w:r>
        <w:rPr>
          <w:rFonts w:hAnsi="宋体"/>
          <w:color w:val="auto"/>
        </w:rPr>
        <w:t>I</w:t>
      </w:r>
      <w:r>
        <w:rPr>
          <w:rFonts w:hAnsi="宋体"/>
          <w:color w:val="auto"/>
        </w:rPr>
        <w:fldChar w:fldCharType="end"/>
      </w:r>
      <w:r>
        <w:rPr>
          <w:rFonts w:hint="eastAsia" w:hAnsi="宋体"/>
          <w:color w:val="auto"/>
        </w:rPr>
        <w:t>矿体中采区最高+195m剥离平台,矿山道路以树枝状引路至+185m开采平台。</w:t>
      </w:r>
    </w:p>
    <w:p>
      <w:pPr>
        <w:widowControl/>
        <w:spacing w:line="360" w:lineRule="auto"/>
        <w:ind w:firstLine="560"/>
        <w:jc w:val="left"/>
        <w:rPr>
          <w:rFonts w:hAnsi="宋体"/>
          <w:color w:val="auto"/>
        </w:rPr>
      </w:pPr>
      <w:r>
        <w:rPr>
          <w:rFonts w:hint="eastAsia" w:hAnsi="宋体"/>
          <w:color w:val="auto"/>
        </w:rPr>
        <w:t>5）从采场现有矿山公路向西南引路，盘旋通至</w:t>
      </w:r>
      <w:r>
        <w:rPr>
          <w:rFonts w:hAnsi="宋体"/>
          <w:color w:val="auto"/>
        </w:rPr>
        <w:fldChar w:fldCharType="begin"/>
      </w:r>
      <w:r>
        <w:rPr>
          <w:rFonts w:hint="eastAsia" w:hAnsi="宋体"/>
          <w:color w:val="auto"/>
        </w:rPr>
        <w:instrText xml:space="preserve">= 1 \* ROMAN</w:instrText>
      </w:r>
      <w:r>
        <w:rPr>
          <w:rFonts w:hAnsi="宋体"/>
          <w:color w:val="auto"/>
        </w:rPr>
        <w:fldChar w:fldCharType="separate"/>
      </w:r>
      <w:r>
        <w:rPr>
          <w:rFonts w:hAnsi="宋体"/>
          <w:color w:val="auto"/>
        </w:rPr>
        <w:t>I</w:t>
      </w:r>
      <w:r>
        <w:rPr>
          <w:rFonts w:hAnsi="宋体"/>
          <w:color w:val="auto"/>
        </w:rPr>
        <w:fldChar w:fldCharType="end"/>
      </w:r>
      <w:r>
        <w:rPr>
          <w:rFonts w:hint="eastAsia" w:hAnsi="宋体"/>
          <w:color w:val="auto"/>
        </w:rPr>
        <w:t>矿体南采区最高+245m剥离平台,矿山道路以树枝状引路至+235m、+225m开采平台。</w:t>
      </w:r>
    </w:p>
    <w:p>
      <w:pPr>
        <w:widowControl/>
        <w:spacing w:line="360" w:lineRule="auto"/>
        <w:ind w:firstLine="560"/>
        <w:jc w:val="left"/>
        <w:rPr>
          <w:rFonts w:hAnsi="宋体"/>
          <w:color w:val="auto"/>
        </w:rPr>
      </w:pPr>
      <w:r>
        <w:rPr>
          <w:rFonts w:hAnsi="宋体"/>
          <w:color w:val="auto"/>
        </w:rPr>
        <w:t>根据矿山生产规模及相关情况，参照</w:t>
      </w:r>
      <w:r>
        <w:rPr>
          <w:rFonts w:hint="eastAsia" w:hAnsi="宋体"/>
          <w:color w:val="auto"/>
        </w:rPr>
        <w:t>《厂矿道路设计规范》</w:t>
      </w:r>
      <w:r>
        <w:rPr>
          <w:rFonts w:hAnsi="宋体"/>
          <w:color w:val="auto"/>
        </w:rPr>
        <w:t>，本次设计确定上山道路采用双车道三级道路标准。主要技术参数如下：</w:t>
      </w:r>
    </w:p>
    <w:p>
      <w:pPr>
        <w:widowControl/>
        <w:spacing w:line="360" w:lineRule="auto"/>
        <w:ind w:firstLine="560"/>
        <w:jc w:val="left"/>
        <w:rPr>
          <w:rFonts w:hAnsi="宋体"/>
          <w:color w:val="auto"/>
        </w:rPr>
      </w:pPr>
      <w:r>
        <w:rPr>
          <w:rFonts w:hAnsi="宋体"/>
          <w:color w:val="auto"/>
        </w:rPr>
        <w:t>1）</w:t>
      </w:r>
      <w:r>
        <w:rPr>
          <w:rFonts w:hint="eastAsia" w:hAnsi="宋体"/>
          <w:color w:val="auto"/>
        </w:rPr>
        <w:t>挖掘机便道</w:t>
      </w:r>
      <w:r>
        <w:rPr>
          <w:rFonts w:hAnsi="宋体"/>
          <w:color w:val="auto"/>
        </w:rPr>
        <w:t>主要技术指标</w:t>
      </w:r>
    </w:p>
    <w:p>
      <w:pPr>
        <w:widowControl/>
        <w:spacing w:line="360" w:lineRule="auto"/>
        <w:ind w:firstLine="560"/>
        <w:jc w:val="left"/>
        <w:rPr>
          <w:rFonts w:hAnsi="宋体"/>
          <w:color w:val="auto"/>
        </w:rPr>
      </w:pPr>
      <w:r>
        <w:rPr>
          <w:rFonts w:hAnsi="宋体"/>
          <w:color w:val="auto"/>
        </w:rPr>
        <w:t>道路等级：三级；</w:t>
      </w:r>
    </w:p>
    <w:p>
      <w:pPr>
        <w:widowControl/>
        <w:spacing w:line="360" w:lineRule="auto"/>
        <w:ind w:firstLine="560"/>
        <w:jc w:val="left"/>
        <w:rPr>
          <w:rFonts w:hAnsi="宋体"/>
          <w:color w:val="auto"/>
        </w:rPr>
      </w:pPr>
      <w:r>
        <w:rPr>
          <w:rFonts w:hAnsi="宋体"/>
          <w:color w:val="auto"/>
        </w:rPr>
        <w:t>计算行车速度：20km/h；（依据《厂矿道路设计规范》第2.4.3条）</w:t>
      </w:r>
      <w:r>
        <w:rPr>
          <w:rFonts w:hint="eastAsia" w:hAnsi="宋体"/>
          <w:color w:val="auto"/>
        </w:rPr>
        <w:t>；</w:t>
      </w:r>
    </w:p>
    <w:p>
      <w:pPr>
        <w:widowControl/>
        <w:spacing w:line="360" w:lineRule="auto"/>
        <w:ind w:firstLine="560"/>
        <w:jc w:val="left"/>
        <w:rPr>
          <w:rFonts w:hAnsi="宋体"/>
          <w:color w:val="auto"/>
        </w:rPr>
      </w:pPr>
      <w:r>
        <w:rPr>
          <w:rFonts w:hAnsi="宋体"/>
          <w:color w:val="auto"/>
        </w:rPr>
        <w:t>路面宽度：</w:t>
      </w:r>
      <w:r>
        <w:rPr>
          <w:rFonts w:hint="eastAsia" w:hAnsi="宋体"/>
          <w:color w:val="auto"/>
        </w:rPr>
        <w:t>6</w:t>
      </w:r>
      <w:r>
        <w:rPr>
          <w:rFonts w:hAnsi="宋体"/>
          <w:color w:val="auto"/>
        </w:rPr>
        <w:t>m；</w:t>
      </w:r>
    </w:p>
    <w:p>
      <w:pPr>
        <w:widowControl/>
        <w:spacing w:line="360" w:lineRule="auto"/>
        <w:ind w:firstLine="560"/>
        <w:jc w:val="left"/>
        <w:rPr>
          <w:rFonts w:hAnsi="宋体"/>
          <w:color w:val="auto"/>
        </w:rPr>
      </w:pPr>
      <w:r>
        <w:rPr>
          <w:rFonts w:hAnsi="宋体"/>
          <w:color w:val="auto"/>
        </w:rPr>
        <w:t>路面结构：泥结碎石；</w:t>
      </w:r>
    </w:p>
    <w:p>
      <w:pPr>
        <w:widowControl/>
        <w:spacing w:line="360" w:lineRule="auto"/>
        <w:ind w:firstLine="560"/>
        <w:jc w:val="left"/>
        <w:rPr>
          <w:rFonts w:hAnsi="宋体"/>
          <w:color w:val="auto"/>
        </w:rPr>
      </w:pPr>
      <w:r>
        <w:rPr>
          <w:rFonts w:hAnsi="宋体"/>
          <w:color w:val="auto"/>
        </w:rPr>
        <w:t>路肩宽度：1.75m（填方段），0.5m（挖方段）；</w:t>
      </w:r>
    </w:p>
    <w:p>
      <w:pPr>
        <w:widowControl/>
        <w:spacing w:line="360" w:lineRule="auto"/>
        <w:ind w:firstLine="560"/>
        <w:jc w:val="left"/>
        <w:rPr>
          <w:rFonts w:hAnsi="宋体"/>
          <w:color w:val="auto"/>
        </w:rPr>
      </w:pPr>
      <w:r>
        <w:rPr>
          <w:rFonts w:hAnsi="宋体"/>
          <w:color w:val="auto"/>
        </w:rPr>
        <w:t>最小平曲线半径：15m；</w:t>
      </w:r>
    </w:p>
    <w:p>
      <w:pPr>
        <w:widowControl/>
        <w:spacing w:line="360" w:lineRule="auto"/>
        <w:ind w:firstLine="560"/>
        <w:jc w:val="left"/>
        <w:rPr>
          <w:rFonts w:hAnsi="宋体"/>
          <w:color w:val="auto"/>
        </w:rPr>
      </w:pPr>
      <w:r>
        <w:rPr>
          <w:rFonts w:hAnsi="宋体"/>
          <w:color w:val="auto"/>
        </w:rPr>
        <w:t>最小竖曲线半径：200m；</w:t>
      </w:r>
    </w:p>
    <w:p>
      <w:pPr>
        <w:widowControl/>
        <w:spacing w:line="360" w:lineRule="auto"/>
        <w:ind w:firstLine="560"/>
        <w:jc w:val="left"/>
        <w:rPr>
          <w:rFonts w:hAnsi="宋体"/>
          <w:color w:val="auto"/>
        </w:rPr>
      </w:pPr>
      <w:r>
        <w:rPr>
          <w:rFonts w:hAnsi="宋体"/>
          <w:color w:val="auto"/>
        </w:rPr>
        <w:t>最大纵坡：</w:t>
      </w:r>
      <w:r>
        <w:rPr>
          <w:rFonts w:hint="eastAsia" w:hAnsi="宋体"/>
          <w:color w:val="auto"/>
        </w:rPr>
        <w:t>9</w:t>
      </w:r>
      <w:r>
        <w:rPr>
          <w:rFonts w:hAnsi="宋体"/>
          <w:color w:val="auto"/>
        </w:rPr>
        <w:t>%；</w:t>
      </w:r>
    </w:p>
    <w:p>
      <w:pPr>
        <w:widowControl/>
        <w:spacing w:line="360" w:lineRule="auto"/>
        <w:ind w:firstLine="560"/>
        <w:jc w:val="left"/>
        <w:rPr>
          <w:rFonts w:hAnsi="宋体"/>
          <w:color w:val="auto"/>
        </w:rPr>
      </w:pPr>
      <w:r>
        <w:rPr>
          <w:rFonts w:hAnsi="宋体"/>
          <w:color w:val="auto"/>
        </w:rPr>
        <w:t>最小停车视距：20m；</w:t>
      </w:r>
    </w:p>
    <w:p>
      <w:pPr>
        <w:widowControl/>
        <w:spacing w:line="360" w:lineRule="auto"/>
        <w:ind w:firstLine="560"/>
        <w:jc w:val="left"/>
        <w:rPr>
          <w:rFonts w:hAnsi="宋体"/>
          <w:color w:val="auto"/>
        </w:rPr>
      </w:pPr>
      <w:r>
        <w:rPr>
          <w:rFonts w:hAnsi="宋体"/>
          <w:color w:val="auto"/>
        </w:rPr>
        <w:t>最小会车视距：40m。</w:t>
      </w:r>
    </w:p>
    <w:p>
      <w:pPr>
        <w:widowControl/>
        <w:spacing w:line="360" w:lineRule="auto"/>
        <w:ind w:firstLine="560"/>
        <w:jc w:val="left"/>
        <w:rPr>
          <w:rFonts w:hAnsi="宋体"/>
          <w:color w:val="auto"/>
        </w:rPr>
      </w:pPr>
      <w:r>
        <w:rPr>
          <w:rFonts w:hAnsi="宋体"/>
          <w:color w:val="auto"/>
        </w:rPr>
        <w:t>2）路面</w:t>
      </w:r>
    </w:p>
    <w:p>
      <w:pPr>
        <w:widowControl/>
        <w:spacing w:line="360" w:lineRule="auto"/>
        <w:ind w:firstLine="560"/>
        <w:jc w:val="left"/>
        <w:rPr>
          <w:rFonts w:hAnsi="宋体"/>
          <w:color w:val="auto"/>
        </w:rPr>
      </w:pPr>
      <w:r>
        <w:rPr>
          <w:rFonts w:hAnsi="宋体"/>
          <w:color w:val="auto"/>
        </w:rPr>
        <w:t>路面等级：中级路面；</w:t>
      </w:r>
    </w:p>
    <w:p>
      <w:pPr>
        <w:widowControl/>
        <w:spacing w:line="360" w:lineRule="auto"/>
        <w:ind w:firstLine="560"/>
        <w:jc w:val="left"/>
        <w:rPr>
          <w:rFonts w:hAnsi="宋体"/>
          <w:color w:val="auto"/>
        </w:rPr>
      </w:pPr>
      <w:r>
        <w:rPr>
          <w:rFonts w:hAnsi="宋体"/>
          <w:color w:val="auto"/>
        </w:rPr>
        <w:t>路面类型选择：泥结碎石路面；</w:t>
      </w:r>
    </w:p>
    <w:p>
      <w:pPr>
        <w:widowControl/>
        <w:spacing w:line="360" w:lineRule="auto"/>
        <w:ind w:firstLine="560"/>
        <w:jc w:val="left"/>
        <w:rPr>
          <w:rFonts w:hAnsi="宋体"/>
          <w:color w:val="auto"/>
        </w:rPr>
      </w:pPr>
      <w:r>
        <w:rPr>
          <w:rFonts w:hAnsi="宋体"/>
          <w:color w:val="auto"/>
        </w:rPr>
        <w:t>路拱形式：抛物线形；</w:t>
      </w:r>
    </w:p>
    <w:p>
      <w:pPr>
        <w:widowControl/>
        <w:spacing w:line="360" w:lineRule="auto"/>
        <w:ind w:firstLine="560"/>
        <w:jc w:val="left"/>
        <w:rPr>
          <w:rFonts w:hAnsi="宋体"/>
          <w:color w:val="auto"/>
        </w:rPr>
      </w:pPr>
      <w:r>
        <w:rPr>
          <w:rFonts w:hAnsi="宋体"/>
          <w:color w:val="auto"/>
        </w:rPr>
        <w:t>对路基压实度的要求：填方0-80cm时，路基压实度为0.91-0.93；填方80-150cm时，路基压实度为0.87-0.89；填方150cm以上时，路基压实度为0.85-0.87；低填方及挖方0-40cm时，路基压实度为0.91-0.93，符合《厂矿道路设计规范》第3.4.1条。</w:t>
      </w:r>
    </w:p>
    <w:p>
      <w:pPr>
        <w:widowControl/>
        <w:spacing w:line="360" w:lineRule="auto"/>
        <w:ind w:firstLine="560"/>
        <w:jc w:val="left"/>
        <w:rPr>
          <w:rFonts w:hAnsi="宋体"/>
          <w:color w:val="auto"/>
        </w:rPr>
      </w:pPr>
      <w:r>
        <w:rPr>
          <w:rFonts w:hAnsi="宋体"/>
          <w:color w:val="auto"/>
        </w:rPr>
        <w:t>路面结构（自上而下）：碎（砾）石混合料磨耗层厚3cm、泥结碎（砾）石层厚20cm、岩石路基</w:t>
      </w:r>
      <w:r>
        <w:rPr>
          <w:rFonts w:hint="eastAsia" w:hAnsi="宋体"/>
          <w:color w:val="auto"/>
        </w:rPr>
        <w:t>。</w:t>
      </w:r>
    </w:p>
    <w:p>
      <w:pPr>
        <w:widowControl/>
        <w:spacing w:line="360" w:lineRule="auto"/>
        <w:ind w:firstLine="560"/>
        <w:jc w:val="left"/>
        <w:rPr>
          <w:rFonts w:hAnsi="宋体"/>
          <w:color w:val="auto"/>
        </w:rPr>
      </w:pPr>
      <w:r>
        <w:rPr>
          <w:rFonts w:hint="eastAsia" w:hAnsi="宋体"/>
          <w:color w:val="auto"/>
        </w:rPr>
        <w:t>在转弯、陡峻的运输公路外侧增设路挡设施，并完善安全警示标志、限速标志等。</w:t>
      </w:r>
    </w:p>
    <w:p>
      <w:pPr>
        <w:pStyle w:val="2"/>
        <w:ind w:left="560"/>
        <w:rPr>
          <w:color w:val="auto"/>
        </w:rPr>
      </w:pPr>
    </w:p>
    <w:p>
      <w:pPr>
        <w:spacing w:line="360" w:lineRule="auto"/>
        <w:ind w:firstLine="0" w:firstLineChars="0"/>
        <w:outlineLvl w:val="2"/>
        <w:rPr>
          <w:rFonts w:ascii="宋体" w:hAnsi="宋体" w:cs="宋体"/>
          <w:b/>
          <w:bCs/>
          <w:color w:val="auto"/>
          <w:szCs w:val="28"/>
        </w:rPr>
      </w:pPr>
      <w:bookmarkStart w:id="82" w:name="_Toc10602"/>
      <w:r>
        <w:rPr>
          <w:rFonts w:hint="eastAsia" w:ascii="宋体" w:hAnsi="宋体" w:cs="宋体"/>
          <w:b/>
          <w:bCs/>
          <w:color w:val="auto"/>
          <w:szCs w:val="28"/>
        </w:rPr>
        <w:t>2.4.6采矿工艺</w:t>
      </w:r>
      <w:bookmarkEnd w:id="82"/>
    </w:p>
    <w:p>
      <w:pPr>
        <w:spacing w:line="360" w:lineRule="auto"/>
        <w:ind w:firstLine="560"/>
        <w:rPr>
          <w:rFonts w:hAnsi="宋体"/>
          <w:color w:val="auto"/>
        </w:rPr>
      </w:pPr>
      <w:r>
        <w:rPr>
          <w:rFonts w:hint="eastAsia" w:hAnsi="宋体"/>
          <w:color w:val="auto"/>
        </w:rPr>
        <w:t>该项目矿体为瓷土矿，矿体松软，该采矿场开采工艺为：开拓上山公路——表土剥离——开挖工作平台——挖掘机挖装——汽车运输——外运销售。即在采场沿地形开拓上山公路至采场顶部，对采场顶部坡积层进行剥离，然后按设计的台阶要素自上而下分台阶进行开采（挖掘、装运），剥离的覆盖层修筑矿山运输道路。后期开采工艺为：开挖工作平台——挖掘机铲挖——汽车运输——外运销售。</w:t>
      </w:r>
    </w:p>
    <w:p>
      <w:pPr>
        <w:spacing w:line="360" w:lineRule="auto"/>
        <w:ind w:firstLine="480"/>
        <w:rPr>
          <w:rFonts w:ascii="宋体" w:hAnsi="宋体"/>
          <w:bCs/>
          <w:color w:val="auto"/>
          <w:sz w:val="24"/>
        </w:rPr>
      </w:pPr>
      <w:r>
        <w:rPr>
          <w:rFonts w:hint="eastAsia" w:ascii="宋体" w:hAnsi="宋体"/>
          <w:bCs/>
          <w:color w:val="auto"/>
          <w:sz w:val="24"/>
        </w:rPr>
        <w:t>采场采境界参数：</w:t>
      </w:r>
    </w:p>
    <w:p>
      <w:pPr>
        <w:spacing w:line="360" w:lineRule="auto"/>
        <w:ind w:firstLine="2981" w:firstLineChars="1414"/>
        <w:rPr>
          <w:rFonts w:ascii="宋体" w:hAnsi="宋体"/>
          <w:bCs/>
          <w:color w:val="auto"/>
          <w:sz w:val="24"/>
        </w:rPr>
      </w:pPr>
      <w:r>
        <w:rPr>
          <w:rFonts w:hAnsi="宋体"/>
          <w:b/>
          <w:color w:val="auto"/>
          <w:sz w:val="21"/>
        </w:rPr>
        <w:t>表</w:t>
      </w:r>
      <w:r>
        <w:rPr>
          <w:rFonts w:hint="eastAsia" w:hAnsi="宋体"/>
          <w:b/>
          <w:color w:val="auto"/>
          <w:sz w:val="21"/>
        </w:rPr>
        <w:t xml:space="preserve">2-8    </w:t>
      </w:r>
      <w:r>
        <w:rPr>
          <w:rFonts w:hAnsi="宋体"/>
          <w:b/>
          <w:color w:val="auto"/>
          <w:sz w:val="21"/>
        </w:rPr>
        <w:fldChar w:fldCharType="begin"/>
      </w:r>
      <w:r>
        <w:rPr>
          <w:rFonts w:hint="eastAsia" w:hAnsi="宋体"/>
          <w:b/>
          <w:color w:val="auto"/>
          <w:sz w:val="21"/>
        </w:rPr>
        <w:instrText xml:space="preserve">= 2 \* ROMAN</w:instrText>
      </w:r>
      <w:r>
        <w:rPr>
          <w:rFonts w:hAnsi="宋体"/>
          <w:b/>
          <w:color w:val="auto"/>
          <w:sz w:val="21"/>
        </w:rPr>
        <w:fldChar w:fldCharType="separate"/>
      </w:r>
      <w:r>
        <w:rPr>
          <w:rFonts w:hAnsi="宋体"/>
          <w:b/>
          <w:color w:val="auto"/>
          <w:sz w:val="21"/>
        </w:rPr>
        <w:t>II</w:t>
      </w:r>
      <w:r>
        <w:rPr>
          <w:rFonts w:hAnsi="宋体"/>
          <w:b/>
          <w:color w:val="auto"/>
          <w:sz w:val="21"/>
        </w:rPr>
        <w:fldChar w:fldCharType="end"/>
      </w:r>
      <w:r>
        <w:rPr>
          <w:rFonts w:hint="eastAsia" w:hAnsi="宋体"/>
          <w:b/>
          <w:color w:val="auto"/>
          <w:sz w:val="21"/>
        </w:rPr>
        <w:t>号矿体北区</w:t>
      </w:r>
      <w:r>
        <w:rPr>
          <w:rFonts w:hAnsi="宋体"/>
          <w:b/>
          <w:color w:val="auto"/>
          <w:sz w:val="21"/>
        </w:rPr>
        <w:t>境界圈定结果表</w:t>
      </w:r>
    </w:p>
    <w:tbl>
      <w:tblPr>
        <w:tblStyle w:val="36"/>
        <w:tblW w:w="8982" w:type="dxa"/>
        <w:jc w:val="center"/>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515"/>
        <w:gridCol w:w="1215"/>
        <w:gridCol w:w="2203"/>
        <w:gridCol w:w="1516"/>
        <w:gridCol w:w="154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tblHeader/>
          <w:jc w:val="center"/>
        </w:trPr>
        <w:tc>
          <w:tcPr>
            <w:tcW w:w="993" w:type="dxa"/>
            <w:vAlign w:val="center"/>
          </w:tcPr>
          <w:p>
            <w:pPr>
              <w:ind w:right="-143" w:rightChars="-51" w:firstLine="198" w:firstLineChars="94"/>
              <w:rPr>
                <w:rFonts w:ascii="宋体" w:hAnsi="宋体"/>
                <w:b/>
                <w:color w:val="auto"/>
                <w:kern w:val="10"/>
                <w:sz w:val="21"/>
                <w:szCs w:val="21"/>
              </w:rPr>
            </w:pPr>
            <w:r>
              <w:rPr>
                <w:rFonts w:hint="eastAsia" w:ascii="宋体" w:hAnsi="宋体"/>
                <w:b/>
                <w:color w:val="auto"/>
                <w:kern w:val="10"/>
                <w:sz w:val="21"/>
                <w:szCs w:val="21"/>
              </w:rPr>
              <w:t>序号</w:t>
            </w:r>
          </w:p>
        </w:tc>
        <w:tc>
          <w:tcPr>
            <w:tcW w:w="2730" w:type="dxa"/>
            <w:gridSpan w:val="2"/>
            <w:vAlign w:val="center"/>
          </w:tcPr>
          <w:p>
            <w:pPr>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参 数 名 称</w:t>
            </w:r>
          </w:p>
        </w:tc>
        <w:tc>
          <w:tcPr>
            <w:tcW w:w="2203" w:type="dxa"/>
            <w:vAlign w:val="center"/>
          </w:tcPr>
          <w:p>
            <w:pPr>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单位</w:t>
            </w:r>
          </w:p>
        </w:tc>
        <w:tc>
          <w:tcPr>
            <w:tcW w:w="1516" w:type="dxa"/>
            <w:vAlign w:val="center"/>
          </w:tcPr>
          <w:p>
            <w:pPr>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长</w:t>
            </w:r>
          </w:p>
        </w:tc>
        <w:tc>
          <w:tcPr>
            <w:tcW w:w="1540" w:type="dxa"/>
            <w:vAlign w:val="center"/>
          </w:tcPr>
          <w:p>
            <w:pPr>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宽</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7" w:hRule="atLeast"/>
          <w:jc w:val="center"/>
        </w:trPr>
        <w:tc>
          <w:tcPr>
            <w:tcW w:w="993" w:type="dxa"/>
            <w:vMerge w:val="restart"/>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1</w:t>
            </w:r>
          </w:p>
        </w:tc>
        <w:tc>
          <w:tcPr>
            <w:tcW w:w="1515" w:type="dxa"/>
            <w:vMerge w:val="restart"/>
            <w:vAlign w:val="center"/>
          </w:tcPr>
          <w:p>
            <w:pPr>
              <w:ind w:firstLine="420"/>
              <w:jc w:val="center"/>
              <w:rPr>
                <w:rFonts w:ascii="宋体" w:hAnsi="宋体"/>
                <w:color w:val="auto"/>
                <w:kern w:val="10"/>
                <w:sz w:val="21"/>
                <w:szCs w:val="21"/>
              </w:rPr>
            </w:pPr>
            <w:r>
              <w:rPr>
                <w:rFonts w:hint="eastAsia" w:ascii="宋体" w:hAnsi="宋体"/>
                <w:color w:val="auto"/>
                <w:kern w:val="10"/>
                <w:sz w:val="21"/>
                <w:szCs w:val="21"/>
              </w:rPr>
              <w:t>境界尺寸</w:t>
            </w:r>
          </w:p>
        </w:tc>
        <w:tc>
          <w:tcPr>
            <w:tcW w:w="1215"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顶部</w:t>
            </w:r>
          </w:p>
        </w:tc>
        <w:tc>
          <w:tcPr>
            <w:tcW w:w="2203"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m</w:t>
            </w:r>
          </w:p>
        </w:tc>
        <w:tc>
          <w:tcPr>
            <w:tcW w:w="1516"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24</w:t>
            </w:r>
          </w:p>
        </w:tc>
        <w:tc>
          <w:tcPr>
            <w:tcW w:w="1540"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16</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993" w:type="dxa"/>
            <w:vMerge w:val="continue"/>
            <w:vAlign w:val="center"/>
          </w:tcPr>
          <w:p>
            <w:pPr>
              <w:widowControl/>
              <w:ind w:right="-84" w:rightChars="-30" w:firstLine="420"/>
              <w:jc w:val="center"/>
              <w:rPr>
                <w:rFonts w:ascii="宋体" w:hAnsi="宋体"/>
                <w:color w:val="auto"/>
                <w:kern w:val="10"/>
                <w:sz w:val="21"/>
                <w:szCs w:val="21"/>
              </w:rPr>
            </w:pPr>
          </w:p>
        </w:tc>
        <w:tc>
          <w:tcPr>
            <w:tcW w:w="1515" w:type="dxa"/>
            <w:vMerge w:val="continue"/>
            <w:vAlign w:val="center"/>
          </w:tcPr>
          <w:p>
            <w:pPr>
              <w:widowControl/>
              <w:ind w:right="636" w:rightChars="227" w:firstLine="420"/>
              <w:jc w:val="center"/>
              <w:rPr>
                <w:rFonts w:ascii="宋体" w:hAnsi="宋体"/>
                <w:color w:val="auto"/>
                <w:kern w:val="10"/>
                <w:sz w:val="21"/>
                <w:szCs w:val="21"/>
              </w:rPr>
            </w:pPr>
          </w:p>
        </w:tc>
        <w:tc>
          <w:tcPr>
            <w:tcW w:w="1215"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底部</w:t>
            </w:r>
          </w:p>
        </w:tc>
        <w:tc>
          <w:tcPr>
            <w:tcW w:w="2203"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1516"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52</w:t>
            </w:r>
          </w:p>
        </w:tc>
        <w:tc>
          <w:tcPr>
            <w:tcW w:w="1540"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36</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2</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最高开采标高</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+205</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3</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采矿台阶高度</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10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4</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台阶坡面角</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50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5</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最终边坡角</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40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6</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最大开采高度</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sz w:val="21"/>
                <w:szCs w:val="21"/>
              </w:rPr>
              <w:t>23</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7</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最低开采水平</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+185</w:t>
            </w:r>
          </w:p>
        </w:tc>
      </w:tr>
    </w:tbl>
    <w:p>
      <w:pPr>
        <w:pStyle w:val="17"/>
        <w:ind w:left="20" w:leftChars="7" w:firstLine="67" w:firstLineChars="32"/>
        <w:rPr>
          <w:rFonts w:hAnsi="宋体"/>
          <w:b/>
          <w:color w:val="auto"/>
          <w:sz w:val="21"/>
        </w:rPr>
      </w:pPr>
    </w:p>
    <w:p>
      <w:pPr>
        <w:pStyle w:val="17"/>
        <w:ind w:left="20" w:leftChars="7" w:firstLine="2127" w:firstLineChars="1009"/>
        <w:rPr>
          <w:rFonts w:hAnsi="宋体"/>
          <w:b/>
          <w:color w:val="auto"/>
          <w:sz w:val="21"/>
        </w:rPr>
      </w:pPr>
      <w:r>
        <w:rPr>
          <w:rFonts w:hAnsi="宋体"/>
          <w:b/>
          <w:color w:val="auto"/>
          <w:sz w:val="21"/>
        </w:rPr>
        <w:t>表</w:t>
      </w:r>
      <w:r>
        <w:rPr>
          <w:rFonts w:hint="eastAsia" w:hAnsi="宋体"/>
          <w:b/>
          <w:color w:val="auto"/>
          <w:sz w:val="21"/>
        </w:rPr>
        <w:t xml:space="preserve">2-9         </w:t>
      </w:r>
      <w:r>
        <w:rPr>
          <w:rFonts w:hAnsi="宋体"/>
          <w:b/>
          <w:color w:val="auto"/>
          <w:sz w:val="21"/>
        </w:rPr>
        <w:fldChar w:fldCharType="begin"/>
      </w:r>
      <w:r>
        <w:rPr>
          <w:rFonts w:hint="eastAsia" w:hAnsi="宋体"/>
          <w:b/>
          <w:color w:val="auto"/>
          <w:sz w:val="21"/>
        </w:rPr>
        <w:instrText xml:space="preserve">= 2 \* ROMAN</w:instrText>
      </w:r>
      <w:r>
        <w:rPr>
          <w:rFonts w:hAnsi="宋体"/>
          <w:b/>
          <w:color w:val="auto"/>
          <w:sz w:val="21"/>
        </w:rPr>
        <w:fldChar w:fldCharType="separate"/>
      </w:r>
      <w:r>
        <w:rPr>
          <w:rFonts w:hAnsi="宋体"/>
          <w:b/>
          <w:color w:val="auto"/>
          <w:sz w:val="21"/>
        </w:rPr>
        <w:t>II</w:t>
      </w:r>
      <w:r>
        <w:rPr>
          <w:rFonts w:hAnsi="宋体"/>
          <w:b/>
          <w:color w:val="auto"/>
          <w:sz w:val="21"/>
        </w:rPr>
        <w:fldChar w:fldCharType="end"/>
      </w:r>
      <w:r>
        <w:rPr>
          <w:rFonts w:hint="eastAsia" w:hAnsi="宋体"/>
          <w:b/>
          <w:color w:val="auto"/>
          <w:sz w:val="21"/>
        </w:rPr>
        <w:t>号矿体南区采场</w:t>
      </w:r>
      <w:r>
        <w:rPr>
          <w:rFonts w:hAnsi="宋体"/>
          <w:b/>
          <w:color w:val="auto"/>
          <w:sz w:val="21"/>
        </w:rPr>
        <w:t>境界圈定结果表</w:t>
      </w:r>
    </w:p>
    <w:tbl>
      <w:tblPr>
        <w:tblStyle w:val="36"/>
        <w:tblW w:w="8982" w:type="dxa"/>
        <w:jc w:val="center"/>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515"/>
        <w:gridCol w:w="1215"/>
        <w:gridCol w:w="2203"/>
        <w:gridCol w:w="1516"/>
        <w:gridCol w:w="154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tblHeader/>
          <w:jc w:val="center"/>
        </w:trPr>
        <w:tc>
          <w:tcPr>
            <w:tcW w:w="993" w:type="dxa"/>
            <w:vAlign w:val="center"/>
          </w:tcPr>
          <w:p>
            <w:pPr>
              <w:spacing w:line="240" w:lineRule="exact"/>
              <w:ind w:right="-143" w:rightChars="-51" w:firstLine="0" w:firstLineChars="0"/>
              <w:rPr>
                <w:rFonts w:ascii="宋体" w:hAnsi="宋体"/>
                <w:b/>
                <w:color w:val="auto"/>
                <w:kern w:val="10"/>
                <w:sz w:val="21"/>
                <w:szCs w:val="21"/>
              </w:rPr>
            </w:pPr>
            <w:r>
              <w:rPr>
                <w:rFonts w:hint="eastAsia" w:ascii="宋体" w:hAnsi="宋体"/>
                <w:b/>
                <w:color w:val="auto"/>
                <w:kern w:val="10"/>
                <w:sz w:val="21"/>
                <w:szCs w:val="21"/>
              </w:rPr>
              <w:t>序号</w:t>
            </w:r>
          </w:p>
        </w:tc>
        <w:tc>
          <w:tcPr>
            <w:tcW w:w="2730" w:type="dxa"/>
            <w:gridSpan w:val="2"/>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参 数 名 称</w:t>
            </w:r>
          </w:p>
        </w:tc>
        <w:tc>
          <w:tcPr>
            <w:tcW w:w="2203" w:type="dxa"/>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单位</w:t>
            </w:r>
          </w:p>
        </w:tc>
        <w:tc>
          <w:tcPr>
            <w:tcW w:w="1516" w:type="dxa"/>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 xml:space="preserve">     长</w:t>
            </w:r>
          </w:p>
        </w:tc>
        <w:tc>
          <w:tcPr>
            <w:tcW w:w="1540" w:type="dxa"/>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 xml:space="preserve">    宽</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1" w:hRule="atLeast"/>
          <w:jc w:val="center"/>
        </w:trPr>
        <w:tc>
          <w:tcPr>
            <w:tcW w:w="993" w:type="dxa"/>
            <w:vMerge w:val="restart"/>
            <w:vAlign w:val="center"/>
          </w:tcPr>
          <w:p>
            <w:pPr>
              <w:spacing w:line="240" w:lineRule="exact"/>
              <w:ind w:right="-84" w:rightChars="-30" w:firstLine="420"/>
              <w:jc w:val="center"/>
              <w:rPr>
                <w:rFonts w:ascii="宋体" w:hAnsi="宋体"/>
                <w:color w:val="auto"/>
                <w:kern w:val="10"/>
                <w:sz w:val="21"/>
                <w:szCs w:val="21"/>
              </w:rPr>
            </w:pPr>
            <w:r>
              <w:rPr>
                <w:rFonts w:hint="eastAsia" w:ascii="宋体" w:hAnsi="宋体"/>
                <w:color w:val="auto"/>
                <w:kern w:val="10"/>
                <w:sz w:val="21"/>
                <w:szCs w:val="21"/>
              </w:rPr>
              <w:t>1</w:t>
            </w:r>
          </w:p>
        </w:tc>
        <w:tc>
          <w:tcPr>
            <w:tcW w:w="1515" w:type="dxa"/>
            <w:vMerge w:val="restart"/>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境界尺寸</w:t>
            </w:r>
          </w:p>
        </w:tc>
        <w:tc>
          <w:tcPr>
            <w:tcW w:w="1215"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顶部</w:t>
            </w:r>
          </w:p>
        </w:tc>
        <w:tc>
          <w:tcPr>
            <w:tcW w:w="2203"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1516"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 xml:space="preserve">    84</w:t>
            </w:r>
          </w:p>
        </w:tc>
        <w:tc>
          <w:tcPr>
            <w:tcW w:w="1540" w:type="dxa"/>
            <w:vAlign w:val="center"/>
          </w:tcPr>
          <w:p>
            <w:pPr>
              <w:spacing w:line="240" w:lineRule="exact"/>
              <w:ind w:right="636" w:rightChars="227" w:firstLine="420"/>
              <w:jc w:val="center"/>
              <w:rPr>
                <w:rFonts w:ascii="宋体" w:hAnsi="宋体"/>
                <w:color w:val="auto"/>
                <w:kern w:val="10"/>
                <w:sz w:val="21"/>
                <w:szCs w:val="21"/>
                <w:highlight w:val="yellow"/>
              </w:rPr>
            </w:pPr>
            <w:r>
              <w:rPr>
                <w:rFonts w:hint="eastAsia" w:ascii="宋体" w:hAnsi="宋体"/>
                <w:color w:val="auto"/>
                <w:kern w:val="10"/>
                <w:sz w:val="21"/>
                <w:szCs w:val="21"/>
              </w:rPr>
              <w:t xml:space="preserve">   68</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993" w:type="dxa"/>
            <w:vMerge w:val="continue"/>
            <w:vAlign w:val="center"/>
          </w:tcPr>
          <w:p>
            <w:pPr>
              <w:widowControl/>
              <w:spacing w:line="240" w:lineRule="exact"/>
              <w:ind w:right="-84" w:rightChars="-30" w:firstLine="420"/>
              <w:jc w:val="center"/>
              <w:rPr>
                <w:rFonts w:ascii="宋体" w:hAnsi="宋体"/>
                <w:color w:val="auto"/>
                <w:kern w:val="10"/>
                <w:sz w:val="21"/>
                <w:szCs w:val="21"/>
                <w:highlight w:val="yellow"/>
              </w:rPr>
            </w:pPr>
          </w:p>
        </w:tc>
        <w:tc>
          <w:tcPr>
            <w:tcW w:w="1515" w:type="dxa"/>
            <w:vMerge w:val="continue"/>
            <w:vAlign w:val="center"/>
          </w:tcPr>
          <w:p>
            <w:pPr>
              <w:widowControl/>
              <w:spacing w:line="240" w:lineRule="exact"/>
              <w:ind w:right="636" w:rightChars="227" w:firstLine="420"/>
              <w:jc w:val="center"/>
              <w:rPr>
                <w:rFonts w:ascii="宋体" w:hAnsi="宋体"/>
                <w:color w:val="auto"/>
                <w:kern w:val="10"/>
                <w:sz w:val="21"/>
                <w:szCs w:val="21"/>
              </w:rPr>
            </w:pPr>
          </w:p>
        </w:tc>
        <w:tc>
          <w:tcPr>
            <w:tcW w:w="1215"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底部</w:t>
            </w:r>
          </w:p>
        </w:tc>
        <w:tc>
          <w:tcPr>
            <w:tcW w:w="2203"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1516"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 xml:space="preserve">   84</w:t>
            </w:r>
          </w:p>
        </w:tc>
        <w:tc>
          <w:tcPr>
            <w:tcW w:w="1540" w:type="dxa"/>
            <w:vAlign w:val="center"/>
          </w:tcPr>
          <w:p>
            <w:pPr>
              <w:spacing w:line="240" w:lineRule="exact"/>
              <w:ind w:right="636" w:rightChars="227" w:firstLine="420"/>
              <w:jc w:val="center"/>
              <w:rPr>
                <w:rFonts w:ascii="宋体" w:hAnsi="宋体"/>
                <w:color w:val="auto"/>
                <w:kern w:val="10"/>
                <w:sz w:val="21"/>
                <w:szCs w:val="21"/>
                <w:highlight w:val="yellow"/>
              </w:rPr>
            </w:pPr>
            <w:r>
              <w:rPr>
                <w:rFonts w:hint="eastAsia" w:ascii="宋体" w:hAnsi="宋体"/>
                <w:color w:val="auto"/>
                <w:kern w:val="10"/>
                <w:sz w:val="21"/>
                <w:szCs w:val="21"/>
              </w:rPr>
              <w:t xml:space="preserve">   80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2</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最高开采标高</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+193</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3</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采矿台阶高度</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10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4</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台阶坡面角</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50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5</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最终边坡角</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40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9"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6</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最大开采高度</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sz w:val="21"/>
                <w:szCs w:val="21"/>
              </w:rPr>
              <w:t>13</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7</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最低开采水平</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+180</w:t>
            </w:r>
          </w:p>
        </w:tc>
      </w:tr>
    </w:tbl>
    <w:p>
      <w:pPr>
        <w:pStyle w:val="17"/>
        <w:ind w:left="-48" w:leftChars="-17" w:firstLine="2572" w:firstLineChars="1220"/>
        <w:rPr>
          <w:rFonts w:hAnsi="宋体"/>
          <w:b/>
          <w:color w:val="auto"/>
          <w:sz w:val="21"/>
        </w:rPr>
      </w:pPr>
      <w:r>
        <w:rPr>
          <w:rFonts w:hAnsi="宋体"/>
          <w:b/>
          <w:color w:val="auto"/>
          <w:sz w:val="21"/>
        </w:rPr>
        <w:t>表</w:t>
      </w:r>
      <w:r>
        <w:rPr>
          <w:rFonts w:hint="eastAsia" w:hAnsi="宋体"/>
          <w:b/>
          <w:color w:val="auto"/>
          <w:sz w:val="21"/>
        </w:rPr>
        <w:t xml:space="preserve">2-10 </w:t>
      </w:r>
      <w:r>
        <w:rPr>
          <w:rFonts w:hAnsi="宋体"/>
          <w:b/>
          <w:color w:val="auto"/>
          <w:sz w:val="21"/>
        </w:rPr>
        <w:fldChar w:fldCharType="begin"/>
      </w:r>
      <w:r>
        <w:rPr>
          <w:rFonts w:hint="eastAsia" w:hAnsi="宋体"/>
          <w:b/>
          <w:color w:val="auto"/>
          <w:sz w:val="21"/>
        </w:rPr>
        <w:instrText xml:space="preserve">= 1 \* ROMAN</w:instrText>
      </w:r>
      <w:r>
        <w:rPr>
          <w:rFonts w:hAnsi="宋体"/>
          <w:b/>
          <w:color w:val="auto"/>
          <w:sz w:val="21"/>
        </w:rPr>
        <w:fldChar w:fldCharType="separate"/>
      </w:r>
      <w:r>
        <w:rPr>
          <w:rFonts w:hAnsi="宋体"/>
          <w:b/>
          <w:color w:val="auto"/>
          <w:sz w:val="21"/>
        </w:rPr>
        <w:t>I</w:t>
      </w:r>
      <w:r>
        <w:rPr>
          <w:rFonts w:hAnsi="宋体"/>
          <w:b/>
          <w:color w:val="auto"/>
          <w:sz w:val="21"/>
        </w:rPr>
        <w:fldChar w:fldCharType="end"/>
      </w:r>
      <w:r>
        <w:rPr>
          <w:rFonts w:hint="eastAsia" w:hAnsi="宋体"/>
          <w:b/>
          <w:color w:val="auto"/>
          <w:sz w:val="21"/>
        </w:rPr>
        <w:t>号矿体中区采场</w:t>
      </w:r>
      <w:r>
        <w:rPr>
          <w:rFonts w:hAnsi="宋体"/>
          <w:b/>
          <w:color w:val="auto"/>
          <w:sz w:val="21"/>
        </w:rPr>
        <w:t>境界圈定结果表</w:t>
      </w:r>
    </w:p>
    <w:tbl>
      <w:tblPr>
        <w:tblStyle w:val="36"/>
        <w:tblW w:w="8982" w:type="dxa"/>
        <w:jc w:val="center"/>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515"/>
        <w:gridCol w:w="1215"/>
        <w:gridCol w:w="2203"/>
        <w:gridCol w:w="1516"/>
        <w:gridCol w:w="154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tblHeader/>
          <w:jc w:val="center"/>
        </w:trPr>
        <w:tc>
          <w:tcPr>
            <w:tcW w:w="993" w:type="dxa"/>
            <w:vAlign w:val="center"/>
          </w:tcPr>
          <w:p>
            <w:pPr>
              <w:spacing w:line="240" w:lineRule="exact"/>
              <w:ind w:right="-143" w:rightChars="-51" w:firstLine="211" w:firstLineChars="100"/>
              <w:rPr>
                <w:rFonts w:ascii="宋体" w:hAnsi="宋体"/>
                <w:b/>
                <w:color w:val="auto"/>
                <w:kern w:val="10"/>
                <w:sz w:val="21"/>
                <w:szCs w:val="21"/>
              </w:rPr>
            </w:pPr>
            <w:r>
              <w:rPr>
                <w:rFonts w:hint="eastAsia" w:ascii="宋体" w:hAnsi="宋体"/>
                <w:b/>
                <w:color w:val="auto"/>
                <w:kern w:val="10"/>
                <w:sz w:val="21"/>
                <w:szCs w:val="21"/>
              </w:rPr>
              <w:t>序号</w:t>
            </w:r>
          </w:p>
        </w:tc>
        <w:tc>
          <w:tcPr>
            <w:tcW w:w="2730" w:type="dxa"/>
            <w:gridSpan w:val="2"/>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参 数 名 称</w:t>
            </w:r>
          </w:p>
        </w:tc>
        <w:tc>
          <w:tcPr>
            <w:tcW w:w="2203" w:type="dxa"/>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单位</w:t>
            </w:r>
          </w:p>
        </w:tc>
        <w:tc>
          <w:tcPr>
            <w:tcW w:w="1516" w:type="dxa"/>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 xml:space="preserve">     长</w:t>
            </w:r>
          </w:p>
        </w:tc>
        <w:tc>
          <w:tcPr>
            <w:tcW w:w="1540" w:type="dxa"/>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 xml:space="preserve">    宽</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1" w:hRule="atLeast"/>
          <w:jc w:val="center"/>
        </w:trPr>
        <w:tc>
          <w:tcPr>
            <w:tcW w:w="993" w:type="dxa"/>
            <w:vMerge w:val="restart"/>
            <w:vAlign w:val="center"/>
          </w:tcPr>
          <w:p>
            <w:pPr>
              <w:spacing w:line="240" w:lineRule="exact"/>
              <w:ind w:right="-84" w:rightChars="-30" w:firstLine="420"/>
              <w:jc w:val="center"/>
              <w:rPr>
                <w:rFonts w:ascii="宋体" w:hAnsi="宋体"/>
                <w:color w:val="auto"/>
                <w:kern w:val="10"/>
                <w:sz w:val="21"/>
                <w:szCs w:val="21"/>
              </w:rPr>
            </w:pPr>
            <w:r>
              <w:rPr>
                <w:rFonts w:hint="eastAsia" w:ascii="宋体" w:hAnsi="宋体"/>
                <w:color w:val="auto"/>
                <w:kern w:val="10"/>
                <w:sz w:val="21"/>
                <w:szCs w:val="21"/>
              </w:rPr>
              <w:t>1</w:t>
            </w:r>
          </w:p>
        </w:tc>
        <w:tc>
          <w:tcPr>
            <w:tcW w:w="1515" w:type="dxa"/>
            <w:vMerge w:val="restart"/>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境界尺寸</w:t>
            </w:r>
          </w:p>
        </w:tc>
        <w:tc>
          <w:tcPr>
            <w:tcW w:w="1215"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顶部</w:t>
            </w:r>
          </w:p>
        </w:tc>
        <w:tc>
          <w:tcPr>
            <w:tcW w:w="2203"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1516" w:type="dxa"/>
            <w:vAlign w:val="center"/>
          </w:tcPr>
          <w:p>
            <w:pPr>
              <w:spacing w:line="240" w:lineRule="exact"/>
              <w:ind w:right="636" w:rightChars="227" w:firstLine="420"/>
              <w:jc w:val="center"/>
              <w:rPr>
                <w:rFonts w:ascii="宋体" w:hAnsi="宋体"/>
                <w:color w:val="auto"/>
                <w:kern w:val="10"/>
                <w:sz w:val="21"/>
                <w:szCs w:val="21"/>
                <w:highlight w:val="yellow"/>
              </w:rPr>
            </w:pPr>
            <w:r>
              <w:rPr>
                <w:rFonts w:hint="eastAsia" w:ascii="宋体" w:hAnsi="宋体"/>
                <w:color w:val="auto"/>
                <w:kern w:val="10"/>
                <w:sz w:val="21"/>
                <w:szCs w:val="21"/>
              </w:rPr>
              <w:t xml:space="preserve">   64</w:t>
            </w:r>
          </w:p>
        </w:tc>
        <w:tc>
          <w:tcPr>
            <w:tcW w:w="1540" w:type="dxa"/>
            <w:vAlign w:val="center"/>
          </w:tcPr>
          <w:p>
            <w:pPr>
              <w:spacing w:line="240" w:lineRule="exact"/>
              <w:ind w:right="636" w:rightChars="227" w:firstLine="420"/>
              <w:jc w:val="center"/>
              <w:rPr>
                <w:rFonts w:ascii="宋体" w:hAnsi="宋体"/>
                <w:color w:val="auto"/>
                <w:kern w:val="10"/>
                <w:sz w:val="21"/>
                <w:szCs w:val="21"/>
                <w:highlight w:val="yellow"/>
              </w:rPr>
            </w:pPr>
            <w:r>
              <w:rPr>
                <w:rFonts w:hint="eastAsia" w:ascii="宋体" w:hAnsi="宋体"/>
                <w:color w:val="auto"/>
                <w:kern w:val="10"/>
                <w:sz w:val="21"/>
                <w:szCs w:val="21"/>
              </w:rPr>
              <w:t xml:space="preserve">  24</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993" w:type="dxa"/>
            <w:vMerge w:val="continue"/>
            <w:vAlign w:val="center"/>
          </w:tcPr>
          <w:p>
            <w:pPr>
              <w:widowControl/>
              <w:spacing w:line="240" w:lineRule="exact"/>
              <w:ind w:right="-84" w:rightChars="-30" w:firstLine="420"/>
              <w:jc w:val="center"/>
              <w:rPr>
                <w:rFonts w:ascii="宋体" w:hAnsi="宋体"/>
                <w:color w:val="auto"/>
                <w:kern w:val="10"/>
                <w:sz w:val="21"/>
                <w:szCs w:val="21"/>
              </w:rPr>
            </w:pPr>
          </w:p>
        </w:tc>
        <w:tc>
          <w:tcPr>
            <w:tcW w:w="1515" w:type="dxa"/>
            <w:vMerge w:val="continue"/>
            <w:vAlign w:val="center"/>
          </w:tcPr>
          <w:p>
            <w:pPr>
              <w:widowControl/>
              <w:spacing w:line="240" w:lineRule="exact"/>
              <w:ind w:right="636" w:rightChars="227" w:firstLine="420"/>
              <w:jc w:val="center"/>
              <w:rPr>
                <w:rFonts w:ascii="宋体" w:hAnsi="宋体"/>
                <w:color w:val="auto"/>
                <w:kern w:val="10"/>
                <w:sz w:val="21"/>
                <w:szCs w:val="21"/>
              </w:rPr>
            </w:pPr>
          </w:p>
        </w:tc>
        <w:tc>
          <w:tcPr>
            <w:tcW w:w="1215"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底部</w:t>
            </w:r>
          </w:p>
        </w:tc>
        <w:tc>
          <w:tcPr>
            <w:tcW w:w="2203"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1516"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 xml:space="preserve">   48</w:t>
            </w:r>
          </w:p>
        </w:tc>
        <w:tc>
          <w:tcPr>
            <w:tcW w:w="1540"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 xml:space="preserve">   24</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2</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最高开采标高</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+198</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3</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采矿台阶高度</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10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4</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台阶坡面角</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50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5</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最终边坡角</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40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6</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最大开采高度</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sz w:val="21"/>
                <w:szCs w:val="21"/>
              </w:rPr>
              <w:t>13</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7</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最低开采水平</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+185</w:t>
            </w:r>
          </w:p>
        </w:tc>
      </w:tr>
    </w:tbl>
    <w:p>
      <w:pPr>
        <w:pStyle w:val="17"/>
        <w:ind w:left="-48" w:leftChars="-17" w:firstLine="2165" w:firstLineChars="1027"/>
        <w:rPr>
          <w:rFonts w:hAnsi="宋体"/>
          <w:b/>
          <w:color w:val="auto"/>
          <w:sz w:val="21"/>
        </w:rPr>
      </w:pPr>
      <w:r>
        <w:rPr>
          <w:rFonts w:hAnsi="宋体"/>
          <w:b/>
          <w:color w:val="auto"/>
          <w:sz w:val="21"/>
        </w:rPr>
        <w:t>表</w:t>
      </w:r>
      <w:r>
        <w:rPr>
          <w:rFonts w:hint="eastAsia" w:hAnsi="宋体"/>
          <w:b/>
          <w:color w:val="auto"/>
          <w:sz w:val="21"/>
        </w:rPr>
        <w:t xml:space="preserve">2-11        </w:t>
      </w:r>
      <w:r>
        <w:rPr>
          <w:rFonts w:hAnsi="宋体"/>
          <w:b/>
          <w:color w:val="auto"/>
          <w:sz w:val="21"/>
        </w:rPr>
        <w:fldChar w:fldCharType="begin"/>
      </w:r>
      <w:r>
        <w:rPr>
          <w:rFonts w:hint="eastAsia" w:hAnsi="宋体"/>
          <w:b/>
          <w:color w:val="auto"/>
          <w:sz w:val="21"/>
        </w:rPr>
        <w:instrText xml:space="preserve">= 1 \* ROMAN</w:instrText>
      </w:r>
      <w:r>
        <w:rPr>
          <w:rFonts w:hAnsi="宋体"/>
          <w:b/>
          <w:color w:val="auto"/>
          <w:sz w:val="21"/>
        </w:rPr>
        <w:fldChar w:fldCharType="separate"/>
      </w:r>
      <w:r>
        <w:rPr>
          <w:rFonts w:hAnsi="宋体"/>
          <w:b/>
          <w:color w:val="auto"/>
          <w:sz w:val="21"/>
        </w:rPr>
        <w:t>I</w:t>
      </w:r>
      <w:r>
        <w:rPr>
          <w:rFonts w:hAnsi="宋体"/>
          <w:b/>
          <w:color w:val="auto"/>
          <w:sz w:val="21"/>
        </w:rPr>
        <w:fldChar w:fldCharType="end"/>
      </w:r>
      <w:r>
        <w:rPr>
          <w:rFonts w:hint="eastAsia" w:hAnsi="宋体"/>
          <w:b/>
          <w:color w:val="auto"/>
          <w:sz w:val="21"/>
        </w:rPr>
        <w:t>号矿体南区</w:t>
      </w:r>
      <w:r>
        <w:rPr>
          <w:rFonts w:hAnsi="宋体"/>
          <w:b/>
          <w:color w:val="auto"/>
          <w:sz w:val="21"/>
        </w:rPr>
        <w:t>境界圈定结果表</w:t>
      </w:r>
    </w:p>
    <w:tbl>
      <w:tblPr>
        <w:tblStyle w:val="36"/>
        <w:tblW w:w="8982" w:type="dxa"/>
        <w:jc w:val="center"/>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515"/>
        <w:gridCol w:w="1215"/>
        <w:gridCol w:w="2203"/>
        <w:gridCol w:w="1516"/>
        <w:gridCol w:w="1540"/>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tblHeader/>
          <w:jc w:val="center"/>
        </w:trPr>
        <w:tc>
          <w:tcPr>
            <w:tcW w:w="993" w:type="dxa"/>
            <w:vAlign w:val="center"/>
          </w:tcPr>
          <w:p>
            <w:pPr>
              <w:spacing w:line="240" w:lineRule="exact"/>
              <w:ind w:right="-143" w:rightChars="-51" w:firstLine="422"/>
              <w:jc w:val="center"/>
              <w:rPr>
                <w:rFonts w:ascii="宋体" w:hAnsi="宋体"/>
                <w:b/>
                <w:color w:val="auto"/>
                <w:kern w:val="10"/>
                <w:sz w:val="21"/>
                <w:szCs w:val="21"/>
              </w:rPr>
            </w:pPr>
            <w:r>
              <w:rPr>
                <w:rFonts w:hint="eastAsia" w:ascii="宋体" w:hAnsi="宋体"/>
                <w:b/>
                <w:color w:val="auto"/>
                <w:kern w:val="10"/>
                <w:sz w:val="21"/>
                <w:szCs w:val="21"/>
              </w:rPr>
              <w:t>序号</w:t>
            </w:r>
          </w:p>
        </w:tc>
        <w:tc>
          <w:tcPr>
            <w:tcW w:w="2730" w:type="dxa"/>
            <w:gridSpan w:val="2"/>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参 数 名 称</w:t>
            </w:r>
          </w:p>
        </w:tc>
        <w:tc>
          <w:tcPr>
            <w:tcW w:w="2203" w:type="dxa"/>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单位</w:t>
            </w:r>
          </w:p>
        </w:tc>
        <w:tc>
          <w:tcPr>
            <w:tcW w:w="1516" w:type="dxa"/>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 xml:space="preserve">     长</w:t>
            </w:r>
          </w:p>
        </w:tc>
        <w:tc>
          <w:tcPr>
            <w:tcW w:w="1540" w:type="dxa"/>
            <w:vAlign w:val="center"/>
          </w:tcPr>
          <w:p>
            <w:pPr>
              <w:spacing w:line="240" w:lineRule="exact"/>
              <w:ind w:right="636" w:rightChars="227" w:firstLine="422"/>
              <w:jc w:val="center"/>
              <w:rPr>
                <w:rFonts w:ascii="宋体" w:hAnsi="宋体"/>
                <w:b/>
                <w:color w:val="auto"/>
                <w:kern w:val="10"/>
                <w:sz w:val="21"/>
                <w:szCs w:val="21"/>
              </w:rPr>
            </w:pPr>
            <w:r>
              <w:rPr>
                <w:rFonts w:hint="eastAsia" w:ascii="宋体" w:hAnsi="宋体"/>
                <w:b/>
                <w:color w:val="auto"/>
                <w:kern w:val="10"/>
                <w:sz w:val="21"/>
                <w:szCs w:val="21"/>
              </w:rPr>
              <w:t xml:space="preserve">    宽</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1" w:hRule="atLeast"/>
          <w:jc w:val="center"/>
        </w:trPr>
        <w:tc>
          <w:tcPr>
            <w:tcW w:w="993" w:type="dxa"/>
            <w:vMerge w:val="restart"/>
            <w:vAlign w:val="center"/>
          </w:tcPr>
          <w:p>
            <w:pPr>
              <w:spacing w:line="240" w:lineRule="exact"/>
              <w:ind w:right="-84" w:rightChars="-30" w:firstLine="420"/>
              <w:jc w:val="center"/>
              <w:rPr>
                <w:rFonts w:ascii="宋体" w:hAnsi="宋体"/>
                <w:color w:val="auto"/>
                <w:kern w:val="10"/>
                <w:sz w:val="21"/>
                <w:szCs w:val="21"/>
              </w:rPr>
            </w:pPr>
            <w:r>
              <w:rPr>
                <w:rFonts w:hint="eastAsia" w:ascii="宋体" w:hAnsi="宋体"/>
                <w:color w:val="auto"/>
                <w:kern w:val="10"/>
                <w:sz w:val="21"/>
                <w:szCs w:val="21"/>
              </w:rPr>
              <w:t>1</w:t>
            </w:r>
          </w:p>
        </w:tc>
        <w:tc>
          <w:tcPr>
            <w:tcW w:w="1515" w:type="dxa"/>
            <w:vMerge w:val="restart"/>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境界尺寸</w:t>
            </w:r>
          </w:p>
        </w:tc>
        <w:tc>
          <w:tcPr>
            <w:tcW w:w="1215"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顶部</w:t>
            </w:r>
          </w:p>
        </w:tc>
        <w:tc>
          <w:tcPr>
            <w:tcW w:w="2203"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1516"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 xml:space="preserve">    120</w:t>
            </w:r>
          </w:p>
        </w:tc>
        <w:tc>
          <w:tcPr>
            <w:tcW w:w="1540"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 xml:space="preserve">   48</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993" w:type="dxa"/>
            <w:vMerge w:val="continue"/>
            <w:vAlign w:val="center"/>
          </w:tcPr>
          <w:p>
            <w:pPr>
              <w:widowControl/>
              <w:spacing w:line="240" w:lineRule="exact"/>
              <w:ind w:right="-84" w:rightChars="-30" w:firstLine="420"/>
              <w:jc w:val="center"/>
              <w:rPr>
                <w:rFonts w:ascii="宋体" w:hAnsi="宋体"/>
                <w:color w:val="auto"/>
                <w:kern w:val="10"/>
                <w:sz w:val="21"/>
                <w:szCs w:val="21"/>
                <w:highlight w:val="yellow"/>
              </w:rPr>
            </w:pPr>
          </w:p>
        </w:tc>
        <w:tc>
          <w:tcPr>
            <w:tcW w:w="1515" w:type="dxa"/>
            <w:vMerge w:val="continue"/>
            <w:vAlign w:val="center"/>
          </w:tcPr>
          <w:p>
            <w:pPr>
              <w:widowControl/>
              <w:spacing w:line="240" w:lineRule="exact"/>
              <w:ind w:right="636" w:rightChars="227" w:firstLine="420"/>
              <w:jc w:val="center"/>
              <w:rPr>
                <w:rFonts w:ascii="宋体" w:hAnsi="宋体"/>
                <w:color w:val="auto"/>
                <w:kern w:val="10"/>
                <w:sz w:val="21"/>
                <w:szCs w:val="21"/>
              </w:rPr>
            </w:pPr>
          </w:p>
        </w:tc>
        <w:tc>
          <w:tcPr>
            <w:tcW w:w="1215" w:type="dxa"/>
            <w:vAlign w:val="center"/>
          </w:tcPr>
          <w:p>
            <w:pPr>
              <w:spacing w:line="240" w:lineRule="exact"/>
              <w:ind w:firstLine="420"/>
              <w:jc w:val="center"/>
              <w:rPr>
                <w:rFonts w:ascii="宋体" w:hAnsi="宋体"/>
                <w:color w:val="auto"/>
                <w:kern w:val="10"/>
                <w:sz w:val="21"/>
                <w:szCs w:val="21"/>
              </w:rPr>
            </w:pPr>
            <w:r>
              <w:rPr>
                <w:rFonts w:hint="eastAsia" w:ascii="宋体" w:hAnsi="宋体"/>
                <w:color w:val="auto"/>
                <w:kern w:val="10"/>
                <w:sz w:val="21"/>
                <w:szCs w:val="21"/>
              </w:rPr>
              <w:t>底部</w:t>
            </w:r>
          </w:p>
        </w:tc>
        <w:tc>
          <w:tcPr>
            <w:tcW w:w="2203"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1516"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 xml:space="preserve">    100</w:t>
            </w:r>
          </w:p>
        </w:tc>
        <w:tc>
          <w:tcPr>
            <w:tcW w:w="1540" w:type="dxa"/>
            <w:vAlign w:val="center"/>
          </w:tcPr>
          <w:p>
            <w:pPr>
              <w:spacing w:line="240" w:lineRule="exact"/>
              <w:ind w:right="636" w:rightChars="227" w:firstLine="420"/>
              <w:jc w:val="center"/>
              <w:rPr>
                <w:rFonts w:ascii="宋体" w:hAnsi="宋体"/>
                <w:color w:val="auto"/>
                <w:kern w:val="10"/>
                <w:sz w:val="21"/>
                <w:szCs w:val="21"/>
              </w:rPr>
            </w:pPr>
            <w:r>
              <w:rPr>
                <w:rFonts w:hint="eastAsia" w:ascii="宋体" w:hAnsi="宋体"/>
                <w:color w:val="auto"/>
                <w:kern w:val="10"/>
                <w:sz w:val="21"/>
                <w:szCs w:val="21"/>
              </w:rPr>
              <w:t xml:space="preserve">   24</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2</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最高开采标高</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+248</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3</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采矿台阶高度</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10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4</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台阶坡面角</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50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5</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最终边坡角</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40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3"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6</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最大开采高度</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sz w:val="21"/>
                <w:szCs w:val="21"/>
              </w:rPr>
              <w:t>23</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993" w:type="dxa"/>
            <w:vAlign w:val="center"/>
          </w:tcPr>
          <w:p>
            <w:pPr>
              <w:ind w:right="-84" w:rightChars="-30" w:firstLine="420"/>
              <w:jc w:val="center"/>
              <w:rPr>
                <w:rFonts w:ascii="宋体" w:hAnsi="宋体"/>
                <w:color w:val="auto"/>
                <w:kern w:val="10"/>
                <w:sz w:val="21"/>
                <w:szCs w:val="21"/>
              </w:rPr>
            </w:pPr>
            <w:r>
              <w:rPr>
                <w:rFonts w:hint="eastAsia" w:ascii="宋体" w:hAnsi="宋体"/>
                <w:color w:val="auto"/>
                <w:kern w:val="10"/>
                <w:sz w:val="21"/>
                <w:szCs w:val="21"/>
              </w:rPr>
              <w:t>7</w:t>
            </w:r>
          </w:p>
        </w:tc>
        <w:tc>
          <w:tcPr>
            <w:tcW w:w="2730"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最低开采水平</w:t>
            </w:r>
          </w:p>
        </w:tc>
        <w:tc>
          <w:tcPr>
            <w:tcW w:w="2203" w:type="dxa"/>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m</w:t>
            </w:r>
          </w:p>
        </w:tc>
        <w:tc>
          <w:tcPr>
            <w:tcW w:w="3056" w:type="dxa"/>
            <w:gridSpan w:val="2"/>
            <w:vAlign w:val="center"/>
          </w:tcPr>
          <w:p>
            <w:pPr>
              <w:ind w:right="636" w:rightChars="227" w:firstLine="420"/>
              <w:jc w:val="center"/>
              <w:rPr>
                <w:rFonts w:ascii="宋体" w:hAnsi="宋体"/>
                <w:color w:val="auto"/>
                <w:kern w:val="10"/>
                <w:sz w:val="21"/>
                <w:szCs w:val="21"/>
              </w:rPr>
            </w:pPr>
            <w:r>
              <w:rPr>
                <w:rFonts w:hint="eastAsia" w:ascii="宋体" w:hAnsi="宋体"/>
                <w:color w:val="auto"/>
                <w:kern w:val="10"/>
                <w:sz w:val="21"/>
                <w:szCs w:val="21"/>
              </w:rPr>
              <w:t>+225</w:t>
            </w:r>
          </w:p>
        </w:tc>
      </w:tr>
    </w:tbl>
    <w:p>
      <w:pPr>
        <w:keepNext/>
        <w:keepLines/>
        <w:spacing w:line="360" w:lineRule="auto"/>
        <w:ind w:firstLine="0" w:firstLineChars="0"/>
        <w:outlineLvl w:val="2"/>
        <w:rPr>
          <w:rFonts w:ascii="宋体" w:hAnsi="宋体" w:cs="宋体"/>
          <w:b/>
          <w:color w:val="auto"/>
          <w:kern w:val="0"/>
          <w:szCs w:val="28"/>
        </w:rPr>
      </w:pPr>
      <w:bookmarkStart w:id="83" w:name="_Toc25743246"/>
      <w:bookmarkStart w:id="84" w:name="_Toc3688"/>
      <w:r>
        <w:rPr>
          <w:rFonts w:hint="eastAsia" w:ascii="宋体" w:hAnsi="宋体" w:cs="宋体"/>
          <w:b/>
          <w:color w:val="auto"/>
          <w:kern w:val="0"/>
          <w:szCs w:val="28"/>
        </w:rPr>
        <w:t>2.4.7通风防尘</w:t>
      </w:r>
      <w:bookmarkEnd w:id="83"/>
      <w:bookmarkEnd w:id="84"/>
    </w:p>
    <w:p>
      <w:pPr>
        <w:spacing w:line="360" w:lineRule="auto"/>
        <w:ind w:firstLine="560"/>
        <w:rPr>
          <w:rFonts w:ascii="宋体" w:hAnsi="宋体"/>
          <w:color w:val="auto"/>
          <w:szCs w:val="28"/>
        </w:rPr>
      </w:pPr>
      <w:r>
        <w:rPr>
          <w:rFonts w:hint="eastAsia" w:ascii="宋体" w:hAnsi="宋体"/>
          <w:color w:val="auto"/>
          <w:szCs w:val="28"/>
        </w:rPr>
        <w:t>《三合一方案》未设计。</w:t>
      </w:r>
    </w:p>
    <w:p>
      <w:pPr>
        <w:keepNext/>
        <w:keepLines/>
        <w:spacing w:line="360" w:lineRule="auto"/>
        <w:ind w:firstLine="0" w:firstLineChars="0"/>
        <w:outlineLvl w:val="2"/>
        <w:rPr>
          <w:rFonts w:ascii="宋体" w:hAnsi="宋体" w:cs="宋体"/>
          <w:b/>
          <w:color w:val="auto"/>
          <w:kern w:val="0"/>
          <w:szCs w:val="28"/>
        </w:rPr>
      </w:pPr>
      <w:bookmarkStart w:id="85" w:name="_Toc16801"/>
      <w:r>
        <w:rPr>
          <w:rFonts w:hint="eastAsia" w:ascii="宋体" w:hAnsi="宋体" w:cs="宋体"/>
          <w:b/>
          <w:color w:val="auto"/>
          <w:kern w:val="0"/>
          <w:szCs w:val="28"/>
        </w:rPr>
        <w:t>2.4.8矿山电气</w:t>
      </w:r>
      <w:bookmarkEnd w:id="85"/>
    </w:p>
    <w:p>
      <w:pPr>
        <w:spacing w:line="360" w:lineRule="auto"/>
        <w:ind w:firstLine="560"/>
        <w:rPr>
          <w:rFonts w:ascii="宋体" w:hAnsi="宋体"/>
          <w:color w:val="auto"/>
          <w:szCs w:val="28"/>
        </w:rPr>
      </w:pPr>
      <w:r>
        <w:rPr>
          <w:rFonts w:hint="eastAsia" w:ascii="宋体" w:hAnsi="宋体"/>
          <w:color w:val="auto"/>
          <w:szCs w:val="28"/>
        </w:rPr>
        <w:t>矿山每天工作时间8小时，夜班不作业，矿山不需用电，后期</w:t>
      </w:r>
      <w:r>
        <w:rPr>
          <w:rFonts w:ascii="宋体" w:hAnsi="宋体"/>
          <w:color w:val="auto"/>
          <w:szCs w:val="28"/>
        </w:rPr>
        <w:fldChar w:fldCharType="begin"/>
      </w:r>
      <w:r>
        <w:rPr>
          <w:rFonts w:hint="eastAsia" w:ascii="宋体" w:hAnsi="宋体"/>
          <w:color w:val="auto"/>
          <w:szCs w:val="28"/>
        </w:rPr>
        <w:instrText xml:space="preserve">= 1 \* ROMAN</w:instrText>
      </w:r>
      <w:r>
        <w:rPr>
          <w:rFonts w:ascii="宋体" w:hAnsi="宋体"/>
          <w:color w:val="auto"/>
          <w:szCs w:val="28"/>
        </w:rPr>
        <w:fldChar w:fldCharType="separate"/>
      </w:r>
      <w:r>
        <w:rPr>
          <w:rFonts w:ascii="宋体" w:hAnsi="宋体"/>
          <w:color w:val="auto"/>
          <w:szCs w:val="28"/>
        </w:rPr>
        <w:t>I</w:t>
      </w:r>
      <w:r>
        <w:rPr>
          <w:rFonts w:ascii="宋体" w:hAnsi="宋体"/>
          <w:color w:val="auto"/>
          <w:szCs w:val="28"/>
        </w:rPr>
        <w:fldChar w:fldCharType="end"/>
      </w:r>
      <w:r>
        <w:rPr>
          <w:rFonts w:hint="eastAsia" w:ascii="宋体" w:hAnsi="宋体"/>
          <w:color w:val="auto"/>
          <w:szCs w:val="28"/>
        </w:rPr>
        <w:t>号矿体中采区转入凹陷开采后可购买一台柴油机带动水泵作业，本矿不需外接电源。</w:t>
      </w:r>
    </w:p>
    <w:p>
      <w:pPr>
        <w:keepNext/>
        <w:keepLines/>
        <w:spacing w:line="360" w:lineRule="auto"/>
        <w:ind w:firstLine="0" w:firstLineChars="0"/>
        <w:outlineLvl w:val="2"/>
        <w:rPr>
          <w:rFonts w:ascii="宋体" w:hAnsi="宋体" w:cs="宋体"/>
          <w:b/>
          <w:color w:val="auto"/>
          <w:kern w:val="0"/>
          <w:szCs w:val="28"/>
        </w:rPr>
      </w:pPr>
      <w:bookmarkStart w:id="86" w:name="_Toc13452"/>
      <w:r>
        <w:rPr>
          <w:rFonts w:hint="eastAsia" w:ascii="宋体" w:hAnsi="宋体" w:cs="宋体"/>
          <w:b/>
          <w:color w:val="auto"/>
          <w:kern w:val="0"/>
          <w:szCs w:val="28"/>
        </w:rPr>
        <w:t>2.4.9防排水</w:t>
      </w:r>
      <w:bookmarkEnd w:id="86"/>
    </w:p>
    <w:p>
      <w:pPr>
        <w:spacing w:line="360" w:lineRule="auto"/>
        <w:ind w:left="280" w:leftChars="100" w:firstLine="560"/>
        <w:rPr>
          <w:rFonts w:ascii="宋体" w:hAnsi="宋体"/>
          <w:color w:val="auto"/>
          <w:szCs w:val="28"/>
        </w:rPr>
      </w:pPr>
      <w:r>
        <w:rPr>
          <w:rFonts w:hint="eastAsia" w:ascii="宋体" w:hAnsi="宋体"/>
          <w:color w:val="auto"/>
          <w:szCs w:val="28"/>
        </w:rPr>
        <w:t>1）截排水沟</w:t>
      </w:r>
    </w:p>
    <w:p>
      <w:pPr>
        <w:spacing w:line="360" w:lineRule="auto"/>
        <w:ind w:left="280" w:leftChars="100" w:firstLine="560"/>
        <w:rPr>
          <w:rFonts w:ascii="宋体" w:hAnsi="宋体"/>
          <w:color w:val="auto"/>
          <w:szCs w:val="28"/>
        </w:rPr>
      </w:pPr>
      <w:r>
        <w:rPr>
          <w:rFonts w:hint="eastAsia" w:ascii="宋体" w:hAnsi="宋体"/>
          <w:color w:val="auto"/>
          <w:szCs w:val="28"/>
        </w:rPr>
        <w:t>在每个露天采场周边设置</w:t>
      </w:r>
      <w:r>
        <w:rPr>
          <w:rFonts w:ascii="宋体" w:hAnsi="宋体"/>
          <w:color w:val="auto"/>
          <w:szCs w:val="28"/>
        </w:rPr>
        <w:t>底宽0.5m，深0.6m，上宽1.1m</w:t>
      </w:r>
      <w:r>
        <w:rPr>
          <w:rFonts w:hint="eastAsia" w:ascii="宋体" w:hAnsi="宋体"/>
          <w:color w:val="auto"/>
          <w:szCs w:val="28"/>
        </w:rPr>
        <w:t>倒梯形截排水沟，防止大气降雨洪水流入采场，采场边坡设置宽×深=0.3m×0.3m排水沟,采场排水沟未端设置二级长×宽×深=3m×3m×0.5m壁厚250mm浆砌石沉淀池。</w:t>
      </w:r>
    </w:p>
    <w:p>
      <w:pPr>
        <w:spacing w:line="360" w:lineRule="auto"/>
        <w:ind w:left="280" w:leftChars="100" w:firstLine="560"/>
        <w:rPr>
          <w:rFonts w:ascii="宋体" w:hAnsi="宋体"/>
          <w:color w:val="auto"/>
          <w:szCs w:val="28"/>
        </w:rPr>
      </w:pPr>
      <w:r>
        <w:rPr>
          <w:rFonts w:hint="eastAsia" w:ascii="宋体" w:hAnsi="宋体"/>
          <w:color w:val="auto"/>
          <w:szCs w:val="28"/>
        </w:rPr>
        <w:t>2）排水泵</w:t>
      </w:r>
    </w:p>
    <w:p>
      <w:pPr>
        <w:spacing w:line="360" w:lineRule="auto"/>
        <w:ind w:left="280" w:leftChars="100" w:firstLine="560"/>
        <w:rPr>
          <w:rFonts w:ascii="宋体" w:hAnsi="宋体"/>
          <w:color w:val="auto"/>
          <w:szCs w:val="28"/>
        </w:rPr>
      </w:pPr>
      <w:r>
        <w:rPr>
          <w:rFonts w:ascii="宋体" w:hAnsi="宋体"/>
          <w:color w:val="auto"/>
          <w:szCs w:val="28"/>
        </w:rPr>
        <w:fldChar w:fldCharType="begin"/>
      </w:r>
      <w:r>
        <w:rPr>
          <w:rFonts w:hint="eastAsia" w:ascii="宋体" w:hAnsi="宋体"/>
          <w:color w:val="auto"/>
          <w:szCs w:val="28"/>
        </w:rPr>
        <w:instrText xml:space="preserve">= 1 \* ROMAN</w:instrText>
      </w:r>
      <w:r>
        <w:rPr>
          <w:rFonts w:ascii="宋体" w:hAnsi="宋体"/>
          <w:color w:val="auto"/>
          <w:szCs w:val="28"/>
        </w:rPr>
        <w:fldChar w:fldCharType="separate"/>
      </w:r>
      <w:r>
        <w:rPr>
          <w:rFonts w:ascii="宋体" w:hAnsi="宋体"/>
          <w:color w:val="auto"/>
          <w:szCs w:val="28"/>
        </w:rPr>
        <w:t>I</w:t>
      </w:r>
      <w:r>
        <w:rPr>
          <w:rFonts w:ascii="宋体" w:hAnsi="宋体"/>
          <w:color w:val="auto"/>
          <w:szCs w:val="28"/>
        </w:rPr>
        <w:fldChar w:fldCharType="end"/>
      </w:r>
      <w:r>
        <w:rPr>
          <w:rFonts w:hint="eastAsia" w:ascii="宋体" w:hAnsi="宋体"/>
          <w:color w:val="auto"/>
          <w:szCs w:val="28"/>
        </w:rPr>
        <w:t>矿体中区采场转入凹陷开采后，在采场内设置排水泵，将场内积水排至采场外。</w:t>
      </w:r>
    </w:p>
    <w:p>
      <w:pPr>
        <w:keepNext/>
        <w:keepLines/>
        <w:spacing w:line="360" w:lineRule="auto"/>
        <w:ind w:firstLine="0" w:firstLineChars="0"/>
        <w:outlineLvl w:val="2"/>
        <w:rPr>
          <w:rFonts w:ascii="宋体" w:hAnsi="宋体" w:cs="宋体"/>
          <w:b/>
          <w:color w:val="auto"/>
          <w:kern w:val="0"/>
          <w:szCs w:val="28"/>
        </w:rPr>
      </w:pPr>
      <w:bookmarkStart w:id="87" w:name="_Toc23669"/>
      <w:bookmarkStart w:id="88" w:name="_Toc38398934"/>
      <w:r>
        <w:rPr>
          <w:rFonts w:hint="eastAsia" w:ascii="宋体" w:hAnsi="宋体" w:cs="宋体"/>
          <w:b/>
          <w:color w:val="auto"/>
          <w:kern w:val="0"/>
          <w:szCs w:val="28"/>
        </w:rPr>
        <w:t>2.4.10 排土场</w:t>
      </w:r>
      <w:bookmarkEnd w:id="87"/>
      <w:bookmarkEnd w:id="88"/>
    </w:p>
    <w:p>
      <w:pPr>
        <w:spacing w:line="360" w:lineRule="auto"/>
        <w:ind w:firstLine="560"/>
        <w:rPr>
          <w:color w:val="auto"/>
        </w:rPr>
      </w:pPr>
      <w:r>
        <w:rPr>
          <w:rFonts w:hint="eastAsia"/>
          <w:color w:val="auto"/>
        </w:rPr>
        <w:t>矿山剥离表总量68.4万吨,剥离土用于矿山场地平整、道路修建、矿山覆土覆绿需要，矿山不设排土场。</w:t>
      </w:r>
    </w:p>
    <w:p>
      <w:pPr>
        <w:keepNext/>
        <w:keepLines/>
        <w:spacing w:line="360" w:lineRule="auto"/>
        <w:ind w:firstLine="0" w:firstLineChars="0"/>
        <w:outlineLvl w:val="2"/>
        <w:rPr>
          <w:rFonts w:ascii="宋体" w:hAnsi="宋体" w:cs="宋体"/>
          <w:b/>
          <w:color w:val="auto"/>
          <w:kern w:val="0"/>
          <w:szCs w:val="28"/>
        </w:rPr>
      </w:pPr>
      <w:bookmarkStart w:id="89" w:name="_Toc12136"/>
      <w:r>
        <w:rPr>
          <w:rFonts w:hint="eastAsia" w:ascii="宋体" w:hAnsi="宋体" w:cs="宋体"/>
          <w:b/>
          <w:color w:val="auto"/>
          <w:kern w:val="0"/>
          <w:szCs w:val="28"/>
        </w:rPr>
        <w:t>2.4.11安全管理及其他</w:t>
      </w:r>
      <w:bookmarkEnd w:id="89"/>
    </w:p>
    <w:p>
      <w:pPr>
        <w:spacing w:line="360" w:lineRule="auto"/>
        <w:ind w:firstLine="560"/>
        <w:rPr>
          <w:rFonts w:ascii="宋体" w:hAnsi="宋体"/>
          <w:color w:val="auto"/>
          <w:szCs w:val="28"/>
        </w:rPr>
      </w:pPr>
      <w:r>
        <w:rPr>
          <w:rFonts w:hint="eastAsia" w:ascii="宋体" w:hAnsi="宋体"/>
          <w:color w:val="auto"/>
          <w:szCs w:val="28"/>
        </w:rPr>
        <w:t>1）劳动组织及定员</w:t>
      </w:r>
    </w:p>
    <w:p>
      <w:pPr>
        <w:spacing w:line="360" w:lineRule="auto"/>
        <w:ind w:firstLine="560"/>
        <w:rPr>
          <w:rFonts w:ascii="宋体" w:hAnsi="宋体"/>
          <w:color w:val="auto"/>
          <w:szCs w:val="28"/>
        </w:rPr>
      </w:pPr>
      <w:r>
        <w:rPr>
          <w:rFonts w:hint="eastAsia" w:ascii="宋体" w:hAnsi="宋体"/>
          <w:color w:val="auto"/>
        </w:rPr>
        <w:t>组织机构：矿山设矿本部，</w:t>
      </w:r>
      <w:r>
        <w:rPr>
          <w:rFonts w:ascii="宋体" w:hAnsi="宋体"/>
          <w:color w:val="auto"/>
          <w:szCs w:val="28"/>
        </w:rPr>
        <w:t>实行</w:t>
      </w:r>
      <w:r>
        <w:rPr>
          <w:rFonts w:hint="eastAsia" w:ascii="宋体" w:hAnsi="宋体"/>
          <w:color w:val="auto"/>
          <w:szCs w:val="28"/>
        </w:rPr>
        <w:t>矿长</w:t>
      </w:r>
      <w:r>
        <w:rPr>
          <w:rFonts w:ascii="宋体" w:hAnsi="宋体"/>
          <w:color w:val="auto"/>
          <w:szCs w:val="28"/>
        </w:rPr>
        <w:t>负责制，下设生产</w:t>
      </w:r>
      <w:r>
        <w:rPr>
          <w:rFonts w:hint="eastAsia" w:ascii="宋体" w:hAnsi="宋体"/>
          <w:color w:val="auto"/>
          <w:szCs w:val="28"/>
        </w:rPr>
        <w:t>组</w:t>
      </w:r>
      <w:r>
        <w:rPr>
          <w:rFonts w:ascii="宋体" w:hAnsi="宋体"/>
          <w:color w:val="auto"/>
          <w:szCs w:val="28"/>
        </w:rPr>
        <w:t>、供销</w:t>
      </w:r>
      <w:r>
        <w:rPr>
          <w:rFonts w:hint="eastAsia" w:ascii="宋体" w:hAnsi="宋体"/>
          <w:color w:val="auto"/>
          <w:szCs w:val="28"/>
        </w:rPr>
        <w:t>室</w:t>
      </w:r>
      <w:r>
        <w:rPr>
          <w:rFonts w:ascii="宋体" w:hAnsi="宋体"/>
          <w:color w:val="auto"/>
          <w:szCs w:val="28"/>
        </w:rPr>
        <w:t>、财务</w:t>
      </w:r>
      <w:r>
        <w:rPr>
          <w:rFonts w:hint="eastAsia" w:ascii="宋体" w:hAnsi="宋体"/>
          <w:color w:val="auto"/>
          <w:szCs w:val="28"/>
        </w:rPr>
        <w:t>室</w:t>
      </w:r>
      <w:r>
        <w:rPr>
          <w:rFonts w:ascii="宋体" w:hAnsi="宋体"/>
          <w:color w:val="auto"/>
          <w:szCs w:val="28"/>
        </w:rPr>
        <w:t>。机构设置如下：</w:t>
      </w:r>
    </w:p>
    <w:p>
      <w:pPr>
        <w:spacing w:line="600" w:lineRule="exact"/>
        <w:ind w:firstLine="3122" w:firstLineChars="1115"/>
        <w:rPr>
          <w:rFonts w:ascii="宋体" w:hAnsi="宋体"/>
          <w:color w:val="auto"/>
          <w:szCs w:val="28"/>
        </w:rPr>
      </w:pPr>
      <w:r>
        <w:rPr>
          <w:rFonts w:ascii="宋体" w:hAnsi="宋体"/>
          <w:color w:val="auto"/>
          <w:szCs w:val="28"/>
        </w:rPr>
        <mc:AlternateContent>
          <mc:Choice Requires="wps">
            <w:drawing>
              <wp:anchor distT="0" distB="0" distL="114300" distR="114300" simplePos="0" relativeHeight="251667456" behindDoc="0" locked="0" layoutInCell="1" allowOverlap="1">
                <wp:simplePos x="0" y="0"/>
                <wp:positionH relativeFrom="column">
                  <wp:posOffset>1407160</wp:posOffset>
                </wp:positionH>
                <wp:positionV relativeFrom="paragraph">
                  <wp:posOffset>274320</wp:posOffset>
                </wp:positionV>
                <wp:extent cx="571500" cy="0"/>
                <wp:effectExtent l="0" t="0" r="0" b="0"/>
                <wp:wrapNone/>
                <wp:docPr id="5" name="Line 925"/>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25" o:spid="_x0000_s1026" o:spt="20" style="position:absolute;left:0pt;margin-left:110.8pt;margin-top:21.6pt;height:0pt;width:45pt;z-index:251667456;mso-width-relative:page;mso-height-relative:page;" filled="f" stroked="t" coordsize="21600,21600" o:gfxdata="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cMeb1QAAAAkBAAAPAAAAAAAAAAEAIAAAACIAAABkcnMvZG93bnJldi54bWxQ&#10;SwECFAAUAAAACACHTuJAKkNfsMEBAACMAwAADgAAAAAAAAABACAAAAAkAQAAZHJzL2Uyb0RvYy54&#10;bWxQSwUGAAAAAAYABgBZAQAAVwUAAAAA&#10;">
                <v:fill on="f" focussize="0,0"/>
                <v:stroke color="#000000" joinstyle="round"/>
                <v:imagedata o:title=""/>
                <o:lock v:ext="edit" aspectratio="f"/>
              </v:line>
            </w:pict>
          </mc:Fallback>
        </mc:AlternateContent>
      </w:r>
      <w:r>
        <w:rPr>
          <w:rFonts w:ascii="宋体" w:hAnsi="宋体"/>
          <w:color w:val="auto"/>
          <w:szCs w:val="28"/>
        </w:rPr>
        <mc:AlternateContent>
          <mc:Choice Requires="wps">
            <w:drawing>
              <wp:anchor distT="0" distB="0" distL="114300" distR="114300" simplePos="0" relativeHeight="251668480" behindDoc="0" locked="0" layoutInCell="1" allowOverlap="1">
                <wp:simplePos x="0" y="0"/>
                <wp:positionH relativeFrom="column">
                  <wp:posOffset>1407160</wp:posOffset>
                </wp:positionH>
                <wp:positionV relativeFrom="paragraph">
                  <wp:posOffset>274320</wp:posOffset>
                </wp:positionV>
                <wp:extent cx="635" cy="1485900"/>
                <wp:effectExtent l="4445" t="0" r="10160" b="7620"/>
                <wp:wrapNone/>
                <wp:docPr id="6" name="Line 926"/>
                <wp:cNvGraphicFramePr/>
                <a:graphic xmlns:a="http://schemas.openxmlformats.org/drawingml/2006/main">
                  <a:graphicData uri="http://schemas.microsoft.com/office/word/2010/wordprocessingShape">
                    <wps:wsp>
                      <wps:cNvCnPr/>
                      <wps:spPr>
                        <a:xfrm>
                          <a:off x="0" y="0"/>
                          <a:ext cx="635" cy="14859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26" o:spid="_x0000_s1026" o:spt="20" style="position:absolute;left:0pt;margin-left:110.8pt;margin-top:21.6pt;height:117pt;width:0.05pt;z-index:251668480;mso-width-relative:page;mso-height-relative:page;" filled="f" stroked="t" coordsize="21600,21600" o:gfxdata="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4a83tcAAAAKAQAADwAAAAAAAAABACAAAAAiAAAAZHJzL2Rvd25y&#10;ZXYueG1sUEsBAhQAFAAAAAgAh07iQAzcAULGAQAAjwMAAA4AAAAAAAAAAQAgAAAAJgEAAGRycy9l&#10;Mm9Eb2MueG1sUEsFBgAAAAAGAAYAWQEAAF4FAAAAAA==&#10;">
                <v:fill on="f" focussize="0,0"/>
                <v:stroke color="#000000" joinstyle="round"/>
                <v:imagedata o:title=""/>
                <o:lock v:ext="edit" aspectratio="f"/>
              </v:line>
            </w:pict>
          </mc:Fallback>
        </mc:AlternateContent>
      </w:r>
      <w:r>
        <w:rPr>
          <w:rFonts w:ascii="宋体" w:hAnsi="宋体"/>
          <w:color w:val="auto"/>
          <w:szCs w:val="28"/>
          <w:bdr w:val="single" w:color="auto" w:sz="4" w:space="0"/>
        </w:rPr>
        <w:t>财务</w:t>
      </w:r>
      <w:r>
        <w:rPr>
          <w:rFonts w:hint="eastAsia" w:ascii="宋体" w:hAnsi="宋体"/>
          <w:color w:val="auto"/>
          <w:szCs w:val="28"/>
          <w:bdr w:val="single" w:color="auto" w:sz="4" w:space="0"/>
        </w:rPr>
        <w:t>室</w:t>
      </w:r>
    </w:p>
    <w:p>
      <w:pPr>
        <w:spacing w:line="600" w:lineRule="exact"/>
        <w:ind w:firstLine="560"/>
        <w:jc w:val="center"/>
        <w:rPr>
          <w:rFonts w:eastAsia="仿宋_GB2312"/>
          <w:color w:val="auto"/>
          <w:szCs w:val="28"/>
        </w:rPr>
      </w:pPr>
    </w:p>
    <w:p>
      <w:pPr>
        <w:spacing w:line="600" w:lineRule="exact"/>
        <w:ind w:firstLine="560"/>
        <w:rPr>
          <w:rFonts w:eastAsia="仿宋_GB2312"/>
          <w:color w:val="auto"/>
          <w:szCs w:val="28"/>
        </w:rPr>
      </w:pPr>
      <w:r>
        <w:rPr>
          <w:rFonts w:ascii="宋体" w:hAnsi="宋体"/>
          <w:color w:val="auto"/>
          <w:szCs w:val="28"/>
        </w:rPr>
        <mc:AlternateContent>
          <mc:Choice Requires="wps">
            <w:drawing>
              <wp:anchor distT="0" distB="0" distL="114300" distR="114300" simplePos="0" relativeHeight="251670528" behindDoc="0" locked="0" layoutInCell="1" allowOverlap="1">
                <wp:simplePos x="0" y="0"/>
                <wp:positionH relativeFrom="column">
                  <wp:posOffset>2886075</wp:posOffset>
                </wp:positionH>
                <wp:positionV relativeFrom="paragraph">
                  <wp:posOffset>232410</wp:posOffset>
                </wp:positionV>
                <wp:extent cx="630555" cy="0"/>
                <wp:effectExtent l="0" t="0" r="0" b="0"/>
                <wp:wrapNone/>
                <wp:docPr id="8" name="Line 928"/>
                <wp:cNvGraphicFramePr/>
                <a:graphic xmlns:a="http://schemas.openxmlformats.org/drawingml/2006/main">
                  <a:graphicData uri="http://schemas.microsoft.com/office/word/2010/wordprocessingShape">
                    <wps:wsp>
                      <wps:cNvCnPr/>
                      <wps:spPr>
                        <a:xfrm>
                          <a:off x="0" y="0"/>
                          <a:ext cx="63055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28" o:spid="_x0000_s1026" o:spt="20" style="position:absolute;left:0pt;margin-left:227.25pt;margin-top:18.3pt;height:0pt;width:49.65pt;z-index:251670528;mso-width-relative:page;mso-height-relative:page;" filled="f" stroked="t" coordsize="21600,21600" o:gfxdata="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6S6ZdYAAAAJAQAADwAAAAAAAAABACAAAAAiAAAAZHJzL2Rvd25yZXYueG1s&#10;UEsBAhQAFAAAAAgAh07iQK4A5W3BAQAAjAMAAA4AAAAAAAAAAQAgAAAAJQEAAGRycy9lMm9Eb2Mu&#10;eG1sUEsFBgAAAAAGAAYAWQEAAFgFAAAAAA==&#10;">
                <v:fill on="f" focussize="0,0"/>
                <v:stroke color="#000000" joinstyle="round"/>
                <v:imagedata o:title=""/>
                <o:lock v:ext="edit" aspectratio="f"/>
              </v:line>
            </w:pict>
          </mc:Fallback>
        </mc:AlternateContent>
      </w:r>
      <w:r>
        <w:rPr>
          <w:rFonts w:ascii="宋体" w:hAnsi="宋体"/>
          <w:color w:val="auto"/>
          <w:szCs w:val="28"/>
        </w:rPr>
        <mc:AlternateContent>
          <mc:Choice Requires="wps">
            <w:drawing>
              <wp:anchor distT="0" distB="0" distL="114300" distR="114300" simplePos="0" relativeHeight="251671552" behindDoc="0" locked="0" layoutInCell="1" allowOverlap="1">
                <wp:simplePos x="0" y="0"/>
                <wp:positionH relativeFrom="column">
                  <wp:posOffset>835660</wp:posOffset>
                </wp:positionH>
                <wp:positionV relativeFrom="paragraph">
                  <wp:posOffset>238760</wp:posOffset>
                </wp:positionV>
                <wp:extent cx="1136650" cy="0"/>
                <wp:effectExtent l="0" t="0" r="0" b="0"/>
                <wp:wrapNone/>
                <wp:docPr id="9" name="Line 929"/>
                <wp:cNvGraphicFramePr/>
                <a:graphic xmlns:a="http://schemas.openxmlformats.org/drawingml/2006/main">
                  <a:graphicData uri="http://schemas.microsoft.com/office/word/2010/wordprocessingShape">
                    <wps:wsp>
                      <wps:cNvCnPr/>
                      <wps:spPr>
                        <a:xfrm>
                          <a:off x="0" y="0"/>
                          <a:ext cx="11366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29" o:spid="_x0000_s1026" o:spt="20" style="position:absolute;left:0pt;margin-left:65.8pt;margin-top:18.8pt;height:0pt;width:89.5pt;z-index:251671552;mso-width-relative:page;mso-height-relative:page;" filled="f" stroked="t" coordsize="21600,21600" o:gfxdata="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5gJ0NUAAAAJAQAADwAAAAAAAAABACAAAAAiAAAAZHJzL2Rvd25yZXYueG1s&#10;UEsBAhQAFAAAAAgAh07iQAkCW63CAQAAjQMAAA4AAAAAAAAAAQAgAAAAJAEAAGRycy9lMm9Eb2Mu&#10;eG1sUEsFBgAAAAAGAAYAWQEAAFgFAAAAAA==&#10;">
                <v:fill on="f" focussize="0,0"/>
                <v:stroke color="#000000" joinstyle="round"/>
                <v:imagedata o:title=""/>
                <o:lock v:ext="edit" aspectratio="f"/>
              </v:line>
            </w:pict>
          </mc:Fallback>
        </mc:AlternateContent>
      </w:r>
      <w:r>
        <w:rPr>
          <w:rFonts w:hint="eastAsia" w:ascii="宋体" w:hAnsi="宋体"/>
          <w:color w:val="auto"/>
          <w:szCs w:val="28"/>
          <w:bdr w:val="single" w:color="auto" w:sz="4" w:space="0"/>
        </w:rPr>
        <w:t>矿 长</w:t>
      </w:r>
      <w:r>
        <w:rPr>
          <w:rFonts w:hint="eastAsia" w:eastAsia="仿宋_GB2312"/>
          <w:color w:val="auto"/>
          <w:szCs w:val="28"/>
        </w:rPr>
        <w:t xml:space="preserve">             </w:t>
      </w:r>
      <w:r>
        <w:rPr>
          <w:rFonts w:hint="eastAsia" w:ascii="宋体" w:hAnsi="宋体"/>
          <w:color w:val="auto"/>
          <w:szCs w:val="28"/>
          <w:bdr w:val="single" w:color="auto" w:sz="4" w:space="0"/>
        </w:rPr>
        <w:t>安全</w:t>
      </w:r>
      <w:r>
        <w:rPr>
          <w:rFonts w:ascii="宋体" w:hAnsi="宋体"/>
          <w:color w:val="auto"/>
          <w:szCs w:val="28"/>
          <w:bdr w:val="single" w:color="auto" w:sz="4" w:space="0"/>
        </w:rPr>
        <w:t>生产</w:t>
      </w:r>
      <w:r>
        <w:rPr>
          <w:rFonts w:hint="eastAsia" w:ascii="宋体" w:hAnsi="宋体"/>
          <w:color w:val="auto"/>
          <w:szCs w:val="28"/>
          <w:bdr w:val="single" w:color="auto" w:sz="4" w:space="0"/>
        </w:rPr>
        <w:t>组</w:t>
      </w:r>
      <w:r>
        <w:rPr>
          <w:rFonts w:eastAsia="仿宋_GB2312"/>
          <w:color w:val="auto"/>
          <w:szCs w:val="28"/>
        </w:rPr>
        <w:t xml:space="preserve">       </w:t>
      </w:r>
      <w:r>
        <w:rPr>
          <w:rFonts w:ascii="宋体" w:hAnsi="宋体"/>
          <w:color w:val="auto"/>
          <w:szCs w:val="28"/>
          <w:bdr w:val="single" w:color="auto" w:sz="4" w:space="0"/>
        </w:rPr>
        <w:t>采场</w:t>
      </w:r>
    </w:p>
    <w:p>
      <w:pPr>
        <w:spacing w:line="600" w:lineRule="exact"/>
        <w:ind w:firstLine="3164" w:firstLineChars="1130"/>
        <w:rPr>
          <w:rFonts w:eastAsia="仿宋_GB2312"/>
          <w:color w:val="auto"/>
          <w:szCs w:val="28"/>
          <w:bdr w:val="single" w:color="auto" w:sz="4" w:space="0"/>
        </w:rPr>
      </w:pPr>
    </w:p>
    <w:p>
      <w:pPr>
        <w:spacing w:line="600" w:lineRule="exact"/>
        <w:ind w:firstLine="3164" w:firstLineChars="1130"/>
        <w:rPr>
          <w:rFonts w:ascii="宋体" w:hAnsi="宋体"/>
          <w:color w:val="auto"/>
          <w:szCs w:val="28"/>
        </w:rPr>
      </w:pPr>
      <w:r>
        <w:rPr>
          <w:rFonts w:ascii="宋体" w:hAnsi="宋体"/>
          <w:color w:val="auto"/>
          <w:szCs w:val="28"/>
        </w:rPr>
        <mc:AlternateContent>
          <mc:Choice Requires="wps">
            <w:drawing>
              <wp:anchor distT="0" distB="0" distL="114300" distR="114300" simplePos="0" relativeHeight="251669504" behindDoc="0" locked="0" layoutInCell="1" allowOverlap="1">
                <wp:simplePos x="0" y="0"/>
                <wp:positionH relativeFrom="column">
                  <wp:posOffset>1407160</wp:posOffset>
                </wp:positionH>
                <wp:positionV relativeFrom="paragraph">
                  <wp:posOffset>236220</wp:posOffset>
                </wp:positionV>
                <wp:extent cx="625475" cy="0"/>
                <wp:effectExtent l="0" t="0" r="0" b="0"/>
                <wp:wrapNone/>
                <wp:docPr id="7" name="Line 927"/>
                <wp:cNvGraphicFramePr/>
                <a:graphic xmlns:a="http://schemas.openxmlformats.org/drawingml/2006/main">
                  <a:graphicData uri="http://schemas.microsoft.com/office/word/2010/wordprocessingShape">
                    <wps:wsp>
                      <wps:cNvCnPr/>
                      <wps:spPr>
                        <a:xfrm>
                          <a:off x="0" y="0"/>
                          <a:ext cx="6254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27" o:spid="_x0000_s1026" o:spt="20" style="position:absolute;left:0pt;margin-left:110.8pt;margin-top:18.6pt;height:0pt;width:49.25pt;z-index:251669504;mso-width-relative:page;mso-height-relative:page;" filled="f" stroked="t" coordsize="21600,21600" o:gfxdata="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xmrrLWAAAACQEAAA8AAAAAAAAAAQAgAAAAIgAAAGRycy9kb3ducmV2Lnht&#10;bFBLAQIUABQAAAAIAIdO4kDxde1/wgEAAIwDAAAOAAAAAAAAAAEAIAAAACUBAABkcnMvZTJvRG9j&#10;LnhtbFBLBQYAAAAABgAGAFkBAABZBQAAAAA=&#10;">
                <v:fill on="f" focussize="0,0"/>
                <v:stroke color="#000000" joinstyle="round"/>
                <v:imagedata o:title=""/>
                <o:lock v:ext="edit" aspectratio="f"/>
              </v:line>
            </w:pict>
          </mc:Fallback>
        </mc:AlternateContent>
      </w:r>
      <w:r>
        <w:rPr>
          <w:rFonts w:ascii="宋体" w:hAnsi="宋体"/>
          <w:color w:val="auto"/>
          <w:szCs w:val="28"/>
          <w:bdr w:val="single" w:color="auto" w:sz="4" w:space="0"/>
        </w:rPr>
        <w:t>供销</w:t>
      </w:r>
      <w:r>
        <w:rPr>
          <w:rFonts w:hint="eastAsia" w:ascii="宋体" w:hAnsi="宋体"/>
          <w:color w:val="auto"/>
          <w:szCs w:val="28"/>
          <w:bdr w:val="single" w:color="auto" w:sz="4" w:space="0"/>
        </w:rPr>
        <w:t>室</w:t>
      </w:r>
    </w:p>
    <w:p>
      <w:pPr>
        <w:spacing w:line="360" w:lineRule="auto"/>
        <w:ind w:firstLine="560"/>
        <w:rPr>
          <w:rFonts w:ascii="宋体" w:hAnsi="宋体"/>
          <w:color w:val="auto"/>
          <w:szCs w:val="30"/>
        </w:rPr>
      </w:pPr>
      <w:r>
        <w:rPr>
          <w:rFonts w:hint="eastAsia" w:ascii="宋体" w:hAnsi="宋体"/>
          <w:color w:val="auto"/>
          <w:szCs w:val="30"/>
        </w:rPr>
        <w:t>劳动定员：拟定劳动作业人员为10人，管理人员2人，生产人员8人。</w:t>
      </w:r>
    </w:p>
    <w:p>
      <w:pPr>
        <w:tabs>
          <w:tab w:val="center" w:pos="4535"/>
        </w:tabs>
        <w:spacing w:line="500" w:lineRule="exact"/>
        <w:ind w:firstLine="2017" w:firstLineChars="837"/>
        <w:rPr>
          <w:rFonts w:ascii="宋体" w:hAnsi="宋体"/>
          <w:color w:val="auto"/>
          <w:sz w:val="24"/>
        </w:rPr>
      </w:pPr>
      <w:r>
        <w:rPr>
          <w:rFonts w:hint="eastAsia" w:ascii="宋体" w:hAnsi="宋体"/>
          <w:b/>
          <w:color w:val="auto"/>
          <w:sz w:val="24"/>
        </w:rPr>
        <w:t>表2-12         矿山劳动定员表</w:t>
      </w:r>
      <w:r>
        <w:rPr>
          <w:rFonts w:hint="eastAsia" w:ascii="宋体" w:hAnsi="宋体"/>
          <w:b/>
          <w:color w:val="auto"/>
          <w:sz w:val="24"/>
        </w:rPr>
        <w:tab/>
      </w:r>
    </w:p>
    <w:tbl>
      <w:tblPr>
        <w:tblStyle w:val="36"/>
        <w:tblW w:w="81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2135"/>
        <w:gridCol w:w="2135"/>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blHeader/>
          <w:jc w:val="center"/>
        </w:trPr>
        <w:tc>
          <w:tcPr>
            <w:tcW w:w="2135" w:type="dxa"/>
            <w:vAlign w:val="center"/>
          </w:tcPr>
          <w:p>
            <w:pPr>
              <w:spacing w:line="360" w:lineRule="exact"/>
              <w:ind w:firstLine="482"/>
              <w:jc w:val="center"/>
              <w:rPr>
                <w:rFonts w:ascii="宋体" w:hAnsi="宋体"/>
                <w:b/>
                <w:color w:val="auto"/>
                <w:kern w:val="10"/>
                <w:sz w:val="24"/>
              </w:rPr>
            </w:pPr>
            <w:r>
              <w:rPr>
                <w:rFonts w:hint="eastAsia" w:ascii="宋体" w:hAnsi="宋体"/>
                <w:b/>
                <w:color w:val="auto"/>
                <w:kern w:val="10"/>
                <w:sz w:val="24"/>
              </w:rPr>
              <w:t>序号</w:t>
            </w:r>
          </w:p>
        </w:tc>
        <w:tc>
          <w:tcPr>
            <w:tcW w:w="2135" w:type="dxa"/>
            <w:vAlign w:val="center"/>
          </w:tcPr>
          <w:p>
            <w:pPr>
              <w:spacing w:line="360" w:lineRule="exact"/>
              <w:ind w:firstLine="482"/>
              <w:jc w:val="center"/>
              <w:rPr>
                <w:rFonts w:ascii="宋体" w:hAnsi="宋体"/>
                <w:b/>
                <w:color w:val="auto"/>
                <w:kern w:val="10"/>
                <w:sz w:val="24"/>
              </w:rPr>
            </w:pPr>
            <w:r>
              <w:rPr>
                <w:rFonts w:hint="eastAsia" w:ascii="宋体" w:hAnsi="宋体"/>
                <w:b/>
                <w:color w:val="auto"/>
                <w:kern w:val="10"/>
                <w:sz w:val="24"/>
              </w:rPr>
              <w:t>单位及职别名称</w:t>
            </w:r>
          </w:p>
        </w:tc>
        <w:tc>
          <w:tcPr>
            <w:tcW w:w="2135" w:type="dxa"/>
            <w:vAlign w:val="center"/>
          </w:tcPr>
          <w:p>
            <w:pPr>
              <w:spacing w:line="360" w:lineRule="exact"/>
              <w:ind w:firstLine="482"/>
              <w:jc w:val="center"/>
              <w:rPr>
                <w:rFonts w:ascii="宋体" w:hAnsi="宋体"/>
                <w:b/>
                <w:color w:val="auto"/>
                <w:kern w:val="10"/>
                <w:sz w:val="24"/>
              </w:rPr>
            </w:pPr>
            <w:r>
              <w:rPr>
                <w:rFonts w:hint="eastAsia" w:ascii="宋体" w:hAnsi="宋体"/>
                <w:b/>
                <w:color w:val="auto"/>
                <w:kern w:val="10"/>
                <w:sz w:val="24"/>
              </w:rPr>
              <w:t>数量</w:t>
            </w:r>
          </w:p>
        </w:tc>
        <w:tc>
          <w:tcPr>
            <w:tcW w:w="1735" w:type="dxa"/>
            <w:vAlign w:val="center"/>
          </w:tcPr>
          <w:p>
            <w:pPr>
              <w:spacing w:line="360" w:lineRule="exact"/>
              <w:ind w:firstLine="482"/>
              <w:jc w:val="center"/>
              <w:rPr>
                <w:rFonts w:ascii="宋体" w:hAnsi="宋体"/>
                <w:b/>
                <w:color w:val="auto"/>
                <w:kern w:val="10"/>
                <w:sz w:val="24"/>
              </w:rPr>
            </w:pPr>
            <w:r>
              <w:rPr>
                <w:rFonts w:hint="eastAsia" w:ascii="宋体" w:hAnsi="宋体"/>
                <w:b/>
                <w:color w:val="auto"/>
                <w:kern w:val="1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35" w:type="dxa"/>
            <w:vAlign w:val="center"/>
          </w:tcPr>
          <w:p>
            <w:pPr>
              <w:spacing w:line="360" w:lineRule="exact"/>
              <w:ind w:firstLine="480"/>
              <w:jc w:val="center"/>
              <w:rPr>
                <w:rFonts w:ascii="宋体" w:hAnsi="宋体"/>
                <w:color w:val="auto"/>
                <w:kern w:val="10"/>
                <w:sz w:val="24"/>
              </w:rPr>
            </w:pPr>
            <w:r>
              <w:rPr>
                <w:rFonts w:hint="eastAsia" w:ascii="宋体" w:hAnsi="宋体"/>
                <w:color w:val="auto"/>
                <w:kern w:val="10"/>
                <w:sz w:val="24"/>
              </w:rPr>
              <w:t>1</w:t>
            </w:r>
          </w:p>
        </w:tc>
        <w:tc>
          <w:tcPr>
            <w:tcW w:w="2135" w:type="dxa"/>
            <w:vAlign w:val="center"/>
          </w:tcPr>
          <w:p>
            <w:pPr>
              <w:spacing w:line="360" w:lineRule="exact"/>
              <w:ind w:firstLine="480"/>
              <w:jc w:val="center"/>
              <w:rPr>
                <w:rFonts w:ascii="宋体" w:hAnsi="宋体"/>
                <w:color w:val="auto"/>
                <w:kern w:val="10"/>
                <w:sz w:val="24"/>
              </w:rPr>
            </w:pPr>
            <w:r>
              <w:rPr>
                <w:rFonts w:hint="eastAsia" w:ascii="宋体" w:hAnsi="宋体"/>
                <w:color w:val="auto"/>
                <w:kern w:val="10"/>
                <w:sz w:val="24"/>
              </w:rPr>
              <w:t>挖掘机司机</w:t>
            </w:r>
          </w:p>
        </w:tc>
        <w:tc>
          <w:tcPr>
            <w:tcW w:w="2135" w:type="dxa"/>
            <w:vAlign w:val="center"/>
          </w:tcPr>
          <w:p>
            <w:pPr>
              <w:spacing w:line="360" w:lineRule="exact"/>
              <w:ind w:firstLine="480"/>
              <w:jc w:val="center"/>
              <w:rPr>
                <w:rFonts w:ascii="宋体" w:hAnsi="宋体"/>
                <w:color w:val="auto"/>
                <w:kern w:val="10"/>
                <w:sz w:val="24"/>
              </w:rPr>
            </w:pPr>
            <w:r>
              <w:rPr>
                <w:rFonts w:hint="eastAsia" w:ascii="宋体" w:hAnsi="宋体"/>
                <w:color w:val="auto"/>
                <w:kern w:val="10"/>
                <w:sz w:val="24"/>
              </w:rPr>
              <w:t>2</w:t>
            </w:r>
          </w:p>
        </w:tc>
        <w:tc>
          <w:tcPr>
            <w:tcW w:w="1735" w:type="dxa"/>
            <w:vAlign w:val="center"/>
          </w:tcPr>
          <w:p>
            <w:pPr>
              <w:spacing w:line="360" w:lineRule="exact"/>
              <w:ind w:firstLine="480"/>
              <w:jc w:val="center"/>
              <w:rPr>
                <w:rFonts w:ascii="宋体" w:hAnsi="宋体"/>
                <w:color w:val="auto"/>
                <w:ker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2</w:t>
            </w:r>
          </w:p>
        </w:tc>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汽车司机</w:t>
            </w:r>
          </w:p>
        </w:tc>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3</w:t>
            </w:r>
          </w:p>
        </w:tc>
        <w:tc>
          <w:tcPr>
            <w:tcW w:w="1735" w:type="dxa"/>
            <w:vAlign w:val="center"/>
          </w:tcPr>
          <w:p>
            <w:pPr>
              <w:widowControl/>
              <w:spacing w:line="360" w:lineRule="exact"/>
              <w:ind w:firstLine="480"/>
              <w:jc w:val="center"/>
              <w:rPr>
                <w:rFonts w:ascii="宋体" w:hAnsi="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3</w:t>
            </w:r>
          </w:p>
        </w:tc>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装载机司机</w:t>
            </w:r>
          </w:p>
        </w:tc>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2</w:t>
            </w:r>
          </w:p>
        </w:tc>
        <w:tc>
          <w:tcPr>
            <w:tcW w:w="1735" w:type="dxa"/>
            <w:vAlign w:val="center"/>
          </w:tcPr>
          <w:p>
            <w:pPr>
              <w:widowControl/>
              <w:spacing w:line="360" w:lineRule="exact"/>
              <w:ind w:firstLine="480"/>
              <w:jc w:val="center"/>
              <w:rPr>
                <w:rFonts w:ascii="宋体" w:hAnsi="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4</w:t>
            </w:r>
          </w:p>
        </w:tc>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电工、机修工</w:t>
            </w:r>
          </w:p>
        </w:tc>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1</w:t>
            </w:r>
          </w:p>
        </w:tc>
        <w:tc>
          <w:tcPr>
            <w:tcW w:w="1735" w:type="dxa"/>
            <w:vAlign w:val="center"/>
          </w:tcPr>
          <w:p>
            <w:pPr>
              <w:widowControl/>
              <w:spacing w:line="360" w:lineRule="exact"/>
              <w:ind w:firstLine="480"/>
              <w:jc w:val="center"/>
              <w:rPr>
                <w:rFonts w:ascii="宋体" w:hAnsi="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5</w:t>
            </w:r>
          </w:p>
        </w:tc>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管理及服务人员</w:t>
            </w:r>
          </w:p>
        </w:tc>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2</w:t>
            </w:r>
          </w:p>
        </w:tc>
        <w:tc>
          <w:tcPr>
            <w:tcW w:w="17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包括安全员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合计</w:t>
            </w:r>
          </w:p>
        </w:tc>
        <w:tc>
          <w:tcPr>
            <w:tcW w:w="2135" w:type="dxa"/>
            <w:vAlign w:val="center"/>
          </w:tcPr>
          <w:p>
            <w:pPr>
              <w:widowControl/>
              <w:spacing w:line="360" w:lineRule="exact"/>
              <w:ind w:firstLine="480"/>
              <w:jc w:val="center"/>
              <w:rPr>
                <w:rFonts w:ascii="宋体" w:hAnsi="宋体"/>
                <w:color w:val="auto"/>
                <w:kern w:val="0"/>
                <w:sz w:val="24"/>
              </w:rPr>
            </w:pPr>
          </w:p>
        </w:tc>
        <w:tc>
          <w:tcPr>
            <w:tcW w:w="2135" w:type="dxa"/>
            <w:vAlign w:val="center"/>
          </w:tcPr>
          <w:p>
            <w:pPr>
              <w:widowControl/>
              <w:spacing w:line="360" w:lineRule="exact"/>
              <w:ind w:firstLine="480"/>
              <w:jc w:val="center"/>
              <w:rPr>
                <w:rFonts w:ascii="宋体" w:hAnsi="宋体"/>
                <w:color w:val="auto"/>
                <w:kern w:val="0"/>
                <w:sz w:val="24"/>
              </w:rPr>
            </w:pPr>
            <w:r>
              <w:rPr>
                <w:rFonts w:hint="eastAsia" w:ascii="宋体" w:hAnsi="宋体"/>
                <w:color w:val="auto"/>
                <w:kern w:val="0"/>
                <w:sz w:val="24"/>
              </w:rPr>
              <w:t>10</w:t>
            </w:r>
          </w:p>
        </w:tc>
        <w:tc>
          <w:tcPr>
            <w:tcW w:w="1735" w:type="dxa"/>
            <w:vAlign w:val="center"/>
          </w:tcPr>
          <w:p>
            <w:pPr>
              <w:widowControl/>
              <w:spacing w:line="360" w:lineRule="exact"/>
              <w:ind w:firstLine="480"/>
              <w:jc w:val="center"/>
              <w:rPr>
                <w:rFonts w:ascii="宋体" w:hAnsi="宋体"/>
                <w:color w:val="auto"/>
                <w:kern w:val="0"/>
                <w:sz w:val="24"/>
              </w:rPr>
            </w:pPr>
          </w:p>
        </w:tc>
      </w:tr>
    </w:tbl>
    <w:p>
      <w:pPr>
        <w:pStyle w:val="2"/>
        <w:ind w:left="560"/>
        <w:rPr>
          <w:color w:val="auto"/>
        </w:rPr>
      </w:pPr>
    </w:p>
    <w:p>
      <w:pPr>
        <w:spacing w:line="360" w:lineRule="auto"/>
        <w:ind w:firstLine="560"/>
        <w:rPr>
          <w:rFonts w:ascii="宋体" w:hAnsi="宋体"/>
          <w:color w:val="auto"/>
        </w:rPr>
      </w:pPr>
      <w:bookmarkStart w:id="90" w:name="_Toc38398936"/>
    </w:p>
    <w:p>
      <w:pPr>
        <w:spacing w:line="360" w:lineRule="auto"/>
        <w:ind w:firstLine="0" w:firstLineChars="0"/>
        <w:rPr>
          <w:rFonts w:ascii="宋体" w:hAnsi="宋体"/>
          <w:color w:val="auto"/>
        </w:rPr>
      </w:pPr>
      <w:r>
        <w:rPr>
          <w:rFonts w:hint="eastAsia" w:ascii="宋体" w:hAnsi="宋体"/>
          <w:color w:val="auto"/>
        </w:rPr>
        <w:br w:type="page"/>
      </w:r>
      <w:r>
        <w:rPr>
          <w:rFonts w:hint="eastAsia"/>
          <w:b/>
          <w:bCs/>
          <w:color w:val="auto"/>
          <w:kern w:val="44"/>
          <w:sz w:val="36"/>
          <w:szCs w:val="44"/>
        </w:rPr>
        <w:t>3 定性、定量安全评价</w:t>
      </w:r>
      <w:bookmarkEnd w:id="90"/>
    </w:p>
    <w:p>
      <w:pPr>
        <w:spacing w:line="360" w:lineRule="auto"/>
        <w:ind w:firstLine="560"/>
        <w:rPr>
          <w:rFonts w:ascii="宋体" w:hAnsi="宋体"/>
          <w:color w:val="auto"/>
        </w:rPr>
      </w:pPr>
      <w:bookmarkStart w:id="91" w:name="_Toc191352521"/>
      <w:bookmarkStart w:id="92" w:name="_Toc318732623"/>
      <w:bookmarkStart w:id="93" w:name="_Toc251597421"/>
      <w:r>
        <w:rPr>
          <w:rFonts w:hint="eastAsia" w:ascii="宋体" w:hAnsi="宋体"/>
          <w:color w:val="auto"/>
        </w:rPr>
        <w:t>根据有关法律、法规、标准和规范的相关规定，借鉴同类矿山事故经验教训，针对建设项目建设方案，对每一单元应用所选用的评价方法进行定性、定量分析评价。针对</w:t>
      </w:r>
      <w:r>
        <w:rPr>
          <w:rFonts w:ascii="宋体" w:hAnsi="宋体"/>
          <w:color w:val="auto"/>
        </w:rPr>
        <w:t>建设项目潜在的</w:t>
      </w:r>
      <w:r>
        <w:rPr>
          <w:rFonts w:hint="eastAsia" w:ascii="宋体" w:hAnsi="宋体"/>
          <w:color w:val="auto"/>
        </w:rPr>
        <w:t>主要</w:t>
      </w:r>
      <w:r>
        <w:rPr>
          <w:rFonts w:ascii="宋体" w:hAnsi="宋体"/>
          <w:color w:val="auto"/>
        </w:rPr>
        <w:t>危险、有害因素，</w:t>
      </w:r>
      <w:r>
        <w:rPr>
          <w:rFonts w:hint="eastAsia" w:ascii="宋体" w:hAnsi="宋体"/>
          <w:color w:val="auto"/>
        </w:rPr>
        <w:t>分析和预测可能发生事故后果和危险等级；分析评价建设方案的安全法规符合性及其合理性。对每一单元进行评价总结，根据矿山存在的危险因素共划分为：总平面布置单元、开拓运输单元、露天采剥作业单元、矿山电气单元、防排水单元、排土场单元、安全管理单元、重大危险源辨识单元8个单元，采用安全检查表法和</w:t>
      </w:r>
      <w:r>
        <w:rPr>
          <w:color w:val="auto"/>
        </w:rPr>
        <w:t>预先危险性分析法</w:t>
      </w:r>
      <w:r>
        <w:rPr>
          <w:rFonts w:hint="eastAsia" w:ascii="宋体" w:hAnsi="宋体"/>
          <w:color w:val="auto"/>
        </w:rPr>
        <w:t>进行评价分析。</w:t>
      </w:r>
    </w:p>
    <w:p>
      <w:pPr>
        <w:pStyle w:val="4"/>
        <w:ind w:firstLine="0"/>
        <w:rPr>
          <w:rFonts w:ascii="宋体"/>
          <w:color w:val="auto"/>
        </w:rPr>
      </w:pPr>
      <w:bookmarkStart w:id="94" w:name="_Toc217966275"/>
      <w:bookmarkStart w:id="95" w:name="_Toc220211237"/>
      <w:bookmarkStart w:id="96" w:name="_Toc38398937"/>
      <w:bookmarkStart w:id="97" w:name="_Toc12406"/>
      <w:bookmarkStart w:id="98" w:name="_Toc4271"/>
      <w:r>
        <w:rPr>
          <w:rFonts w:ascii="宋体"/>
          <w:color w:val="auto"/>
        </w:rPr>
        <w:t>3</w:t>
      </w:r>
      <w:r>
        <w:rPr>
          <w:rFonts w:hint="eastAsia" w:ascii="宋体"/>
          <w:color w:val="auto"/>
        </w:rPr>
        <w:t>.1</w:t>
      </w:r>
      <w:bookmarkEnd w:id="94"/>
      <w:bookmarkEnd w:id="95"/>
      <w:bookmarkStart w:id="99" w:name="_Toc220211240"/>
      <w:r>
        <w:rPr>
          <w:rFonts w:hint="eastAsia" w:ascii="宋体"/>
          <w:color w:val="auto"/>
        </w:rPr>
        <w:t xml:space="preserve"> 总平面布置、周边环境单元</w:t>
      </w:r>
      <w:bookmarkEnd w:id="96"/>
      <w:bookmarkEnd w:id="97"/>
      <w:bookmarkEnd w:id="98"/>
      <w:bookmarkEnd w:id="99"/>
    </w:p>
    <w:p>
      <w:pPr>
        <w:spacing w:line="360" w:lineRule="auto"/>
        <w:ind w:firstLine="560"/>
        <w:rPr>
          <w:rFonts w:ascii="宋体" w:hAnsi="宋体"/>
          <w:color w:val="auto"/>
        </w:rPr>
      </w:pPr>
      <w:r>
        <w:rPr>
          <w:rFonts w:hint="eastAsia" w:ascii="宋体" w:hAnsi="宋体"/>
          <w:color w:val="auto"/>
        </w:rPr>
        <w:t>根据《三合一方案》提供的总图布置，以及区域工程地质、水文地质、环境地质、气候条件、周边人文地理环境，对采矿工业场地、辅助工业场地、相关建筑物和设备设施等总体位置选择、相互影响进行评价，方法采用安全检查表法和预先危险性分析法。</w:t>
      </w:r>
    </w:p>
    <w:bookmarkEnd w:id="91"/>
    <w:bookmarkEnd w:id="92"/>
    <w:bookmarkEnd w:id="93"/>
    <w:p>
      <w:pPr>
        <w:keepNext/>
        <w:keepLines/>
        <w:spacing w:line="360" w:lineRule="auto"/>
        <w:ind w:firstLine="0" w:firstLineChars="0"/>
        <w:outlineLvl w:val="2"/>
        <w:rPr>
          <w:rFonts w:ascii="宋体" w:hAnsi="宋体"/>
          <w:b/>
          <w:color w:val="auto"/>
          <w:kern w:val="0"/>
          <w:szCs w:val="28"/>
        </w:rPr>
      </w:pPr>
      <w:bookmarkStart w:id="100" w:name="_Toc241303796"/>
      <w:bookmarkStart w:id="101" w:name="_Toc325018625"/>
      <w:bookmarkStart w:id="102" w:name="_Toc244664924"/>
      <w:bookmarkStart w:id="103" w:name="_Toc22757"/>
      <w:bookmarkStart w:id="104" w:name="_Toc25334354"/>
      <w:bookmarkStart w:id="105" w:name="_Toc29127"/>
      <w:r>
        <w:rPr>
          <w:rFonts w:ascii="宋体" w:hAnsi="宋体"/>
          <w:b/>
          <w:color w:val="auto"/>
          <w:kern w:val="0"/>
          <w:szCs w:val="28"/>
        </w:rPr>
        <w:t>3</w:t>
      </w:r>
      <w:r>
        <w:rPr>
          <w:rFonts w:hint="eastAsia" w:ascii="宋体" w:hAnsi="宋体"/>
          <w:b/>
          <w:color w:val="auto"/>
          <w:kern w:val="0"/>
          <w:szCs w:val="28"/>
        </w:rPr>
        <w:t>.1.1 总平面布置单元</w:t>
      </w:r>
      <w:bookmarkEnd w:id="100"/>
      <w:bookmarkEnd w:id="101"/>
      <w:bookmarkEnd w:id="102"/>
      <w:r>
        <w:rPr>
          <w:rFonts w:hint="eastAsia" w:ascii="宋体" w:hAnsi="宋体"/>
          <w:b/>
          <w:color w:val="auto"/>
          <w:kern w:val="0"/>
          <w:szCs w:val="28"/>
        </w:rPr>
        <w:t>安全检查表评价</w:t>
      </w:r>
      <w:bookmarkEnd w:id="103"/>
      <w:bookmarkEnd w:id="104"/>
      <w:bookmarkEnd w:id="105"/>
    </w:p>
    <w:p>
      <w:pPr>
        <w:wordWrap/>
        <w:spacing w:line="360" w:lineRule="auto"/>
        <w:ind w:firstLine="560"/>
        <w:rPr>
          <w:rFonts w:ascii="宋体" w:hAnsi="宋体" w:cs="宋体"/>
          <w:color w:val="auto"/>
          <w:szCs w:val="28"/>
        </w:rPr>
      </w:pPr>
      <w:r>
        <w:rPr>
          <w:rFonts w:hint="eastAsia" w:ascii="宋体" w:hAnsi="宋体" w:cs="宋体"/>
          <w:color w:val="auto"/>
          <w:szCs w:val="28"/>
        </w:rPr>
        <w:t>该单元采用安全检查表法进行评价，见表</w:t>
      </w:r>
      <w:r>
        <w:rPr>
          <w:rFonts w:ascii="宋体" w:hAnsi="宋体" w:cs="宋体"/>
          <w:color w:val="auto"/>
          <w:szCs w:val="28"/>
        </w:rPr>
        <w:t>3</w:t>
      </w:r>
      <w:r>
        <w:rPr>
          <w:rFonts w:hint="eastAsia" w:ascii="宋体" w:hAnsi="宋体" w:cs="宋体"/>
          <w:color w:val="auto"/>
          <w:szCs w:val="28"/>
        </w:rPr>
        <w:t>-1。</w:t>
      </w:r>
    </w:p>
    <w:p>
      <w:pPr>
        <w:wordWrap/>
        <w:spacing w:line="360" w:lineRule="auto"/>
        <w:ind w:firstLine="2361" w:firstLineChars="980"/>
        <w:rPr>
          <w:rFonts w:ascii="宋体" w:hAnsi="宋体" w:cs="宋体"/>
          <w:b/>
          <w:bCs/>
          <w:color w:val="auto"/>
          <w:sz w:val="24"/>
        </w:rPr>
      </w:pPr>
      <w:r>
        <w:rPr>
          <w:rFonts w:hint="eastAsia" w:ascii="宋体" w:hAnsi="宋体"/>
          <w:b/>
          <w:bCs/>
          <w:color w:val="auto"/>
          <w:sz w:val="24"/>
        </w:rPr>
        <w:t>表3—1  总平面布置单元安全检查表</w:t>
      </w:r>
    </w:p>
    <w:tbl>
      <w:tblPr>
        <w:tblStyle w:val="36"/>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4443"/>
        <w:gridCol w:w="1866"/>
        <w:gridCol w:w="1838"/>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3" w:type="dxa"/>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评价单元</w:t>
            </w:r>
          </w:p>
        </w:tc>
        <w:tc>
          <w:tcPr>
            <w:tcW w:w="4443"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检查项目及内容</w:t>
            </w:r>
          </w:p>
        </w:tc>
        <w:tc>
          <w:tcPr>
            <w:tcW w:w="1866"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依据标准</w:t>
            </w:r>
          </w:p>
        </w:tc>
        <w:tc>
          <w:tcPr>
            <w:tcW w:w="183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检查结果</w:t>
            </w:r>
          </w:p>
        </w:tc>
        <w:tc>
          <w:tcPr>
            <w:tcW w:w="99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检查</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3" w:type="dxa"/>
            <w:vMerge w:val="restart"/>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总</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平</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面</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布</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置</w:t>
            </w:r>
          </w:p>
        </w:tc>
        <w:tc>
          <w:tcPr>
            <w:tcW w:w="4443"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1、工业企业和居民区之间必须设置足够宽度的卫生距离</w:t>
            </w:r>
          </w:p>
        </w:tc>
        <w:tc>
          <w:tcPr>
            <w:tcW w:w="1866" w:type="dxa"/>
          </w:tcPr>
          <w:p>
            <w:pPr>
              <w:wordWrap/>
              <w:spacing w:line="360" w:lineRule="auto"/>
              <w:ind w:hanging="36" w:firstLineChars="0"/>
              <w:rPr>
                <w:rFonts w:ascii="宋体" w:hAnsi="宋体"/>
                <w:color w:val="auto"/>
                <w:sz w:val="21"/>
                <w:szCs w:val="21"/>
              </w:rPr>
            </w:pPr>
            <w:r>
              <w:rPr>
                <w:rFonts w:hint="eastAsia" w:ascii="宋体" w:hAnsi="宋体"/>
                <w:color w:val="auto"/>
                <w:sz w:val="21"/>
                <w:szCs w:val="21"/>
              </w:rPr>
              <w:t>《工业企业总平面设计规范》</w:t>
            </w:r>
          </w:p>
        </w:tc>
        <w:tc>
          <w:tcPr>
            <w:tcW w:w="1838" w:type="dxa"/>
            <w:vAlign w:val="center"/>
          </w:tcPr>
          <w:p>
            <w:pPr>
              <w:wordWrap/>
              <w:spacing w:line="360" w:lineRule="auto"/>
              <w:ind w:firstLine="0" w:firstLineChars="0"/>
              <w:jc w:val="left"/>
              <w:rPr>
                <w:rFonts w:ascii="宋体" w:hAnsi="宋体"/>
                <w:color w:val="auto"/>
                <w:sz w:val="21"/>
                <w:szCs w:val="21"/>
              </w:rPr>
            </w:pPr>
            <w:r>
              <w:rPr>
                <w:rFonts w:hint="eastAsia" w:ascii="宋体" w:hAnsi="宋体"/>
                <w:color w:val="auto"/>
                <w:sz w:val="21"/>
                <w:szCs w:val="21"/>
              </w:rPr>
              <w:t>矿区内有民居</w:t>
            </w:r>
          </w:p>
        </w:tc>
        <w:tc>
          <w:tcPr>
            <w:tcW w:w="99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3" w:type="dxa"/>
            <w:vMerge w:val="continue"/>
          </w:tcPr>
          <w:p>
            <w:pPr>
              <w:wordWrap/>
              <w:spacing w:line="360" w:lineRule="auto"/>
              <w:ind w:firstLine="0" w:firstLineChars="0"/>
              <w:jc w:val="center"/>
              <w:rPr>
                <w:rFonts w:ascii="宋体" w:hAnsi="宋体"/>
                <w:color w:val="auto"/>
                <w:sz w:val="21"/>
                <w:szCs w:val="21"/>
              </w:rPr>
            </w:pPr>
          </w:p>
        </w:tc>
        <w:tc>
          <w:tcPr>
            <w:tcW w:w="4443"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厂址应具有满足生产、生活及发展规划所必需的水源和电源</w:t>
            </w:r>
          </w:p>
        </w:tc>
        <w:tc>
          <w:tcPr>
            <w:tcW w:w="1866"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《工业企业总平面设计规范》</w:t>
            </w:r>
          </w:p>
        </w:tc>
        <w:tc>
          <w:tcPr>
            <w:tcW w:w="1838" w:type="dxa"/>
            <w:vAlign w:val="center"/>
          </w:tcPr>
          <w:p>
            <w:pPr>
              <w:wordWrap/>
              <w:spacing w:line="360" w:lineRule="auto"/>
              <w:ind w:firstLine="0" w:firstLineChars="0"/>
              <w:jc w:val="left"/>
              <w:rPr>
                <w:rFonts w:ascii="宋体" w:hAnsi="宋体"/>
                <w:color w:val="auto"/>
                <w:sz w:val="21"/>
                <w:szCs w:val="21"/>
              </w:rPr>
            </w:pPr>
            <w:r>
              <w:rPr>
                <w:rFonts w:hint="eastAsia" w:ascii="宋体" w:hAnsi="宋体"/>
                <w:color w:val="auto"/>
                <w:sz w:val="21"/>
                <w:szCs w:val="21"/>
              </w:rPr>
              <w:t>有生产、生活所需的水源和电源。</w:t>
            </w:r>
          </w:p>
        </w:tc>
        <w:tc>
          <w:tcPr>
            <w:tcW w:w="99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3" w:type="dxa"/>
            <w:vMerge w:val="continue"/>
          </w:tcPr>
          <w:p>
            <w:pPr>
              <w:wordWrap/>
              <w:spacing w:line="360" w:lineRule="auto"/>
              <w:ind w:firstLine="0" w:firstLineChars="0"/>
              <w:jc w:val="center"/>
              <w:rPr>
                <w:rFonts w:ascii="宋体" w:hAnsi="宋体"/>
                <w:color w:val="auto"/>
                <w:sz w:val="21"/>
                <w:szCs w:val="21"/>
              </w:rPr>
            </w:pPr>
          </w:p>
        </w:tc>
        <w:tc>
          <w:tcPr>
            <w:tcW w:w="4443"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3、</w:t>
            </w:r>
            <w:r>
              <w:rPr>
                <w:rFonts w:ascii="宋体" w:hAnsi="宋体"/>
                <w:color w:val="auto"/>
                <w:sz w:val="21"/>
                <w:szCs w:val="21"/>
              </w:rPr>
              <w:t>厂址应具有满足建设工程需要的工程地质条件和水文地质条件</w:t>
            </w:r>
          </w:p>
        </w:tc>
        <w:tc>
          <w:tcPr>
            <w:tcW w:w="1866"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《工业企业总平面设计规范》</w:t>
            </w:r>
          </w:p>
        </w:tc>
        <w:tc>
          <w:tcPr>
            <w:tcW w:w="183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厂地选址符合要求</w:t>
            </w:r>
          </w:p>
        </w:tc>
        <w:tc>
          <w:tcPr>
            <w:tcW w:w="99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3" w:type="dxa"/>
            <w:vMerge w:val="continue"/>
          </w:tcPr>
          <w:p>
            <w:pPr>
              <w:wordWrap/>
              <w:spacing w:line="360" w:lineRule="auto"/>
              <w:ind w:firstLine="0" w:firstLineChars="0"/>
              <w:jc w:val="center"/>
              <w:rPr>
                <w:rFonts w:ascii="宋体" w:hAnsi="宋体"/>
                <w:color w:val="auto"/>
                <w:sz w:val="21"/>
                <w:szCs w:val="21"/>
              </w:rPr>
            </w:pPr>
          </w:p>
        </w:tc>
        <w:tc>
          <w:tcPr>
            <w:tcW w:w="4443"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4、</w:t>
            </w:r>
            <w:r>
              <w:rPr>
                <w:rFonts w:ascii="宋体" w:hAnsi="宋体"/>
                <w:color w:val="auto"/>
                <w:sz w:val="21"/>
                <w:szCs w:val="21"/>
              </w:rPr>
              <w:t>矿山企业的办公区、工业场地、生活区等地面建筑，应选在危崖、塌陷、洪水、泥石流、崩落区、尘毒、污风影响范围和爆破危险区之外</w:t>
            </w:r>
          </w:p>
        </w:tc>
        <w:tc>
          <w:tcPr>
            <w:tcW w:w="1866"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《工业企业总平面设计规范》</w:t>
            </w:r>
          </w:p>
        </w:tc>
        <w:tc>
          <w:tcPr>
            <w:tcW w:w="183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矿区选址符合要求</w:t>
            </w:r>
          </w:p>
        </w:tc>
        <w:tc>
          <w:tcPr>
            <w:tcW w:w="99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3" w:type="dxa"/>
            <w:vMerge w:val="continue"/>
          </w:tcPr>
          <w:p>
            <w:pPr>
              <w:wordWrap/>
              <w:spacing w:line="360" w:lineRule="auto"/>
              <w:ind w:firstLine="0" w:firstLineChars="0"/>
              <w:jc w:val="center"/>
              <w:rPr>
                <w:rFonts w:ascii="宋体" w:hAnsi="宋体"/>
                <w:color w:val="auto"/>
                <w:sz w:val="21"/>
                <w:szCs w:val="21"/>
              </w:rPr>
            </w:pPr>
          </w:p>
        </w:tc>
        <w:tc>
          <w:tcPr>
            <w:tcW w:w="4443"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5、</w:t>
            </w:r>
            <w:r>
              <w:rPr>
                <w:rFonts w:ascii="宋体" w:hAnsi="宋体"/>
                <w:color w:val="auto"/>
                <w:sz w:val="21"/>
                <w:szCs w:val="21"/>
              </w:rPr>
              <w:t>非经国务院授权的有关主管部门同意，不得在下列地区开采矿产资源：</w:t>
            </w:r>
          </w:p>
          <w:p>
            <w:pPr>
              <w:wordWrap/>
              <w:spacing w:line="360" w:lineRule="auto"/>
              <w:ind w:firstLine="0" w:firstLineChars="0"/>
              <w:rPr>
                <w:rFonts w:ascii="宋体" w:hAnsi="宋体"/>
                <w:color w:val="auto"/>
                <w:sz w:val="21"/>
                <w:szCs w:val="21"/>
              </w:rPr>
            </w:pPr>
            <w:r>
              <w:rPr>
                <w:rFonts w:ascii="宋体" w:hAnsi="宋体"/>
                <w:color w:val="auto"/>
                <w:sz w:val="21"/>
                <w:szCs w:val="21"/>
              </w:rPr>
              <w:t>(</w:t>
            </w:r>
            <w:r>
              <w:rPr>
                <w:rFonts w:hint="eastAsia" w:ascii="宋体" w:hAnsi="宋体"/>
                <w:color w:val="auto"/>
                <w:sz w:val="21"/>
                <w:szCs w:val="21"/>
              </w:rPr>
              <w:t>1</w:t>
            </w:r>
            <w:r>
              <w:rPr>
                <w:rFonts w:ascii="宋体" w:hAnsi="宋体"/>
                <w:color w:val="auto"/>
                <w:sz w:val="21"/>
                <w:szCs w:val="21"/>
              </w:rPr>
              <w:t>)港口、机场、国防工程设施圈定地区以内；</w:t>
            </w:r>
          </w:p>
          <w:p>
            <w:pPr>
              <w:wordWrap/>
              <w:spacing w:line="360" w:lineRule="auto"/>
              <w:ind w:firstLine="0" w:firstLineChars="0"/>
              <w:rPr>
                <w:rFonts w:ascii="宋体" w:hAnsi="宋体"/>
                <w:color w:val="auto"/>
                <w:sz w:val="21"/>
                <w:szCs w:val="21"/>
              </w:rPr>
            </w:pPr>
            <w:r>
              <w:rPr>
                <w:rFonts w:ascii="宋体" w:hAnsi="宋体"/>
                <w:color w:val="auto"/>
                <w:sz w:val="21"/>
                <w:szCs w:val="21"/>
              </w:rPr>
              <w:t>(</w:t>
            </w:r>
            <w:r>
              <w:rPr>
                <w:rFonts w:hint="eastAsia" w:ascii="宋体" w:hAnsi="宋体"/>
                <w:color w:val="auto"/>
                <w:sz w:val="21"/>
                <w:szCs w:val="21"/>
              </w:rPr>
              <w:t>2</w:t>
            </w:r>
            <w:r>
              <w:rPr>
                <w:rFonts w:ascii="宋体" w:hAnsi="宋体"/>
                <w:color w:val="auto"/>
                <w:sz w:val="21"/>
                <w:szCs w:val="21"/>
              </w:rPr>
              <w:t>)重要工业区、大型水利工程设施、城镇市政工程设施附近一定距离以内；</w:t>
            </w:r>
          </w:p>
          <w:p>
            <w:pPr>
              <w:wordWrap/>
              <w:spacing w:line="360" w:lineRule="auto"/>
              <w:ind w:firstLine="0" w:firstLineChars="0"/>
              <w:rPr>
                <w:rFonts w:ascii="宋体" w:hAnsi="宋体"/>
                <w:color w:val="auto"/>
                <w:sz w:val="21"/>
                <w:szCs w:val="21"/>
              </w:rPr>
            </w:pPr>
            <w:r>
              <w:rPr>
                <w:rFonts w:ascii="宋体" w:hAnsi="宋体"/>
                <w:color w:val="auto"/>
                <w:sz w:val="21"/>
                <w:szCs w:val="21"/>
              </w:rPr>
              <w:t>(</w:t>
            </w:r>
            <w:r>
              <w:rPr>
                <w:rFonts w:hint="eastAsia" w:ascii="宋体" w:hAnsi="宋体"/>
                <w:color w:val="auto"/>
                <w:sz w:val="21"/>
                <w:szCs w:val="21"/>
              </w:rPr>
              <w:t>3</w:t>
            </w:r>
            <w:r>
              <w:rPr>
                <w:rFonts w:ascii="宋体" w:hAnsi="宋体"/>
                <w:color w:val="auto"/>
                <w:sz w:val="21"/>
                <w:szCs w:val="21"/>
              </w:rPr>
              <w:t>)铁路、重要公路两侧一定距离以内；</w:t>
            </w:r>
          </w:p>
          <w:p>
            <w:pPr>
              <w:wordWrap/>
              <w:spacing w:line="360" w:lineRule="auto"/>
              <w:ind w:firstLine="0" w:firstLineChars="0"/>
              <w:rPr>
                <w:rFonts w:ascii="宋体" w:hAnsi="宋体"/>
                <w:color w:val="auto"/>
                <w:sz w:val="21"/>
                <w:szCs w:val="21"/>
              </w:rPr>
            </w:pPr>
            <w:r>
              <w:rPr>
                <w:rFonts w:ascii="宋体" w:hAnsi="宋体"/>
                <w:color w:val="auto"/>
                <w:sz w:val="21"/>
                <w:szCs w:val="21"/>
              </w:rPr>
              <w:t>(</w:t>
            </w:r>
            <w:r>
              <w:rPr>
                <w:rFonts w:hint="eastAsia" w:ascii="宋体" w:hAnsi="宋体"/>
                <w:color w:val="auto"/>
                <w:sz w:val="21"/>
                <w:szCs w:val="21"/>
              </w:rPr>
              <w:t>4</w:t>
            </w:r>
            <w:r>
              <w:rPr>
                <w:rFonts w:ascii="宋体" w:hAnsi="宋体"/>
                <w:color w:val="auto"/>
                <w:sz w:val="21"/>
                <w:szCs w:val="21"/>
              </w:rPr>
              <w:t>)重要河流、堤坝两侧一定距离以内；</w:t>
            </w:r>
          </w:p>
          <w:p>
            <w:pPr>
              <w:wordWrap/>
              <w:spacing w:line="360" w:lineRule="auto"/>
              <w:ind w:firstLine="0" w:firstLineChars="0"/>
              <w:rPr>
                <w:rFonts w:ascii="宋体" w:hAnsi="宋体"/>
                <w:color w:val="auto"/>
                <w:sz w:val="21"/>
                <w:szCs w:val="21"/>
              </w:rPr>
            </w:pPr>
            <w:r>
              <w:rPr>
                <w:rFonts w:ascii="宋体" w:hAnsi="宋体"/>
                <w:color w:val="auto"/>
                <w:sz w:val="21"/>
                <w:szCs w:val="21"/>
              </w:rPr>
              <w:t>(</w:t>
            </w:r>
            <w:r>
              <w:rPr>
                <w:rFonts w:hint="eastAsia" w:ascii="宋体" w:hAnsi="宋体"/>
                <w:color w:val="auto"/>
                <w:sz w:val="21"/>
                <w:szCs w:val="21"/>
              </w:rPr>
              <w:t>5</w:t>
            </w:r>
            <w:r>
              <w:rPr>
                <w:rFonts w:ascii="宋体" w:hAnsi="宋体"/>
                <w:color w:val="auto"/>
                <w:sz w:val="21"/>
                <w:szCs w:val="21"/>
              </w:rPr>
              <w:t>)国家划定的自然保护区、重要风景区，国家重点保护的不能移动的历史文物和名胜古迹所在地；</w:t>
            </w:r>
          </w:p>
          <w:p>
            <w:pPr>
              <w:wordWrap/>
              <w:spacing w:line="360" w:lineRule="auto"/>
              <w:ind w:firstLine="0" w:firstLineChars="0"/>
              <w:rPr>
                <w:rFonts w:ascii="宋体" w:hAnsi="宋体"/>
                <w:color w:val="auto"/>
                <w:sz w:val="21"/>
                <w:szCs w:val="21"/>
              </w:rPr>
            </w:pPr>
            <w:r>
              <w:rPr>
                <w:rFonts w:ascii="宋体" w:hAnsi="宋体"/>
                <w:color w:val="auto"/>
                <w:sz w:val="21"/>
                <w:szCs w:val="21"/>
              </w:rPr>
              <w:t>(</w:t>
            </w:r>
            <w:r>
              <w:rPr>
                <w:rFonts w:hint="eastAsia" w:ascii="宋体" w:hAnsi="宋体"/>
                <w:color w:val="auto"/>
                <w:sz w:val="21"/>
                <w:szCs w:val="21"/>
              </w:rPr>
              <w:t>6</w:t>
            </w:r>
            <w:r>
              <w:rPr>
                <w:rFonts w:ascii="宋体" w:hAnsi="宋体"/>
                <w:color w:val="auto"/>
                <w:sz w:val="21"/>
                <w:szCs w:val="21"/>
              </w:rPr>
              <w:t>)国家规定不得开采矿产资源的其他地区</w:t>
            </w:r>
          </w:p>
        </w:tc>
        <w:tc>
          <w:tcPr>
            <w:tcW w:w="1866" w:type="dxa"/>
            <w:vAlign w:val="center"/>
          </w:tcPr>
          <w:p>
            <w:pPr>
              <w:wordWrap/>
              <w:spacing w:line="360" w:lineRule="auto"/>
              <w:ind w:firstLine="0" w:firstLineChars="0"/>
              <w:jc w:val="center"/>
              <w:rPr>
                <w:rFonts w:ascii="宋体" w:hAnsi="宋体"/>
                <w:color w:val="auto"/>
                <w:sz w:val="21"/>
                <w:szCs w:val="21"/>
              </w:rPr>
            </w:pPr>
            <w:r>
              <w:rPr>
                <w:rFonts w:ascii="宋体" w:hAnsi="宋体"/>
                <w:color w:val="auto"/>
                <w:sz w:val="21"/>
                <w:szCs w:val="21"/>
              </w:rPr>
              <w:t>《矿产资源法》</w:t>
            </w:r>
          </w:p>
          <w:p>
            <w:pPr>
              <w:wordWrap/>
              <w:spacing w:line="360" w:lineRule="auto"/>
              <w:ind w:firstLine="0" w:firstLineChars="0"/>
              <w:jc w:val="center"/>
              <w:rPr>
                <w:rFonts w:ascii="宋体" w:hAnsi="宋体"/>
                <w:color w:val="auto"/>
                <w:sz w:val="21"/>
                <w:szCs w:val="21"/>
              </w:rPr>
            </w:pPr>
          </w:p>
        </w:tc>
        <w:tc>
          <w:tcPr>
            <w:tcW w:w="1838" w:type="dxa"/>
            <w:vAlign w:val="center"/>
          </w:tcPr>
          <w:p>
            <w:pPr>
              <w:wordWrap/>
              <w:spacing w:line="360" w:lineRule="auto"/>
              <w:ind w:firstLine="0" w:firstLineChars="0"/>
              <w:jc w:val="left"/>
              <w:rPr>
                <w:rFonts w:ascii="宋体" w:hAnsi="宋体"/>
                <w:color w:val="auto"/>
                <w:sz w:val="21"/>
                <w:szCs w:val="21"/>
              </w:rPr>
            </w:pPr>
            <w:r>
              <w:rPr>
                <w:rFonts w:hint="eastAsia" w:ascii="宋体" w:hAnsi="宋体"/>
                <w:color w:val="auto"/>
                <w:sz w:val="21"/>
                <w:szCs w:val="21"/>
              </w:rPr>
              <w:t>矿山未在左述范围内开采</w:t>
            </w:r>
          </w:p>
        </w:tc>
        <w:tc>
          <w:tcPr>
            <w:tcW w:w="99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3" w:type="dxa"/>
            <w:vMerge w:val="continue"/>
          </w:tcPr>
          <w:p>
            <w:pPr>
              <w:wordWrap/>
              <w:spacing w:line="360" w:lineRule="auto"/>
              <w:ind w:firstLine="0" w:firstLineChars="0"/>
              <w:jc w:val="center"/>
              <w:rPr>
                <w:rFonts w:ascii="宋体" w:hAnsi="宋体"/>
                <w:color w:val="auto"/>
                <w:sz w:val="21"/>
                <w:szCs w:val="21"/>
              </w:rPr>
            </w:pPr>
          </w:p>
        </w:tc>
        <w:tc>
          <w:tcPr>
            <w:tcW w:w="4443"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6、</w:t>
            </w:r>
            <w:r>
              <w:rPr>
                <w:rFonts w:ascii="宋体" w:hAnsi="宋体"/>
                <w:color w:val="auto"/>
                <w:sz w:val="21"/>
                <w:szCs w:val="21"/>
              </w:rPr>
              <w:t>厂址应位于不受洪水、潮水或内涝威胁的地带；当不可避免时，必须具有可靠的防洪、排涝措施</w:t>
            </w:r>
          </w:p>
        </w:tc>
        <w:tc>
          <w:tcPr>
            <w:tcW w:w="1866"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《工业企业总平面设计规范》</w:t>
            </w:r>
          </w:p>
        </w:tc>
        <w:tc>
          <w:tcPr>
            <w:tcW w:w="1838" w:type="dxa"/>
            <w:vAlign w:val="center"/>
          </w:tcPr>
          <w:p>
            <w:pPr>
              <w:wordWrap/>
              <w:spacing w:line="360" w:lineRule="auto"/>
              <w:ind w:firstLine="0" w:firstLineChars="0"/>
              <w:jc w:val="left"/>
              <w:rPr>
                <w:rFonts w:ascii="宋体" w:hAnsi="宋体"/>
                <w:color w:val="auto"/>
                <w:sz w:val="21"/>
                <w:szCs w:val="21"/>
              </w:rPr>
            </w:pPr>
            <w:r>
              <w:rPr>
                <w:rFonts w:hint="eastAsia" w:ascii="宋体" w:hAnsi="宋体"/>
                <w:color w:val="auto"/>
                <w:sz w:val="21"/>
                <w:szCs w:val="21"/>
              </w:rPr>
              <w:t>矿区周边无大型水库，且矿区未位于内涝威胁地带。</w:t>
            </w:r>
          </w:p>
        </w:tc>
        <w:tc>
          <w:tcPr>
            <w:tcW w:w="99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bl>
    <w:p>
      <w:pPr>
        <w:keepNext/>
        <w:keepLines/>
        <w:spacing w:beforeLines="100" w:line="360" w:lineRule="auto"/>
        <w:ind w:firstLine="0" w:firstLineChars="0"/>
        <w:outlineLvl w:val="2"/>
        <w:rPr>
          <w:rFonts w:ascii="宋体" w:hAnsi="宋体"/>
          <w:b/>
          <w:color w:val="auto"/>
          <w:kern w:val="0"/>
          <w:szCs w:val="28"/>
        </w:rPr>
      </w:pPr>
      <w:bookmarkStart w:id="106" w:name="_Toc332874318"/>
      <w:bookmarkStart w:id="107" w:name="_Toc2514"/>
      <w:bookmarkStart w:id="108" w:name="_Toc25334355"/>
      <w:bookmarkStart w:id="109" w:name="_Toc19168"/>
      <w:bookmarkStart w:id="110" w:name="_Toc220211241"/>
      <w:r>
        <w:rPr>
          <w:rFonts w:ascii="宋体" w:hAnsi="宋体"/>
          <w:b/>
          <w:color w:val="auto"/>
          <w:kern w:val="0"/>
          <w:szCs w:val="28"/>
        </w:rPr>
        <w:t>3</w:t>
      </w:r>
      <w:r>
        <w:rPr>
          <w:rFonts w:hint="eastAsia" w:ascii="宋体" w:hAnsi="宋体"/>
          <w:b/>
          <w:color w:val="auto"/>
          <w:kern w:val="0"/>
          <w:szCs w:val="28"/>
        </w:rPr>
        <w:t>.1.2 总平面布置单元预先危险性分析</w:t>
      </w:r>
      <w:bookmarkEnd w:id="106"/>
      <w:bookmarkEnd w:id="107"/>
      <w:bookmarkEnd w:id="108"/>
      <w:bookmarkEnd w:id="109"/>
    </w:p>
    <w:p>
      <w:pPr>
        <w:wordWrap/>
        <w:spacing w:line="360" w:lineRule="auto"/>
        <w:ind w:firstLine="560"/>
        <w:rPr>
          <w:rFonts w:ascii="宋体" w:hAnsi="宋体"/>
          <w:color w:val="auto"/>
          <w:szCs w:val="28"/>
        </w:rPr>
      </w:pPr>
      <w:r>
        <w:rPr>
          <w:rFonts w:hint="eastAsia" w:ascii="宋体" w:hAnsi="宋体" w:cs="宋体"/>
          <w:color w:val="auto"/>
          <w:szCs w:val="28"/>
        </w:rPr>
        <w:t>该单元采用预先危险性分析法进行评价，见表</w:t>
      </w:r>
      <w:r>
        <w:rPr>
          <w:rFonts w:ascii="宋体" w:hAnsi="宋体" w:cs="宋体"/>
          <w:color w:val="auto"/>
          <w:szCs w:val="28"/>
        </w:rPr>
        <w:t>3</w:t>
      </w:r>
      <w:r>
        <w:rPr>
          <w:rFonts w:hint="eastAsia" w:ascii="宋体" w:hAnsi="宋体" w:cs="宋体"/>
          <w:color w:val="auto"/>
          <w:szCs w:val="28"/>
        </w:rPr>
        <w:t>-2。</w:t>
      </w:r>
    </w:p>
    <w:p>
      <w:pPr>
        <w:wordWrap/>
        <w:spacing w:line="360" w:lineRule="auto"/>
        <w:ind w:firstLine="118" w:firstLineChars="49"/>
        <w:rPr>
          <w:rFonts w:ascii="宋体" w:hAnsi="宋体"/>
          <w:b/>
          <w:bCs/>
          <w:color w:val="auto"/>
          <w:sz w:val="24"/>
        </w:rPr>
      </w:pPr>
      <w:r>
        <w:rPr>
          <w:rFonts w:hint="eastAsia" w:ascii="宋体" w:hAnsi="宋体"/>
          <w:b/>
          <w:bCs/>
          <w:color w:val="auto"/>
          <w:sz w:val="24"/>
        </w:rPr>
        <w:t>表</w:t>
      </w:r>
      <w:r>
        <w:rPr>
          <w:rFonts w:ascii="宋体" w:hAnsi="宋体"/>
          <w:b/>
          <w:bCs/>
          <w:color w:val="auto"/>
          <w:sz w:val="24"/>
        </w:rPr>
        <w:t>3</w:t>
      </w:r>
      <w:r>
        <w:rPr>
          <w:rFonts w:hint="eastAsia" w:ascii="宋体" w:hAnsi="宋体"/>
          <w:b/>
          <w:bCs/>
          <w:color w:val="auto"/>
          <w:sz w:val="24"/>
        </w:rPr>
        <w:t>-2                总平面布置单元预先危险性分析表</w:t>
      </w:r>
    </w:p>
    <w:tbl>
      <w:tblPr>
        <w:tblStyle w:val="36"/>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750"/>
        <w:gridCol w:w="3004"/>
        <w:gridCol w:w="1127"/>
        <w:gridCol w:w="750"/>
        <w:gridCol w:w="3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序号</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危险</w:t>
            </w:r>
          </w:p>
        </w:tc>
        <w:tc>
          <w:tcPr>
            <w:tcW w:w="3004" w:type="dxa"/>
          </w:tcPr>
          <w:p>
            <w:pPr>
              <w:spacing w:line="360" w:lineRule="auto"/>
              <w:ind w:firstLine="0" w:firstLineChars="0"/>
              <w:jc w:val="center"/>
              <w:rPr>
                <w:rFonts w:ascii="宋体" w:hAnsi="宋体"/>
                <w:color w:val="auto"/>
                <w:sz w:val="21"/>
              </w:rPr>
            </w:pPr>
            <w:r>
              <w:rPr>
                <w:rFonts w:hint="eastAsia" w:ascii="宋体" w:hAnsi="宋体"/>
                <w:color w:val="auto"/>
                <w:sz w:val="21"/>
              </w:rPr>
              <w:t>原因</w:t>
            </w:r>
          </w:p>
        </w:tc>
        <w:tc>
          <w:tcPr>
            <w:tcW w:w="1127" w:type="dxa"/>
          </w:tcPr>
          <w:p>
            <w:pPr>
              <w:spacing w:line="360" w:lineRule="auto"/>
              <w:ind w:firstLine="0" w:firstLineChars="0"/>
              <w:jc w:val="center"/>
              <w:rPr>
                <w:rFonts w:ascii="宋体" w:hAnsi="宋体"/>
                <w:color w:val="auto"/>
                <w:sz w:val="21"/>
              </w:rPr>
            </w:pPr>
            <w:r>
              <w:rPr>
                <w:rFonts w:hint="eastAsia" w:ascii="宋体" w:hAnsi="宋体"/>
                <w:color w:val="auto"/>
                <w:sz w:val="21"/>
              </w:rPr>
              <w:t>后果</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危险</w:t>
            </w:r>
          </w:p>
          <w:p>
            <w:pPr>
              <w:spacing w:line="360" w:lineRule="auto"/>
              <w:ind w:firstLine="0" w:firstLineChars="0"/>
              <w:jc w:val="center"/>
              <w:rPr>
                <w:rFonts w:ascii="宋体" w:hAnsi="宋体"/>
                <w:color w:val="auto"/>
                <w:sz w:val="21"/>
              </w:rPr>
            </w:pPr>
            <w:r>
              <w:rPr>
                <w:rFonts w:hint="eastAsia" w:ascii="宋体" w:hAnsi="宋体"/>
                <w:color w:val="auto"/>
                <w:sz w:val="21"/>
              </w:rPr>
              <w:t>等级</w:t>
            </w:r>
          </w:p>
        </w:tc>
        <w:tc>
          <w:tcPr>
            <w:tcW w:w="3566" w:type="dxa"/>
          </w:tcPr>
          <w:p>
            <w:pPr>
              <w:spacing w:line="360" w:lineRule="auto"/>
              <w:ind w:firstLine="0" w:firstLineChars="0"/>
              <w:jc w:val="center"/>
              <w:rPr>
                <w:rFonts w:ascii="宋体" w:hAnsi="宋体"/>
                <w:color w:val="auto"/>
                <w:sz w:val="21"/>
              </w:rPr>
            </w:pPr>
            <w:r>
              <w:rPr>
                <w:rFonts w:hint="eastAsia" w:ascii="宋体" w:hAnsi="宋体"/>
                <w:color w:val="auto"/>
                <w:sz w:val="21"/>
              </w:rPr>
              <w:t>预防方法/改进措施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1</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坍塌</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①底部松动、位移、有空硐；</w:t>
            </w:r>
          </w:p>
          <w:p>
            <w:pPr>
              <w:spacing w:line="360" w:lineRule="auto"/>
              <w:ind w:firstLine="0" w:firstLineChars="0"/>
              <w:rPr>
                <w:rFonts w:ascii="宋体" w:hAnsi="宋体"/>
                <w:color w:val="auto"/>
                <w:sz w:val="21"/>
              </w:rPr>
            </w:pPr>
            <w:r>
              <w:rPr>
                <w:rFonts w:hint="eastAsia" w:ascii="宋体" w:hAnsi="宋体"/>
                <w:color w:val="auto"/>
                <w:sz w:val="21"/>
              </w:rPr>
              <w:t>②结构不稳</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人员伤亡，设施毁坏</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Ⅲ</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①建筑物构筑地选址要坚实；</w:t>
            </w:r>
          </w:p>
          <w:p>
            <w:pPr>
              <w:spacing w:line="360" w:lineRule="auto"/>
              <w:ind w:firstLine="0" w:firstLineChars="0"/>
              <w:rPr>
                <w:rFonts w:ascii="宋体" w:hAnsi="宋体"/>
                <w:color w:val="auto"/>
                <w:sz w:val="21"/>
              </w:rPr>
            </w:pPr>
            <w:r>
              <w:rPr>
                <w:rFonts w:hint="eastAsia" w:ascii="宋体" w:hAnsi="宋体"/>
                <w:color w:val="auto"/>
                <w:sz w:val="21"/>
              </w:rPr>
              <w:t>②对不稳处要加固；</w:t>
            </w:r>
          </w:p>
          <w:p>
            <w:pPr>
              <w:spacing w:line="360" w:lineRule="auto"/>
              <w:ind w:firstLine="0" w:firstLineChars="0"/>
              <w:rPr>
                <w:rFonts w:ascii="宋体" w:hAnsi="宋体"/>
                <w:color w:val="auto"/>
                <w:sz w:val="21"/>
              </w:rPr>
            </w:pPr>
            <w:r>
              <w:rPr>
                <w:rFonts w:hint="eastAsia" w:ascii="宋体" w:hAnsi="宋体"/>
                <w:color w:val="auto"/>
                <w:sz w:val="21"/>
              </w:rPr>
              <w:t>③结构要合理，牢靠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2</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滑坡</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①存在滑坡体；</w:t>
            </w:r>
          </w:p>
          <w:p>
            <w:pPr>
              <w:spacing w:line="360" w:lineRule="auto"/>
              <w:ind w:firstLine="0" w:firstLineChars="0"/>
              <w:rPr>
                <w:rFonts w:ascii="宋体" w:hAnsi="宋体"/>
                <w:color w:val="auto"/>
                <w:sz w:val="21"/>
              </w:rPr>
            </w:pPr>
            <w:r>
              <w:rPr>
                <w:rFonts w:hint="eastAsia" w:ascii="宋体" w:hAnsi="宋体"/>
                <w:color w:val="auto"/>
                <w:sz w:val="21"/>
              </w:rPr>
              <w:t>②具备滑坡条件</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人员伤亡设施被埋</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Ⅲ</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①注意发现滑坡体；</w:t>
            </w:r>
          </w:p>
          <w:p>
            <w:pPr>
              <w:spacing w:line="360" w:lineRule="auto"/>
              <w:ind w:firstLine="0" w:firstLineChars="0"/>
              <w:rPr>
                <w:rFonts w:ascii="宋体" w:hAnsi="宋体"/>
                <w:color w:val="auto"/>
                <w:sz w:val="21"/>
              </w:rPr>
            </w:pPr>
            <w:r>
              <w:rPr>
                <w:rFonts w:hint="eastAsia" w:ascii="宋体" w:hAnsi="宋体"/>
                <w:color w:val="auto"/>
                <w:sz w:val="21"/>
              </w:rPr>
              <w:t>②及时处理滑坡体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3</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物体打击</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①物件运搬中冲、撞；</w:t>
            </w:r>
          </w:p>
          <w:p>
            <w:pPr>
              <w:spacing w:line="360" w:lineRule="auto"/>
              <w:ind w:firstLine="0" w:firstLineChars="0"/>
              <w:rPr>
                <w:rFonts w:ascii="宋体" w:hAnsi="宋体"/>
                <w:color w:val="auto"/>
                <w:sz w:val="21"/>
              </w:rPr>
            </w:pPr>
            <w:r>
              <w:rPr>
                <w:rFonts w:hint="eastAsia" w:ascii="宋体" w:hAnsi="宋体"/>
                <w:color w:val="auto"/>
                <w:sz w:val="21"/>
              </w:rPr>
              <w:t>②高处物件下落</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人员砸伤设备砸坏</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Ⅱ</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①注意物资的搬运安全；</w:t>
            </w:r>
          </w:p>
          <w:p>
            <w:pPr>
              <w:spacing w:line="360" w:lineRule="auto"/>
              <w:ind w:firstLine="0" w:firstLineChars="0"/>
              <w:rPr>
                <w:rFonts w:ascii="宋体" w:hAnsi="宋体"/>
                <w:color w:val="auto"/>
                <w:sz w:val="21"/>
              </w:rPr>
            </w:pPr>
            <w:r>
              <w:rPr>
                <w:rFonts w:hint="eastAsia" w:ascii="宋体" w:hAnsi="宋体"/>
                <w:color w:val="auto"/>
                <w:sz w:val="21"/>
              </w:rPr>
              <w:t>②防止、高处物件滚、滑、坠落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4</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高处坠落</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①人员失误；</w:t>
            </w:r>
          </w:p>
          <w:p>
            <w:pPr>
              <w:spacing w:line="360" w:lineRule="auto"/>
              <w:ind w:firstLine="0" w:firstLineChars="0"/>
              <w:rPr>
                <w:rFonts w:ascii="宋体" w:hAnsi="宋体"/>
                <w:color w:val="auto"/>
                <w:sz w:val="21"/>
              </w:rPr>
            </w:pPr>
            <w:r>
              <w:rPr>
                <w:rFonts w:hint="eastAsia" w:ascii="宋体" w:hAnsi="宋体"/>
                <w:color w:val="auto"/>
                <w:sz w:val="21"/>
              </w:rPr>
              <w:t>②安全护栏未起作用</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人员伤亡物件损坏</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Ⅲ</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①加强防坠教育；</w:t>
            </w:r>
          </w:p>
          <w:p>
            <w:pPr>
              <w:spacing w:line="360" w:lineRule="auto"/>
              <w:ind w:firstLine="0" w:firstLineChars="0"/>
              <w:rPr>
                <w:rFonts w:ascii="宋体" w:hAnsi="宋体"/>
                <w:color w:val="auto"/>
                <w:sz w:val="21"/>
              </w:rPr>
            </w:pPr>
            <w:r>
              <w:rPr>
                <w:rFonts w:hint="eastAsia" w:ascii="宋体" w:hAnsi="宋体"/>
                <w:color w:val="auto"/>
                <w:sz w:val="21"/>
              </w:rPr>
              <w:t>②按规定、按标准设置护栏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5</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火灾</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①可燃物的存在；</w:t>
            </w:r>
          </w:p>
          <w:p>
            <w:pPr>
              <w:spacing w:line="360" w:lineRule="auto"/>
              <w:ind w:firstLine="0" w:firstLineChars="0"/>
              <w:rPr>
                <w:rFonts w:ascii="宋体" w:hAnsi="宋体"/>
                <w:color w:val="auto"/>
                <w:sz w:val="21"/>
              </w:rPr>
            </w:pPr>
            <w:r>
              <w:rPr>
                <w:rFonts w:hint="eastAsia" w:ascii="宋体" w:hAnsi="宋体"/>
                <w:color w:val="auto"/>
                <w:sz w:val="21"/>
              </w:rPr>
              <w:t>②引发火灾因素较多</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人员伤亡财产损失</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Ⅲ</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①建、构筑物要有足够的防火距离；</w:t>
            </w:r>
          </w:p>
          <w:p>
            <w:pPr>
              <w:spacing w:line="360" w:lineRule="auto"/>
              <w:ind w:firstLine="0" w:firstLineChars="0"/>
              <w:rPr>
                <w:rFonts w:ascii="宋体" w:hAnsi="宋体"/>
                <w:color w:val="auto"/>
                <w:sz w:val="21"/>
              </w:rPr>
            </w:pPr>
            <w:r>
              <w:rPr>
                <w:rFonts w:hint="eastAsia" w:ascii="宋体" w:hAnsi="宋体"/>
                <w:color w:val="auto"/>
                <w:sz w:val="21"/>
              </w:rPr>
              <w:t>②加强防火教育；</w:t>
            </w:r>
          </w:p>
          <w:p>
            <w:pPr>
              <w:spacing w:line="360" w:lineRule="auto"/>
              <w:ind w:firstLine="0" w:firstLineChars="0"/>
              <w:rPr>
                <w:rFonts w:ascii="宋体" w:hAnsi="宋体"/>
                <w:color w:val="auto"/>
                <w:sz w:val="21"/>
              </w:rPr>
            </w:pPr>
            <w:r>
              <w:rPr>
                <w:rFonts w:hint="eastAsia" w:ascii="宋体" w:hAnsi="宋体"/>
                <w:color w:val="auto"/>
                <w:sz w:val="21"/>
              </w:rPr>
              <w:t>③要有防火的预警机置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6</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雷击</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①无避雷装置；</w:t>
            </w:r>
          </w:p>
          <w:p>
            <w:pPr>
              <w:spacing w:line="360" w:lineRule="auto"/>
              <w:ind w:firstLine="0" w:firstLineChars="0"/>
              <w:rPr>
                <w:rFonts w:ascii="宋体" w:hAnsi="宋体"/>
                <w:color w:val="auto"/>
                <w:sz w:val="21"/>
              </w:rPr>
            </w:pPr>
            <w:r>
              <w:rPr>
                <w:rFonts w:hint="eastAsia" w:ascii="宋体" w:hAnsi="宋体"/>
                <w:color w:val="auto"/>
                <w:sz w:val="21"/>
              </w:rPr>
              <w:t>②避雷装置失效</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人员伤亡财产损失</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Ⅲ</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①完善避雷设施；</w:t>
            </w:r>
          </w:p>
          <w:p>
            <w:pPr>
              <w:spacing w:line="360" w:lineRule="auto"/>
              <w:ind w:firstLine="0" w:firstLineChars="0"/>
              <w:rPr>
                <w:rFonts w:ascii="宋体" w:hAnsi="宋体"/>
                <w:color w:val="auto"/>
                <w:sz w:val="21"/>
              </w:rPr>
            </w:pPr>
            <w:r>
              <w:rPr>
                <w:rFonts w:hint="eastAsia" w:ascii="宋体" w:hAnsi="宋体"/>
                <w:color w:val="auto"/>
                <w:sz w:val="21"/>
              </w:rPr>
              <w:t>②期检查防雷接地电阻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7</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噪音</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①车辆运输及制动产生噪音</w:t>
            </w:r>
          </w:p>
          <w:p>
            <w:pPr>
              <w:pStyle w:val="2"/>
              <w:ind w:left="0" w:leftChars="0" w:firstLine="0" w:firstLineChars="0"/>
              <w:rPr>
                <w:color w:val="auto"/>
              </w:rPr>
            </w:pPr>
            <w:r>
              <w:rPr>
                <w:rFonts w:hint="eastAsia" w:ascii="宋体" w:hAnsi="宋体"/>
                <w:color w:val="auto"/>
              </w:rPr>
              <w:t>②挖机作业产生噪音</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干扰居生活</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Ⅱ</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①夜间停止作业</w:t>
            </w:r>
          </w:p>
          <w:p>
            <w:pPr>
              <w:pStyle w:val="2"/>
              <w:ind w:left="0" w:leftChars="0" w:firstLine="0" w:firstLineChars="0"/>
              <w:rPr>
                <w:color w:val="auto"/>
              </w:rPr>
            </w:pPr>
            <w:r>
              <w:rPr>
                <w:rFonts w:hint="eastAsia" w:ascii="宋体" w:hAnsi="宋体"/>
                <w:color w:val="auto"/>
              </w:rPr>
              <w:t>②经过居民区禁止鸣笛</w:t>
            </w:r>
          </w:p>
          <w:p>
            <w:pPr>
              <w:pStyle w:val="2"/>
              <w:ind w:left="56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8</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粉尘</w:t>
            </w:r>
          </w:p>
        </w:tc>
        <w:tc>
          <w:tcPr>
            <w:tcW w:w="3004" w:type="dxa"/>
          </w:tcPr>
          <w:p>
            <w:pPr>
              <w:pStyle w:val="2"/>
              <w:ind w:left="0" w:leftChars="0" w:firstLine="0" w:firstLineChars="0"/>
              <w:rPr>
                <w:rFonts w:ascii="宋体" w:hAnsi="宋体"/>
                <w:color w:val="auto"/>
              </w:rPr>
            </w:pPr>
            <w:r>
              <w:rPr>
                <w:rFonts w:hint="eastAsia" w:ascii="宋体" w:hAnsi="宋体"/>
                <w:color w:val="auto"/>
              </w:rPr>
              <w:t>①道路运输产生粉尘</w:t>
            </w:r>
          </w:p>
          <w:p>
            <w:pPr>
              <w:pStyle w:val="2"/>
              <w:ind w:left="0" w:leftChars="0" w:firstLine="0" w:firstLineChars="0"/>
              <w:rPr>
                <w:color w:val="auto"/>
              </w:rPr>
            </w:pPr>
            <w:r>
              <w:rPr>
                <w:rFonts w:hint="eastAsia" w:ascii="宋体" w:hAnsi="宋体"/>
                <w:color w:val="auto"/>
              </w:rPr>
              <w:t>②铲装作业产生粉尘</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影响人体身体健康</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Ⅱ</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①道路及矿堆洒水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9</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车辆伤害</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①发生交通运输事故</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人员伤亡财产损失</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Ⅲ</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①严禁洒后驾车</w:t>
            </w:r>
          </w:p>
          <w:p>
            <w:pPr>
              <w:pStyle w:val="2"/>
              <w:ind w:left="0" w:leftChars="0" w:firstLine="0" w:firstLineChars="0"/>
              <w:rPr>
                <w:color w:val="auto"/>
              </w:rPr>
            </w:pPr>
            <w:r>
              <w:rPr>
                <w:rFonts w:hint="eastAsia" w:ascii="宋体" w:hAnsi="宋体"/>
                <w:color w:val="auto"/>
              </w:rPr>
              <w:t>②严禁无证驾驶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488" w:type="dxa"/>
          </w:tcPr>
          <w:p>
            <w:pPr>
              <w:spacing w:line="360" w:lineRule="auto"/>
              <w:ind w:firstLine="0" w:firstLineChars="0"/>
              <w:jc w:val="center"/>
              <w:rPr>
                <w:rFonts w:ascii="宋体" w:hAnsi="宋体"/>
                <w:color w:val="auto"/>
                <w:sz w:val="21"/>
              </w:rPr>
            </w:pPr>
            <w:r>
              <w:rPr>
                <w:rFonts w:hint="eastAsia" w:ascii="宋体" w:hAnsi="宋体"/>
                <w:color w:val="auto"/>
                <w:sz w:val="21"/>
              </w:rPr>
              <w:t>10</w:t>
            </w:r>
          </w:p>
        </w:tc>
        <w:tc>
          <w:tcPr>
            <w:tcW w:w="750" w:type="dxa"/>
          </w:tcPr>
          <w:p>
            <w:pPr>
              <w:spacing w:line="360" w:lineRule="auto"/>
              <w:ind w:firstLine="0" w:firstLineChars="0"/>
              <w:rPr>
                <w:rFonts w:ascii="宋体" w:hAnsi="宋体"/>
                <w:color w:val="auto"/>
                <w:sz w:val="21"/>
              </w:rPr>
            </w:pPr>
            <w:r>
              <w:rPr>
                <w:rFonts w:hint="eastAsia" w:ascii="宋体" w:hAnsi="宋体"/>
                <w:color w:val="auto"/>
                <w:sz w:val="21"/>
              </w:rPr>
              <w:t>泥石流行</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①采场台阶发生坍塌，产生泥石流</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人员伤亡财产损失</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Ⅲ</w:t>
            </w:r>
          </w:p>
        </w:tc>
        <w:tc>
          <w:tcPr>
            <w:tcW w:w="3566" w:type="dxa"/>
          </w:tcPr>
          <w:p>
            <w:pPr>
              <w:pStyle w:val="2"/>
              <w:ind w:left="0" w:leftChars="0" w:firstLine="0" w:firstLineChars="0"/>
              <w:rPr>
                <w:rFonts w:ascii="宋体" w:hAnsi="宋体"/>
                <w:color w:val="auto"/>
              </w:rPr>
            </w:pPr>
            <w:r>
              <w:rPr>
                <w:rFonts w:hint="eastAsia" w:ascii="宋体" w:hAnsi="宋体"/>
                <w:color w:val="auto"/>
              </w:rPr>
              <w:t>①控制采场边坡角和台阶高度</w:t>
            </w:r>
          </w:p>
          <w:p>
            <w:pPr>
              <w:pStyle w:val="2"/>
              <w:ind w:left="0" w:leftChars="0" w:firstLine="0" w:firstLineChars="0"/>
              <w:rPr>
                <w:color w:val="auto"/>
              </w:rPr>
            </w:pPr>
            <w:r>
              <w:rPr>
                <w:rFonts w:hint="eastAsia" w:ascii="宋体" w:hAnsi="宋体"/>
                <w:color w:val="auto"/>
              </w:rPr>
              <w:t>②采场周边设置截水沟。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488" w:type="dxa"/>
          </w:tcPr>
          <w:p>
            <w:pPr>
              <w:spacing w:line="360" w:lineRule="auto"/>
              <w:ind w:firstLine="0" w:firstLineChars="0"/>
              <w:rPr>
                <w:rFonts w:ascii="宋体" w:hAnsi="宋体"/>
                <w:color w:val="auto"/>
                <w:sz w:val="21"/>
              </w:rPr>
            </w:pPr>
            <w:r>
              <w:rPr>
                <w:rFonts w:hint="eastAsia" w:ascii="宋体" w:hAnsi="宋体"/>
                <w:color w:val="auto"/>
                <w:sz w:val="21"/>
              </w:rPr>
              <w:t>11</w:t>
            </w:r>
          </w:p>
        </w:tc>
        <w:tc>
          <w:tcPr>
            <w:tcW w:w="750" w:type="dxa"/>
          </w:tcPr>
          <w:p>
            <w:pPr>
              <w:spacing w:line="360" w:lineRule="auto"/>
              <w:ind w:firstLine="0" w:firstLineChars="0"/>
              <w:rPr>
                <w:rFonts w:ascii="宋体" w:hAnsi="宋体"/>
                <w:color w:val="auto"/>
                <w:sz w:val="21"/>
              </w:rPr>
            </w:pPr>
            <w:r>
              <w:rPr>
                <w:rFonts w:hint="eastAsia" w:ascii="宋体" w:hAnsi="宋体"/>
                <w:color w:val="auto"/>
                <w:sz w:val="21"/>
              </w:rPr>
              <w:t>周边居民</w:t>
            </w:r>
          </w:p>
        </w:tc>
        <w:tc>
          <w:tcPr>
            <w:tcW w:w="3004" w:type="dxa"/>
          </w:tcPr>
          <w:p>
            <w:pPr>
              <w:spacing w:line="360" w:lineRule="auto"/>
              <w:ind w:firstLine="0" w:firstLineChars="0"/>
              <w:rPr>
                <w:rFonts w:ascii="宋体" w:hAnsi="宋体"/>
                <w:color w:val="auto"/>
                <w:sz w:val="21"/>
              </w:rPr>
            </w:pPr>
            <w:r>
              <w:rPr>
                <w:rFonts w:hint="eastAsia" w:ascii="宋体" w:hAnsi="宋体"/>
                <w:color w:val="auto"/>
                <w:sz w:val="21"/>
              </w:rPr>
              <w:t xml:space="preserve">①矿山开采影响房屋基础,导致房屋倒塌。 </w:t>
            </w:r>
          </w:p>
        </w:tc>
        <w:tc>
          <w:tcPr>
            <w:tcW w:w="1127" w:type="dxa"/>
          </w:tcPr>
          <w:p>
            <w:pPr>
              <w:spacing w:line="360" w:lineRule="auto"/>
              <w:ind w:firstLine="0" w:firstLineChars="0"/>
              <w:rPr>
                <w:rFonts w:ascii="宋体" w:hAnsi="宋体"/>
                <w:color w:val="auto"/>
                <w:sz w:val="21"/>
              </w:rPr>
            </w:pPr>
            <w:r>
              <w:rPr>
                <w:rFonts w:hint="eastAsia" w:ascii="宋体" w:hAnsi="宋体"/>
                <w:color w:val="auto"/>
                <w:sz w:val="21"/>
              </w:rPr>
              <w:t>人员伤亡财产损失</w:t>
            </w:r>
          </w:p>
        </w:tc>
        <w:tc>
          <w:tcPr>
            <w:tcW w:w="750" w:type="dxa"/>
          </w:tcPr>
          <w:p>
            <w:pPr>
              <w:spacing w:line="360" w:lineRule="auto"/>
              <w:ind w:firstLine="0" w:firstLineChars="0"/>
              <w:jc w:val="center"/>
              <w:rPr>
                <w:rFonts w:ascii="宋体" w:hAnsi="宋体"/>
                <w:color w:val="auto"/>
                <w:sz w:val="21"/>
              </w:rPr>
            </w:pPr>
            <w:r>
              <w:rPr>
                <w:rFonts w:hint="eastAsia" w:ascii="宋体" w:hAnsi="宋体"/>
                <w:color w:val="auto"/>
                <w:sz w:val="21"/>
              </w:rPr>
              <w:t>Ⅲ</w:t>
            </w:r>
          </w:p>
        </w:tc>
        <w:tc>
          <w:tcPr>
            <w:tcW w:w="3566" w:type="dxa"/>
          </w:tcPr>
          <w:p>
            <w:pPr>
              <w:spacing w:line="360" w:lineRule="auto"/>
              <w:ind w:firstLine="0" w:firstLineChars="0"/>
              <w:rPr>
                <w:rFonts w:ascii="宋体" w:hAnsi="宋体"/>
                <w:color w:val="auto"/>
                <w:sz w:val="21"/>
              </w:rPr>
            </w:pPr>
            <w:r>
              <w:rPr>
                <w:rFonts w:hint="eastAsia" w:ascii="宋体" w:hAnsi="宋体"/>
                <w:color w:val="auto"/>
                <w:sz w:val="21"/>
              </w:rPr>
              <w:t>①控制采场边坡与房屋安全距离</w:t>
            </w:r>
          </w:p>
        </w:tc>
      </w:tr>
      <w:bookmarkEnd w:id="110"/>
    </w:tbl>
    <w:p>
      <w:pPr>
        <w:keepNext/>
        <w:keepLines/>
        <w:spacing w:beforeLines="100" w:line="360" w:lineRule="auto"/>
        <w:ind w:firstLine="0" w:firstLineChars="0"/>
        <w:outlineLvl w:val="2"/>
        <w:rPr>
          <w:rFonts w:ascii="宋体" w:hAnsi="宋体"/>
          <w:b/>
          <w:color w:val="auto"/>
          <w:kern w:val="0"/>
          <w:szCs w:val="28"/>
        </w:rPr>
      </w:pPr>
      <w:bookmarkStart w:id="111" w:name="_Toc29033"/>
      <w:bookmarkStart w:id="112" w:name="_Toc18400"/>
      <w:bookmarkStart w:id="113" w:name="_Toc332874319"/>
      <w:bookmarkStart w:id="114" w:name="_Toc25334356"/>
      <w:r>
        <w:rPr>
          <w:rFonts w:hint="eastAsia" w:ascii="宋体" w:hAnsi="宋体"/>
          <w:b/>
          <w:color w:val="auto"/>
          <w:kern w:val="0"/>
          <w:szCs w:val="28"/>
        </w:rPr>
        <w:t>3.1.3</w:t>
      </w:r>
      <w:r>
        <w:rPr>
          <w:rFonts w:ascii="宋体" w:hAnsi="宋体"/>
          <w:b/>
          <w:color w:val="auto"/>
          <w:kern w:val="0"/>
          <w:szCs w:val="28"/>
        </w:rPr>
        <w:t>周边环境影响分析</w:t>
      </w:r>
      <w:bookmarkEnd w:id="111"/>
      <w:bookmarkEnd w:id="112"/>
    </w:p>
    <w:p>
      <w:pPr>
        <w:wordWrap/>
        <w:spacing w:line="360" w:lineRule="auto"/>
        <w:ind w:firstLine="560"/>
        <w:rPr>
          <w:rFonts w:ascii="宋体" w:hAnsi="宋体" w:cs="宋体"/>
          <w:color w:val="auto"/>
          <w:szCs w:val="28"/>
        </w:rPr>
      </w:pPr>
      <w:r>
        <w:rPr>
          <w:rFonts w:hint="eastAsia" w:ascii="宋体" w:hAnsi="宋体" w:cs="宋体"/>
          <w:color w:val="auto"/>
          <w:szCs w:val="28"/>
        </w:rPr>
        <w:t>1）矿区周边环境</w:t>
      </w:r>
    </w:p>
    <w:p>
      <w:pPr>
        <w:wordWrap/>
        <w:spacing w:line="360" w:lineRule="auto"/>
        <w:ind w:firstLine="560"/>
        <w:rPr>
          <w:rFonts w:ascii="宋体" w:hAnsi="宋体" w:cs="宋体"/>
          <w:color w:val="auto"/>
          <w:szCs w:val="28"/>
        </w:rPr>
      </w:pPr>
      <w:r>
        <w:rPr>
          <w:rFonts w:hint="eastAsia" w:ascii="宋体" w:hAnsi="宋体" w:cs="宋体"/>
          <w:color w:val="auto"/>
          <w:szCs w:val="28"/>
        </w:rPr>
        <w:t>矿山共分五分个矿区，分别为：</w:t>
      </w:r>
      <w:r>
        <w:rPr>
          <w:rFonts w:ascii="宋体" w:hAnsi="宋体" w:cs="宋体"/>
          <w:color w:val="auto"/>
          <w:szCs w:val="28"/>
        </w:rPr>
        <w:fldChar w:fldCharType="begin"/>
      </w:r>
      <w:r>
        <w:rPr>
          <w:rFonts w:hint="eastAsia" w:ascii="宋体" w:hAnsi="宋体" w:cs="宋体"/>
          <w:color w:val="auto"/>
          <w:szCs w:val="28"/>
        </w:rPr>
        <w:instrText xml:space="preserve">= 2 \* ROMAN</w:instrText>
      </w:r>
      <w:r>
        <w:rPr>
          <w:rFonts w:ascii="宋体" w:hAnsi="宋体" w:cs="宋体"/>
          <w:color w:val="auto"/>
          <w:szCs w:val="28"/>
        </w:rPr>
        <w:fldChar w:fldCharType="separate"/>
      </w:r>
      <w:r>
        <w:rPr>
          <w:rFonts w:ascii="宋体" w:hAnsi="宋体" w:cs="宋体"/>
          <w:color w:val="auto"/>
          <w:szCs w:val="28"/>
        </w:rPr>
        <w:t>II</w:t>
      </w:r>
      <w:r>
        <w:rPr>
          <w:rFonts w:ascii="宋体" w:hAnsi="宋体" w:cs="宋体"/>
          <w:color w:val="auto"/>
          <w:szCs w:val="28"/>
        </w:rPr>
        <w:fldChar w:fldCharType="end"/>
      </w:r>
      <w:r>
        <w:rPr>
          <w:rFonts w:hint="eastAsia" w:ascii="宋体" w:hAnsi="宋体" w:cs="宋体"/>
          <w:color w:val="auto"/>
          <w:szCs w:val="28"/>
        </w:rPr>
        <w:t>号矿体北区、</w:t>
      </w:r>
      <w:r>
        <w:rPr>
          <w:rFonts w:ascii="宋体" w:hAnsi="宋体" w:cs="宋体"/>
          <w:color w:val="auto"/>
          <w:szCs w:val="28"/>
        </w:rPr>
        <w:fldChar w:fldCharType="begin"/>
      </w:r>
      <w:r>
        <w:rPr>
          <w:rFonts w:hint="eastAsia" w:ascii="宋体" w:hAnsi="宋体" w:cs="宋体"/>
          <w:color w:val="auto"/>
          <w:szCs w:val="28"/>
        </w:rPr>
        <w:instrText xml:space="preserve">= 2 \* ROMAN</w:instrText>
      </w:r>
      <w:r>
        <w:rPr>
          <w:rFonts w:ascii="宋体" w:hAnsi="宋体" w:cs="宋体"/>
          <w:color w:val="auto"/>
          <w:szCs w:val="28"/>
        </w:rPr>
        <w:fldChar w:fldCharType="separate"/>
      </w:r>
      <w:r>
        <w:rPr>
          <w:rFonts w:ascii="宋体" w:hAnsi="宋体" w:cs="宋体"/>
          <w:color w:val="auto"/>
          <w:szCs w:val="28"/>
        </w:rPr>
        <w:t>II</w:t>
      </w:r>
      <w:r>
        <w:rPr>
          <w:rFonts w:ascii="宋体" w:hAnsi="宋体" w:cs="宋体"/>
          <w:color w:val="auto"/>
          <w:szCs w:val="28"/>
        </w:rPr>
        <w:fldChar w:fldCharType="end"/>
      </w:r>
      <w:r>
        <w:rPr>
          <w:rFonts w:hint="eastAsia" w:ascii="宋体" w:hAnsi="宋体" w:cs="宋体"/>
          <w:color w:val="auto"/>
          <w:szCs w:val="28"/>
        </w:rPr>
        <w:t>号矿体南区、</w:t>
      </w:r>
      <w:r>
        <w:rPr>
          <w:rFonts w:ascii="宋体" w:hAnsi="宋体" w:cs="宋体"/>
          <w:color w:val="auto"/>
          <w:szCs w:val="28"/>
        </w:rPr>
        <w:fldChar w:fldCharType="begin"/>
      </w:r>
      <w:r>
        <w:rPr>
          <w:rFonts w:hint="eastAsia" w:ascii="宋体" w:hAnsi="宋体" w:cs="宋体"/>
          <w:color w:val="auto"/>
          <w:szCs w:val="28"/>
        </w:rPr>
        <w:instrText xml:space="preserve">= 1 \* ROMAN</w:instrText>
      </w:r>
      <w:r>
        <w:rPr>
          <w:rFonts w:ascii="宋体" w:hAnsi="宋体" w:cs="宋体"/>
          <w:color w:val="auto"/>
          <w:szCs w:val="28"/>
        </w:rPr>
        <w:fldChar w:fldCharType="separate"/>
      </w:r>
      <w:r>
        <w:rPr>
          <w:rFonts w:ascii="宋体" w:hAnsi="宋体" w:cs="宋体"/>
          <w:color w:val="auto"/>
          <w:szCs w:val="28"/>
        </w:rPr>
        <w:t>I</w:t>
      </w:r>
      <w:r>
        <w:rPr>
          <w:rFonts w:ascii="宋体" w:hAnsi="宋体" w:cs="宋体"/>
          <w:color w:val="auto"/>
          <w:szCs w:val="28"/>
        </w:rPr>
        <w:fldChar w:fldCharType="end"/>
      </w:r>
      <w:r>
        <w:rPr>
          <w:rFonts w:hint="eastAsia" w:ascii="宋体" w:hAnsi="宋体" w:cs="宋体"/>
          <w:color w:val="auto"/>
          <w:szCs w:val="28"/>
        </w:rPr>
        <w:t>号矿体北区、</w:t>
      </w:r>
      <w:r>
        <w:rPr>
          <w:rFonts w:ascii="宋体" w:hAnsi="宋体" w:cs="宋体"/>
          <w:color w:val="auto"/>
          <w:szCs w:val="28"/>
        </w:rPr>
        <w:fldChar w:fldCharType="begin"/>
      </w:r>
      <w:r>
        <w:rPr>
          <w:rFonts w:hint="eastAsia" w:ascii="宋体" w:hAnsi="宋体" w:cs="宋体"/>
          <w:color w:val="auto"/>
          <w:szCs w:val="28"/>
        </w:rPr>
        <w:instrText xml:space="preserve">= 1 \* ROMAN</w:instrText>
      </w:r>
      <w:r>
        <w:rPr>
          <w:rFonts w:ascii="宋体" w:hAnsi="宋体" w:cs="宋体"/>
          <w:color w:val="auto"/>
          <w:szCs w:val="28"/>
        </w:rPr>
        <w:fldChar w:fldCharType="separate"/>
      </w:r>
      <w:r>
        <w:rPr>
          <w:rFonts w:ascii="宋体" w:hAnsi="宋体" w:cs="宋体"/>
          <w:color w:val="auto"/>
          <w:szCs w:val="28"/>
        </w:rPr>
        <w:t>I</w:t>
      </w:r>
      <w:r>
        <w:rPr>
          <w:rFonts w:ascii="宋体" w:hAnsi="宋体" w:cs="宋体"/>
          <w:color w:val="auto"/>
          <w:szCs w:val="28"/>
        </w:rPr>
        <w:fldChar w:fldCharType="end"/>
      </w:r>
      <w:r>
        <w:rPr>
          <w:rFonts w:hint="eastAsia" w:ascii="宋体" w:hAnsi="宋体" w:cs="宋体"/>
          <w:color w:val="auto"/>
          <w:szCs w:val="28"/>
        </w:rPr>
        <w:t>号矿体中区、</w:t>
      </w:r>
      <w:r>
        <w:rPr>
          <w:rFonts w:ascii="宋体" w:hAnsi="宋体" w:cs="宋体"/>
          <w:color w:val="auto"/>
          <w:szCs w:val="28"/>
        </w:rPr>
        <w:fldChar w:fldCharType="begin"/>
      </w:r>
      <w:r>
        <w:rPr>
          <w:rFonts w:hint="eastAsia" w:ascii="宋体" w:hAnsi="宋体" w:cs="宋体"/>
          <w:color w:val="auto"/>
          <w:szCs w:val="28"/>
        </w:rPr>
        <w:instrText xml:space="preserve">= 1 \* ROMAN</w:instrText>
      </w:r>
      <w:r>
        <w:rPr>
          <w:rFonts w:ascii="宋体" w:hAnsi="宋体" w:cs="宋体"/>
          <w:color w:val="auto"/>
          <w:szCs w:val="28"/>
        </w:rPr>
        <w:fldChar w:fldCharType="separate"/>
      </w:r>
      <w:r>
        <w:rPr>
          <w:rFonts w:ascii="宋体" w:hAnsi="宋体" w:cs="宋体"/>
          <w:color w:val="auto"/>
          <w:szCs w:val="28"/>
        </w:rPr>
        <w:t>I</w:t>
      </w:r>
      <w:r>
        <w:rPr>
          <w:rFonts w:ascii="宋体" w:hAnsi="宋体" w:cs="宋体"/>
          <w:color w:val="auto"/>
          <w:szCs w:val="28"/>
        </w:rPr>
        <w:fldChar w:fldCharType="end"/>
      </w:r>
      <w:r>
        <w:rPr>
          <w:rFonts w:hint="eastAsia" w:ascii="宋体" w:hAnsi="宋体" w:cs="宋体"/>
          <w:color w:val="auto"/>
          <w:szCs w:val="28"/>
        </w:rPr>
        <w:t>号矿体南区，矿周边民房较多，有部分在矿区范围内，有部分在矿旁侧，矿区300m范围内周边民房距离矿区统计（每个民房只统计一次）结果如下：</w:t>
      </w:r>
    </w:p>
    <w:p>
      <w:pPr>
        <w:adjustRightInd w:val="0"/>
        <w:snapToGrid w:val="0"/>
        <w:spacing w:line="500" w:lineRule="exact"/>
        <w:ind w:firstLine="0" w:firstLineChars="0"/>
        <w:textAlignment w:val="baseline"/>
        <w:rPr>
          <w:rFonts w:ascii="宋体" w:hAnsi="宋体" w:cs="宋体"/>
          <w:b/>
          <w:snapToGrid w:val="0"/>
          <w:color w:val="auto"/>
          <w:kern w:val="0"/>
          <w:sz w:val="24"/>
        </w:rPr>
      </w:pPr>
      <w:r>
        <w:rPr>
          <w:rFonts w:hint="eastAsia" w:ascii="宋体" w:hAnsi="宋体" w:cs="宋体"/>
          <w:b/>
          <w:snapToGrid w:val="0"/>
          <w:color w:val="auto"/>
          <w:kern w:val="0"/>
          <w:sz w:val="24"/>
        </w:rPr>
        <w:t>表3-3                     矿区内及周边房屋统计表</w:t>
      </w:r>
    </w:p>
    <w:tbl>
      <w:tblPr>
        <w:tblStyle w:val="36"/>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293"/>
        <w:gridCol w:w="1481"/>
        <w:gridCol w:w="1481"/>
        <w:gridCol w:w="1481"/>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500" w:lineRule="exact"/>
              <w:ind w:firstLine="480"/>
              <w:textAlignment w:val="baseline"/>
              <w:rPr>
                <w:rFonts w:ascii="宋体" w:hAnsi="宋体" w:cs="宋体"/>
                <w:snapToGrid w:val="0"/>
                <w:color w:val="auto"/>
                <w:kern w:val="0"/>
                <w:sz w:val="24"/>
              </w:rPr>
            </w:pPr>
          </w:p>
        </w:tc>
        <w:tc>
          <w:tcPr>
            <w:tcW w:w="1293" w:type="dxa"/>
          </w:tcPr>
          <w:p>
            <w:pPr>
              <w:adjustRightInd w:val="0"/>
              <w:snapToGrid w:val="0"/>
              <w:spacing w:line="500" w:lineRule="exact"/>
              <w:ind w:firstLine="480"/>
              <w:textAlignment w:val="baseline"/>
              <w:rPr>
                <w:rFonts w:ascii="宋体" w:hAnsi="宋体" w:cs="宋体"/>
                <w:snapToGrid w:val="0"/>
                <w:color w:val="auto"/>
                <w:kern w:val="0"/>
                <w:sz w:val="24"/>
              </w:rPr>
            </w:pPr>
            <w:r>
              <w:rPr>
                <w:rFonts w:hint="eastAsia" w:ascii="宋体" w:hAnsi="宋体" w:cs="宋体"/>
                <w:snapToGrid w:val="0"/>
                <w:color w:val="auto"/>
                <w:kern w:val="0"/>
                <w:sz w:val="24"/>
              </w:rPr>
              <w:t>东面</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r>
              <w:rPr>
                <w:rFonts w:hint="eastAsia" w:ascii="宋体" w:hAnsi="宋体" w:cs="宋体"/>
                <w:snapToGrid w:val="0"/>
                <w:color w:val="auto"/>
                <w:kern w:val="0"/>
                <w:sz w:val="24"/>
              </w:rPr>
              <w:t>西面</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r>
              <w:rPr>
                <w:rFonts w:hint="eastAsia" w:ascii="宋体" w:hAnsi="宋体" w:cs="宋体"/>
                <w:snapToGrid w:val="0"/>
                <w:color w:val="auto"/>
                <w:kern w:val="0"/>
                <w:sz w:val="24"/>
              </w:rPr>
              <w:t>南面</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r>
              <w:rPr>
                <w:rFonts w:hint="eastAsia" w:ascii="宋体" w:hAnsi="宋体" w:cs="宋体"/>
                <w:snapToGrid w:val="0"/>
                <w:color w:val="auto"/>
                <w:kern w:val="0"/>
                <w:sz w:val="24"/>
              </w:rPr>
              <w:t>北面</w:t>
            </w:r>
          </w:p>
        </w:tc>
        <w:tc>
          <w:tcPr>
            <w:tcW w:w="1481" w:type="dxa"/>
          </w:tcPr>
          <w:p>
            <w:pPr>
              <w:adjustRightInd w:val="0"/>
              <w:snapToGrid w:val="0"/>
              <w:spacing w:line="500" w:lineRule="exact"/>
              <w:ind w:firstLine="480"/>
              <w:textAlignment w:val="baseline"/>
              <w:rPr>
                <w:rFonts w:ascii="宋体" w:hAnsi="宋体" w:cs="宋体"/>
                <w:snapToGrid w:val="0"/>
                <w:color w:val="auto"/>
                <w:kern w:val="0"/>
                <w:sz w:val="24"/>
              </w:rPr>
            </w:pPr>
            <w:r>
              <w:rPr>
                <w:rFonts w:hint="eastAsia" w:ascii="宋体" w:hAnsi="宋体" w:cs="宋体"/>
                <w:snapToGrid w:val="0"/>
                <w:color w:val="auto"/>
                <w:kern w:val="0"/>
                <w:sz w:val="24"/>
              </w:rPr>
              <w:t>矿区内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2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号矿体北区</w:t>
            </w:r>
          </w:p>
        </w:tc>
        <w:tc>
          <w:tcPr>
            <w:tcW w:w="1293"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20m处、13m处、17m处、57m、65m、76m、95m、118m、106m、123m、128m、137m、161m、180m、230m、263m、275m处各有一处房屋</w:t>
            </w: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有5处民房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2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号矿体南区</w:t>
            </w:r>
          </w:p>
        </w:tc>
        <w:tc>
          <w:tcPr>
            <w:tcW w:w="1293"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25m、37m、133m、158m、174m处各有一处房屋</w:t>
            </w: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42m、59m、79m、153m、249m、346m处各有一处房屋</w:t>
            </w: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矿区内有7处民房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1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号矿体北区</w:t>
            </w:r>
          </w:p>
        </w:tc>
        <w:tc>
          <w:tcPr>
            <w:tcW w:w="1293"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23m、62m、75m、64m、73m处各一处房，0m处2处房，15m、22m、41m、24m、43m、50m、62m、75m、71m、93m、116m、107m、141m、154m各一处房</w:t>
            </w: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1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号矿体中区</w:t>
            </w:r>
          </w:p>
        </w:tc>
        <w:tc>
          <w:tcPr>
            <w:tcW w:w="1293"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hint="eastAsia" w:ascii="宋体" w:hAnsi="宋体" w:cs="宋体"/>
                <w:snapToGrid w:val="0"/>
                <w:color w:val="auto"/>
                <w:kern w:val="0"/>
                <w:sz w:val="24"/>
              </w:rPr>
              <w:t>28m处有一处房</w:t>
            </w: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tcPr>
          <w:p>
            <w:pPr>
              <w:adjustRightInd w:val="0"/>
              <w:snapToGrid w:val="0"/>
              <w:spacing w:line="300" w:lineRule="exact"/>
              <w:ind w:firstLine="0" w:firstLineChars="0"/>
              <w:textAlignment w:val="baseline"/>
              <w:rPr>
                <w:rFonts w:ascii="宋体" w:hAnsi="宋体" w:cs="宋体"/>
                <w:snapToGrid w:val="0"/>
                <w:color w:val="auto"/>
                <w:kern w:val="0"/>
                <w:sz w:val="24"/>
              </w:rPr>
            </w:pPr>
            <w:r>
              <w:rPr>
                <w:rFonts w:ascii="宋体" w:hAnsi="宋体" w:cs="宋体"/>
                <w:snapToGrid w:val="0"/>
                <w:color w:val="auto"/>
                <w:kern w:val="0"/>
                <w:sz w:val="24"/>
              </w:rPr>
              <w:fldChar w:fldCharType="begin"/>
            </w:r>
            <w:r>
              <w:rPr>
                <w:rFonts w:hint="eastAsia" w:ascii="宋体" w:hAnsi="宋体" w:cs="宋体"/>
                <w:snapToGrid w:val="0"/>
                <w:color w:val="auto"/>
                <w:kern w:val="0"/>
                <w:sz w:val="24"/>
              </w:rPr>
              <w:instrText xml:space="preserve">= 1 \* ROMAN</w:instrText>
            </w:r>
            <w:r>
              <w:rPr>
                <w:rFonts w:ascii="宋体" w:hAnsi="宋体" w:cs="宋体"/>
                <w:snapToGrid w:val="0"/>
                <w:color w:val="auto"/>
                <w:kern w:val="0"/>
                <w:sz w:val="24"/>
              </w:rPr>
              <w:fldChar w:fldCharType="separate"/>
            </w:r>
            <w:r>
              <w:rPr>
                <w:rFonts w:ascii="宋体" w:hAnsi="宋体" w:cs="宋体"/>
                <w:snapToGrid w:val="0"/>
                <w:color w:val="auto"/>
                <w:kern w:val="0"/>
                <w:sz w:val="24"/>
              </w:rPr>
              <w:t>I</w:t>
            </w:r>
            <w:r>
              <w:rPr>
                <w:rFonts w:ascii="宋体" w:hAnsi="宋体" w:cs="宋体"/>
                <w:snapToGrid w:val="0"/>
                <w:color w:val="auto"/>
                <w:kern w:val="0"/>
                <w:sz w:val="24"/>
              </w:rPr>
              <w:fldChar w:fldCharType="end"/>
            </w:r>
            <w:r>
              <w:rPr>
                <w:rFonts w:hint="eastAsia" w:ascii="宋体" w:hAnsi="宋体" w:cs="宋体"/>
                <w:snapToGrid w:val="0"/>
                <w:color w:val="auto"/>
                <w:kern w:val="0"/>
                <w:sz w:val="24"/>
              </w:rPr>
              <w:t>号矿体南区</w:t>
            </w:r>
          </w:p>
        </w:tc>
        <w:tc>
          <w:tcPr>
            <w:tcW w:w="1293"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c>
          <w:tcPr>
            <w:tcW w:w="1481" w:type="dxa"/>
          </w:tcPr>
          <w:p>
            <w:pPr>
              <w:adjustRightInd w:val="0"/>
              <w:snapToGrid w:val="0"/>
              <w:spacing w:line="300" w:lineRule="exact"/>
              <w:ind w:firstLine="480"/>
              <w:textAlignment w:val="baseline"/>
              <w:rPr>
                <w:rFonts w:ascii="宋体" w:hAnsi="宋体" w:cs="宋体"/>
                <w:snapToGrid w:val="0"/>
                <w:color w:val="auto"/>
                <w:kern w:val="0"/>
                <w:sz w:val="24"/>
              </w:rPr>
            </w:pPr>
          </w:p>
        </w:tc>
      </w:tr>
    </w:tbl>
    <w:p>
      <w:pPr>
        <w:wordWrap/>
        <w:spacing w:line="360" w:lineRule="auto"/>
        <w:ind w:firstLine="560"/>
        <w:rPr>
          <w:rFonts w:ascii="宋体" w:hAnsi="宋体" w:cs="宋体"/>
          <w:color w:val="auto"/>
          <w:szCs w:val="28"/>
        </w:rPr>
      </w:pPr>
      <w:r>
        <w:rPr>
          <w:rFonts w:hint="eastAsia" w:ascii="宋体" w:hAnsi="宋体" w:cs="宋体"/>
          <w:color w:val="auto"/>
          <w:szCs w:val="28"/>
        </w:rPr>
        <w:t>矿区范围内共有5个矿体，矿区内及矿区外均有较多民房，矿山开采过程中，矿山开采边坡与矿区内的民房要求保持一定的安全距离，矿区外的民房将维持现状，由于本矿开采不采用爆破工艺，矿山开采对周边民房影响极小。矿区300m范围内无相邻的其他矿山、无省道、国道，500m范围内无高压线，1000m范围内无高速公路、高速铁路。</w:t>
      </w:r>
    </w:p>
    <w:p>
      <w:pPr>
        <w:wordWrap/>
        <w:spacing w:line="360" w:lineRule="auto"/>
        <w:ind w:firstLine="560"/>
        <w:rPr>
          <w:rFonts w:ascii="宋体" w:hAnsi="宋体" w:cs="宋体"/>
          <w:color w:val="auto"/>
          <w:szCs w:val="28"/>
        </w:rPr>
      </w:pPr>
      <w:r>
        <w:rPr>
          <w:rFonts w:hint="eastAsia" w:ascii="宋体" w:hAnsi="宋体" w:cs="宋体"/>
          <w:color w:val="auto"/>
          <w:szCs w:val="28"/>
        </w:rPr>
        <w:t>矿山应划出隔离带，矿山开采边坡应与矿区内的民房保持足够安全距离，由于矿山采用机械开采不存在放爆作业，矿区外的民房可原地不动。</w:t>
      </w:r>
    </w:p>
    <w:p>
      <w:pPr>
        <w:keepNext/>
        <w:keepLines/>
        <w:spacing w:line="360" w:lineRule="auto"/>
        <w:ind w:firstLine="0" w:firstLineChars="0"/>
        <w:outlineLvl w:val="2"/>
        <w:rPr>
          <w:rFonts w:ascii="宋体" w:hAnsi="宋体"/>
          <w:b/>
          <w:color w:val="auto"/>
          <w:kern w:val="0"/>
          <w:szCs w:val="32"/>
        </w:rPr>
      </w:pPr>
      <w:bookmarkStart w:id="115" w:name="_Toc8299"/>
      <w:r>
        <w:rPr>
          <w:rFonts w:ascii="宋体" w:hAnsi="宋体"/>
          <w:b/>
          <w:color w:val="auto"/>
          <w:kern w:val="0"/>
          <w:szCs w:val="32"/>
        </w:rPr>
        <w:t>3</w:t>
      </w:r>
      <w:r>
        <w:rPr>
          <w:rFonts w:hint="eastAsia" w:ascii="宋体" w:hAnsi="宋体"/>
          <w:b/>
          <w:color w:val="auto"/>
          <w:kern w:val="0"/>
          <w:szCs w:val="32"/>
        </w:rPr>
        <w:t>.1.4 总平面布置及周边环境单元评价小结</w:t>
      </w:r>
      <w:bookmarkEnd w:id="113"/>
      <w:bookmarkEnd w:id="114"/>
      <w:bookmarkEnd w:id="115"/>
    </w:p>
    <w:p>
      <w:pPr>
        <w:wordWrap/>
        <w:spacing w:line="360" w:lineRule="auto"/>
        <w:ind w:firstLine="560"/>
        <w:rPr>
          <w:rFonts w:ascii="宋体" w:hAnsi="宋体"/>
          <w:color w:val="auto"/>
          <w:szCs w:val="22"/>
        </w:rPr>
      </w:pPr>
      <w:r>
        <w:rPr>
          <w:rFonts w:hint="eastAsia" w:ascii="宋体" w:hAnsi="宋体"/>
          <w:color w:val="auto"/>
          <w:szCs w:val="22"/>
        </w:rPr>
        <w:t>1、根据总平面布置安全检查表对比，矿山建设选址及总平面布置符合安全要求。</w:t>
      </w:r>
    </w:p>
    <w:p>
      <w:pPr>
        <w:wordWrap/>
        <w:spacing w:line="360" w:lineRule="auto"/>
        <w:ind w:firstLine="560"/>
        <w:rPr>
          <w:rFonts w:ascii="宋体" w:hAnsi="宋体"/>
          <w:color w:val="auto"/>
          <w:szCs w:val="22"/>
        </w:rPr>
      </w:pPr>
      <w:r>
        <w:rPr>
          <w:rFonts w:hint="eastAsia" w:ascii="宋体" w:hAnsi="宋体"/>
          <w:color w:val="auto"/>
          <w:szCs w:val="22"/>
        </w:rPr>
        <w:t>2、从总平面布置单元预先危险性分析评价来看，其中物体打击属于Ⅱ级，即临界的等级外；坍塌、滑坡、高处坠落、雷击、火灾属于III级危险的，会造成人员伤亡和系统损坏，要立即采取防范对策措施。</w:t>
      </w:r>
    </w:p>
    <w:p>
      <w:pPr>
        <w:wordWrap/>
        <w:spacing w:line="360" w:lineRule="auto"/>
        <w:ind w:firstLine="560"/>
        <w:rPr>
          <w:rFonts w:ascii="宋体" w:hAnsi="宋体" w:cs="宋体"/>
          <w:color w:val="auto"/>
          <w:szCs w:val="28"/>
        </w:rPr>
      </w:pPr>
      <w:r>
        <w:rPr>
          <w:rFonts w:hint="eastAsia" w:ascii="宋体" w:hAnsi="宋体" w:cs="宋体"/>
          <w:color w:val="auto"/>
          <w:szCs w:val="28"/>
        </w:rPr>
        <w:t>3、矿山应划出隔离带，矿山开采边坡应与矿区内的民房保持足够安全距离，由于矿山采用机械开采不存在放爆作业，矿区外的民房可原地不动。</w:t>
      </w:r>
    </w:p>
    <w:p>
      <w:pPr>
        <w:wordWrap/>
        <w:spacing w:line="360" w:lineRule="auto"/>
        <w:ind w:firstLine="560"/>
        <w:rPr>
          <w:rFonts w:ascii="宋体" w:hAnsi="宋体" w:cs="宋体"/>
          <w:color w:val="auto"/>
          <w:szCs w:val="28"/>
        </w:rPr>
      </w:pPr>
      <w:r>
        <w:rPr>
          <w:rFonts w:hint="eastAsia" w:ascii="宋体" w:hAnsi="宋体" w:cs="宋体"/>
          <w:color w:val="auto"/>
          <w:szCs w:val="28"/>
        </w:rPr>
        <w:t>4、村庄与矿山的距离很近矿山生产产生的粉尘、噪音、车辆伤害易给周边村民造成伤害，矿应采取夜间停止作业、车辆经过居民区禁止鸣笛、道路及矿堆洒水、严禁洒后驾车、严禁无证驾驶、控制采场边坡角和台阶高度、采场周边设置截水沟、控制采场边坡与房屋安全距离等措施。</w:t>
      </w:r>
    </w:p>
    <w:p>
      <w:pPr>
        <w:wordWrap/>
        <w:spacing w:line="360" w:lineRule="auto"/>
        <w:ind w:firstLine="560"/>
        <w:rPr>
          <w:rFonts w:ascii="宋体" w:hAnsi="宋体"/>
          <w:color w:val="auto"/>
          <w:szCs w:val="22"/>
        </w:rPr>
      </w:pPr>
      <w:r>
        <w:rPr>
          <w:rFonts w:hint="eastAsia" w:ascii="宋体" w:hAnsi="宋体"/>
          <w:color w:val="auto"/>
          <w:szCs w:val="22"/>
        </w:rPr>
        <w:t>5、《三合一方案》未设计矿区生产、办公等辅助设施场地，未设计辅助设施消防系统，建议下一步设计中补充完善。</w:t>
      </w:r>
    </w:p>
    <w:p>
      <w:pPr>
        <w:keepNext/>
        <w:keepLines/>
        <w:spacing w:line="360" w:lineRule="auto"/>
        <w:ind w:firstLine="0" w:firstLineChars="0"/>
        <w:outlineLvl w:val="1"/>
        <w:rPr>
          <w:rStyle w:val="41"/>
          <w:color w:val="auto"/>
          <w:sz w:val="32"/>
          <w:szCs w:val="32"/>
        </w:rPr>
      </w:pPr>
      <w:bookmarkStart w:id="116" w:name="_Toc25334357"/>
      <w:bookmarkStart w:id="117" w:name="_Toc12386"/>
      <w:bookmarkStart w:id="118" w:name="_Toc17217"/>
      <w:bookmarkStart w:id="119" w:name="_Toc241480501"/>
      <w:r>
        <w:rPr>
          <w:rFonts w:ascii="宋体" w:hAnsi="宋体"/>
          <w:b/>
          <w:bCs/>
          <w:color w:val="auto"/>
          <w:sz w:val="32"/>
          <w:szCs w:val="32"/>
        </w:rPr>
        <w:t>3</w:t>
      </w:r>
      <w:r>
        <w:rPr>
          <w:rFonts w:hint="eastAsia" w:ascii="宋体" w:hAnsi="宋体"/>
          <w:b/>
          <w:bCs/>
          <w:color w:val="auto"/>
          <w:sz w:val="32"/>
          <w:szCs w:val="32"/>
        </w:rPr>
        <w:t>.2 开拓运输单元</w:t>
      </w:r>
      <w:bookmarkEnd w:id="116"/>
      <w:bookmarkEnd w:id="117"/>
      <w:bookmarkEnd w:id="118"/>
    </w:p>
    <w:p>
      <w:pPr>
        <w:widowControl/>
        <w:spacing w:line="360" w:lineRule="auto"/>
        <w:ind w:firstLine="560"/>
        <w:jc w:val="left"/>
        <w:rPr>
          <w:rFonts w:ascii="宋体" w:hAnsi="宋体"/>
          <w:color w:val="auto"/>
          <w:szCs w:val="28"/>
        </w:rPr>
      </w:pPr>
      <w:bookmarkStart w:id="120" w:name="_Toc514763905"/>
      <w:bookmarkStart w:id="121" w:name="_Toc7123"/>
      <w:bookmarkStart w:id="122" w:name="_Toc502497006"/>
      <w:bookmarkStart w:id="123" w:name="_Toc528232040"/>
      <w:r>
        <w:rPr>
          <w:rFonts w:hint="eastAsia" w:hAnsi="宋体"/>
          <w:color w:val="auto"/>
        </w:rPr>
        <w:t>《三合一方案》设计运矿（岩）道路按GBJ22-87《厂矿道路设计规范》，设计运输道路为Ⅲ级露天矿山道路，设计道路主要参数为：路基宽6m，路面宽4m的单向车道，最大纵坡≤10%，平均纵坡7%，回头曲线半径20m，缓和坡段不小于60m，按不大于300m设错车道。采用泥结碎石路面，并根据实际情况采取相应的护坡措施</w:t>
      </w:r>
      <w:r>
        <w:rPr>
          <w:rFonts w:hint="eastAsia" w:ascii="宋体" w:hAnsi="宋体"/>
          <w:color w:val="auto"/>
          <w:szCs w:val="28"/>
        </w:rPr>
        <w:t>。</w:t>
      </w:r>
    </w:p>
    <w:p>
      <w:pPr>
        <w:pStyle w:val="5"/>
        <w:ind w:firstLine="0" w:firstLineChars="0"/>
        <w:rPr>
          <w:rFonts w:ascii="Times New Roman" w:hAnsi="Times New Roman"/>
          <w:color w:val="auto"/>
        </w:rPr>
      </w:pPr>
      <w:bookmarkStart w:id="124" w:name="_Toc26523"/>
      <w:r>
        <w:rPr>
          <w:rFonts w:hint="eastAsia"/>
          <w:color w:val="auto"/>
        </w:rPr>
        <w:t>3.2.1</w:t>
      </w:r>
      <w:r>
        <w:rPr>
          <w:rFonts w:hint="eastAsia" w:ascii="Times New Roman" w:hAnsi="Times New Roman"/>
          <w:color w:val="auto"/>
        </w:rPr>
        <w:t>开拓运输系统主要危险有害因素分析</w:t>
      </w:r>
      <w:bookmarkEnd w:id="120"/>
      <w:bookmarkEnd w:id="121"/>
      <w:bookmarkEnd w:id="122"/>
      <w:bookmarkEnd w:id="123"/>
      <w:bookmarkEnd w:id="124"/>
    </w:p>
    <w:p>
      <w:pPr>
        <w:spacing w:line="360" w:lineRule="auto"/>
        <w:ind w:firstLine="560"/>
        <w:rPr>
          <w:color w:val="auto"/>
          <w:szCs w:val="28"/>
        </w:rPr>
      </w:pPr>
      <w:r>
        <w:rPr>
          <w:rFonts w:hint="eastAsia"/>
          <w:color w:val="auto"/>
          <w:szCs w:val="28"/>
        </w:rPr>
        <w:t>1、运输道路坡度、宽度、硬度及转弯半径设置不合理，可引起车辆伤害。</w:t>
      </w:r>
    </w:p>
    <w:p>
      <w:pPr>
        <w:spacing w:line="360" w:lineRule="auto"/>
        <w:ind w:firstLine="560"/>
        <w:rPr>
          <w:color w:val="auto"/>
          <w:szCs w:val="28"/>
        </w:rPr>
      </w:pPr>
      <w:r>
        <w:rPr>
          <w:rFonts w:hint="eastAsia"/>
          <w:color w:val="auto"/>
          <w:szCs w:val="28"/>
        </w:rPr>
        <w:t>2、运输道路车档设置不合理、安全警示标志不足，操作人员操作失误或反应不及时，可引发车辆伤害事故。</w:t>
      </w:r>
    </w:p>
    <w:p>
      <w:pPr>
        <w:spacing w:line="360" w:lineRule="auto"/>
        <w:ind w:firstLine="560"/>
        <w:rPr>
          <w:color w:val="auto"/>
          <w:szCs w:val="28"/>
        </w:rPr>
      </w:pPr>
      <w:r>
        <w:rPr>
          <w:rFonts w:hint="eastAsia"/>
          <w:color w:val="auto"/>
          <w:szCs w:val="28"/>
        </w:rPr>
        <w:t>3、运矿车辆不符合安全要求，驾驶人员未经培训或取证，驾驶人员违规作业，均可引起车辆伤害。</w:t>
      </w:r>
    </w:p>
    <w:p>
      <w:pPr>
        <w:spacing w:line="360" w:lineRule="auto"/>
        <w:ind w:firstLine="560"/>
        <w:rPr>
          <w:color w:val="auto"/>
        </w:rPr>
      </w:pPr>
      <w:r>
        <w:rPr>
          <w:rFonts w:hint="eastAsia"/>
          <w:color w:val="auto"/>
          <w:szCs w:val="28"/>
        </w:rPr>
        <w:t>4、作业场所及人员粉尘防护措施不到位，作业人员可引发尘肺病。</w:t>
      </w:r>
    </w:p>
    <w:p>
      <w:pPr>
        <w:pStyle w:val="5"/>
        <w:ind w:firstLine="0" w:firstLineChars="0"/>
        <w:rPr>
          <w:color w:val="auto"/>
        </w:rPr>
      </w:pPr>
      <w:bookmarkStart w:id="125" w:name="_Toc528232041"/>
      <w:bookmarkStart w:id="126" w:name="_Toc479154480"/>
      <w:bookmarkStart w:id="127" w:name="_Toc31713"/>
      <w:bookmarkStart w:id="128" w:name="_Toc514763906"/>
      <w:bookmarkStart w:id="129" w:name="_Toc479951115"/>
      <w:bookmarkStart w:id="130" w:name="_Toc16045"/>
      <w:r>
        <w:rPr>
          <w:rFonts w:hint="eastAsia"/>
          <w:color w:val="auto"/>
        </w:rPr>
        <w:t>3.2.2开拓运输系统单元预先危险性分析</w:t>
      </w:r>
      <w:bookmarkEnd w:id="125"/>
      <w:bookmarkEnd w:id="126"/>
      <w:bookmarkEnd w:id="127"/>
      <w:bookmarkEnd w:id="128"/>
      <w:bookmarkEnd w:id="129"/>
      <w:bookmarkEnd w:id="130"/>
    </w:p>
    <w:p>
      <w:pPr>
        <w:spacing w:line="360" w:lineRule="auto"/>
        <w:ind w:firstLine="560"/>
        <w:rPr>
          <w:color w:val="auto"/>
          <w:szCs w:val="28"/>
        </w:rPr>
      </w:pPr>
      <w:r>
        <w:rPr>
          <w:rFonts w:hint="eastAsia"/>
          <w:color w:val="auto"/>
        </w:rPr>
        <w:t>矿山开拓运输系统涉及挖机、汽车等设备，涉及道路、边坡、平台等设施，存在的主要危险、有害因素有：物体打击、车辆伤害、粉尘危害、噪声与振动等。以下用预先危险性分析评价方法对</w:t>
      </w:r>
      <w:r>
        <w:rPr>
          <w:rFonts w:hint="eastAsia"/>
          <w:color w:val="auto"/>
          <w:szCs w:val="28"/>
        </w:rPr>
        <w:t>矿山运输单元的危险、有害因素进行定性评价</w:t>
      </w:r>
      <w:r>
        <w:rPr>
          <w:rFonts w:hint="eastAsia"/>
          <w:color w:val="auto"/>
        </w:rPr>
        <w:t>。</w:t>
      </w:r>
    </w:p>
    <w:bookmarkEnd w:id="119"/>
    <w:p>
      <w:pPr>
        <w:wordWrap/>
        <w:spacing w:line="360" w:lineRule="auto"/>
        <w:ind w:firstLine="0" w:firstLineChars="0"/>
        <w:jc w:val="left"/>
        <w:rPr>
          <w:rFonts w:ascii="宋体" w:hAnsi="宋体"/>
          <w:b/>
          <w:bCs/>
          <w:color w:val="auto"/>
          <w:sz w:val="24"/>
        </w:rPr>
      </w:pPr>
      <w:r>
        <w:rPr>
          <w:rFonts w:hint="eastAsia" w:ascii="宋体" w:hAnsi="宋体"/>
          <w:b/>
          <w:bCs/>
          <w:color w:val="auto"/>
          <w:sz w:val="24"/>
        </w:rPr>
        <w:t>表</w:t>
      </w:r>
      <w:r>
        <w:rPr>
          <w:rFonts w:ascii="宋体" w:hAnsi="宋体"/>
          <w:b/>
          <w:bCs/>
          <w:color w:val="auto"/>
          <w:sz w:val="24"/>
        </w:rPr>
        <w:t>3—</w:t>
      </w:r>
      <w:r>
        <w:rPr>
          <w:rFonts w:hint="eastAsia" w:ascii="宋体" w:hAnsi="宋体"/>
          <w:b/>
          <w:bCs/>
          <w:color w:val="auto"/>
          <w:sz w:val="24"/>
        </w:rPr>
        <w:t>4                    运输单元预先危险性分析表</w:t>
      </w:r>
    </w:p>
    <w:tbl>
      <w:tblPr>
        <w:tblStyle w:val="36"/>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278"/>
        <w:gridCol w:w="760"/>
        <w:gridCol w:w="861"/>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危险有害因素</w:t>
            </w:r>
          </w:p>
        </w:tc>
        <w:tc>
          <w:tcPr>
            <w:tcW w:w="2278"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原因</w:t>
            </w:r>
          </w:p>
        </w:tc>
        <w:tc>
          <w:tcPr>
            <w:tcW w:w="760"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结果</w:t>
            </w:r>
          </w:p>
        </w:tc>
        <w:tc>
          <w:tcPr>
            <w:tcW w:w="861"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危险</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等级</w:t>
            </w:r>
          </w:p>
        </w:tc>
        <w:tc>
          <w:tcPr>
            <w:tcW w:w="4836"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trPr>
        <w:tc>
          <w:tcPr>
            <w:tcW w:w="950" w:type="dxa"/>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物体</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打击</w:t>
            </w:r>
          </w:p>
        </w:tc>
        <w:tc>
          <w:tcPr>
            <w:tcW w:w="2278" w:type="dxa"/>
          </w:tcPr>
          <w:p>
            <w:pPr>
              <w:numPr>
                <w:ilvl w:val="0"/>
                <w:numId w:val="7"/>
              </w:numPr>
              <w:tabs>
                <w:tab w:val="left" w:pos="-108"/>
                <w:tab w:val="clear" w:pos="360"/>
              </w:tabs>
              <w:wordWrap/>
              <w:spacing w:line="360" w:lineRule="auto"/>
              <w:ind w:left="0" w:firstLine="0" w:firstLineChars="0"/>
              <w:rPr>
                <w:rFonts w:ascii="宋体" w:hAnsi="宋体"/>
                <w:color w:val="auto"/>
                <w:sz w:val="21"/>
                <w:szCs w:val="21"/>
              </w:rPr>
            </w:pPr>
            <w:r>
              <w:rPr>
                <w:rFonts w:hint="eastAsia" w:ascii="宋体" w:hAnsi="宋体"/>
                <w:color w:val="auto"/>
                <w:sz w:val="21"/>
                <w:szCs w:val="21"/>
              </w:rPr>
              <w:t>矿石及物料提升落物伤人</w:t>
            </w:r>
          </w:p>
        </w:tc>
        <w:tc>
          <w:tcPr>
            <w:tcW w:w="760" w:type="dxa"/>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人员</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伤亡</w:t>
            </w:r>
          </w:p>
        </w:tc>
        <w:tc>
          <w:tcPr>
            <w:tcW w:w="861"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Ⅱ</w:t>
            </w:r>
          </w:p>
        </w:tc>
        <w:tc>
          <w:tcPr>
            <w:tcW w:w="4836" w:type="dxa"/>
          </w:tcPr>
          <w:p>
            <w:pPr>
              <w:numPr>
                <w:ilvl w:val="0"/>
                <w:numId w:val="8"/>
              </w:numPr>
              <w:wordWrap/>
              <w:spacing w:line="360" w:lineRule="auto"/>
              <w:ind w:firstLine="0" w:firstLineChars="0"/>
              <w:rPr>
                <w:rFonts w:ascii="宋体" w:hAnsi="宋体"/>
                <w:color w:val="auto"/>
                <w:sz w:val="21"/>
                <w:szCs w:val="21"/>
              </w:rPr>
            </w:pPr>
            <w:r>
              <w:rPr>
                <w:rFonts w:hint="eastAsia" w:ascii="宋体" w:hAnsi="宋体"/>
                <w:color w:val="auto"/>
                <w:sz w:val="21"/>
                <w:szCs w:val="21"/>
              </w:rPr>
              <w:t>矿石不能装得太满；</w:t>
            </w:r>
          </w:p>
          <w:p>
            <w:pPr>
              <w:numPr>
                <w:ilvl w:val="0"/>
                <w:numId w:val="8"/>
              </w:numPr>
              <w:wordWrap/>
              <w:spacing w:line="360" w:lineRule="auto"/>
              <w:ind w:firstLine="0" w:firstLineChars="0"/>
              <w:rPr>
                <w:rFonts w:ascii="宋体" w:hAnsi="宋体"/>
                <w:color w:val="auto"/>
                <w:sz w:val="21"/>
                <w:szCs w:val="21"/>
              </w:rPr>
            </w:pPr>
            <w:r>
              <w:rPr>
                <w:rFonts w:hint="eastAsia" w:ascii="宋体" w:hAnsi="宋体"/>
                <w:color w:val="auto"/>
                <w:sz w:val="21"/>
                <w:szCs w:val="21"/>
              </w:rPr>
              <w:t>运输时，人员应在安全区域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车辆</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伤害</w:t>
            </w:r>
          </w:p>
        </w:tc>
        <w:tc>
          <w:tcPr>
            <w:tcW w:w="2278" w:type="dxa"/>
          </w:tcPr>
          <w:p>
            <w:pPr>
              <w:numPr>
                <w:ilvl w:val="0"/>
                <w:numId w:val="9"/>
              </w:numPr>
              <w:wordWrap/>
              <w:spacing w:line="360" w:lineRule="auto"/>
              <w:ind w:firstLine="0" w:firstLineChars="0"/>
              <w:rPr>
                <w:rFonts w:ascii="宋体" w:hAnsi="宋体"/>
                <w:color w:val="auto"/>
                <w:sz w:val="21"/>
                <w:szCs w:val="21"/>
              </w:rPr>
            </w:pPr>
            <w:r>
              <w:rPr>
                <w:rFonts w:hint="eastAsia" w:ascii="宋体" w:hAnsi="宋体"/>
                <w:color w:val="auto"/>
                <w:sz w:val="21"/>
                <w:szCs w:val="21"/>
              </w:rPr>
              <w:t>行人在运输道上逗留、与运输抢道、扒跳车、超速运行、违章作业、无人行道、制动装置失效、运输道路打滑、道路无护坡等；</w:t>
            </w:r>
          </w:p>
          <w:p>
            <w:pPr>
              <w:numPr>
                <w:ilvl w:val="0"/>
                <w:numId w:val="9"/>
              </w:numPr>
              <w:wordWrap/>
              <w:spacing w:line="360" w:lineRule="auto"/>
              <w:ind w:firstLine="0" w:firstLineChars="0"/>
              <w:rPr>
                <w:rFonts w:ascii="宋体" w:hAnsi="宋体"/>
                <w:color w:val="auto"/>
                <w:sz w:val="21"/>
                <w:szCs w:val="21"/>
              </w:rPr>
            </w:pPr>
            <w:r>
              <w:rPr>
                <w:rFonts w:hint="eastAsia" w:ascii="宋体" w:hAnsi="宋体"/>
                <w:color w:val="auto"/>
                <w:sz w:val="21"/>
                <w:szCs w:val="21"/>
              </w:rPr>
              <w:t>跑车；</w:t>
            </w:r>
          </w:p>
          <w:p>
            <w:pPr>
              <w:numPr>
                <w:ilvl w:val="0"/>
                <w:numId w:val="9"/>
              </w:numPr>
              <w:wordWrap/>
              <w:spacing w:line="360" w:lineRule="auto"/>
              <w:ind w:firstLine="0" w:firstLineChars="0"/>
              <w:rPr>
                <w:rFonts w:ascii="宋体" w:hAnsi="宋体"/>
                <w:color w:val="auto"/>
                <w:sz w:val="21"/>
                <w:szCs w:val="21"/>
              </w:rPr>
            </w:pPr>
            <w:r>
              <w:rPr>
                <w:rFonts w:hint="eastAsia" w:ascii="宋体" w:hAnsi="宋体"/>
                <w:color w:val="auto"/>
                <w:sz w:val="21"/>
                <w:szCs w:val="21"/>
              </w:rPr>
              <w:t>车辆撞人。</w:t>
            </w:r>
          </w:p>
        </w:tc>
        <w:tc>
          <w:tcPr>
            <w:tcW w:w="760" w:type="dxa"/>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人员</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伤亡</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财产</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损失</w:t>
            </w:r>
          </w:p>
        </w:tc>
        <w:tc>
          <w:tcPr>
            <w:tcW w:w="861"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Ⅱ</w:t>
            </w:r>
          </w:p>
        </w:tc>
        <w:tc>
          <w:tcPr>
            <w:tcW w:w="4836" w:type="dxa"/>
          </w:tcPr>
          <w:p>
            <w:pPr>
              <w:numPr>
                <w:ilvl w:val="0"/>
                <w:numId w:val="10"/>
              </w:numPr>
              <w:wordWrap/>
              <w:spacing w:line="360" w:lineRule="auto"/>
              <w:ind w:firstLine="0" w:firstLineChars="0"/>
              <w:rPr>
                <w:rFonts w:ascii="宋体" w:hAnsi="宋体"/>
                <w:color w:val="auto"/>
                <w:sz w:val="21"/>
                <w:szCs w:val="21"/>
              </w:rPr>
            </w:pPr>
            <w:r>
              <w:rPr>
                <w:rFonts w:hint="eastAsia" w:ascii="宋体" w:hAnsi="宋体"/>
                <w:color w:val="auto"/>
                <w:sz w:val="21"/>
                <w:szCs w:val="21"/>
              </w:rPr>
              <w:t>加强安全教育培训，提高人员安全素质，司机需经培训持证上岗；</w:t>
            </w:r>
          </w:p>
          <w:p>
            <w:pPr>
              <w:numPr>
                <w:ilvl w:val="0"/>
                <w:numId w:val="10"/>
              </w:numPr>
              <w:wordWrap/>
              <w:spacing w:line="360" w:lineRule="auto"/>
              <w:ind w:firstLine="0" w:firstLineChars="0"/>
              <w:rPr>
                <w:rFonts w:ascii="宋体" w:hAnsi="宋体"/>
                <w:color w:val="auto"/>
                <w:sz w:val="21"/>
                <w:szCs w:val="21"/>
              </w:rPr>
            </w:pPr>
            <w:r>
              <w:rPr>
                <w:rFonts w:hint="eastAsia" w:ascii="宋体" w:hAnsi="宋体"/>
                <w:color w:val="auto"/>
                <w:sz w:val="21"/>
                <w:szCs w:val="21"/>
              </w:rPr>
              <w:t>运输道路保持完好，设置人行道，道路坡度符合规程要求；</w:t>
            </w:r>
          </w:p>
          <w:p>
            <w:pPr>
              <w:numPr>
                <w:ilvl w:val="0"/>
                <w:numId w:val="10"/>
              </w:numPr>
              <w:wordWrap/>
              <w:spacing w:line="360" w:lineRule="auto"/>
              <w:ind w:firstLine="0" w:firstLineChars="0"/>
              <w:rPr>
                <w:rFonts w:ascii="宋体" w:hAnsi="宋体"/>
                <w:color w:val="auto"/>
                <w:sz w:val="21"/>
                <w:szCs w:val="21"/>
              </w:rPr>
            </w:pPr>
            <w:r>
              <w:rPr>
                <w:rFonts w:hint="eastAsia" w:ascii="宋体" w:hAnsi="宋体"/>
                <w:color w:val="auto"/>
                <w:sz w:val="21"/>
                <w:szCs w:val="21"/>
              </w:rPr>
              <w:t>道路边设置护坡或防护墙；</w:t>
            </w:r>
          </w:p>
          <w:p>
            <w:pPr>
              <w:wordWrap/>
              <w:spacing w:line="360" w:lineRule="auto"/>
              <w:ind w:left="360" w:firstLine="0" w:firstLineChars="0"/>
              <w:rPr>
                <w:rFonts w:ascii="宋体" w:hAnsi="宋体"/>
                <w:color w:val="auto"/>
                <w:sz w:val="21"/>
                <w:szCs w:val="21"/>
              </w:rPr>
            </w:pPr>
            <w:r>
              <w:rPr>
                <w:rFonts w:hint="eastAsia" w:ascii="宋体" w:hAnsi="宋体"/>
                <w:color w:val="auto"/>
                <w:sz w:val="21"/>
                <w:szCs w:val="21"/>
              </w:rPr>
              <w:t>4、加强安全检查，及时消除隐患</w:t>
            </w:r>
          </w:p>
          <w:p>
            <w:pPr>
              <w:wordWrap/>
              <w:spacing w:line="360" w:lineRule="auto"/>
              <w:ind w:left="360" w:firstLine="0" w:firstLineChars="0"/>
              <w:rPr>
                <w:rFonts w:ascii="宋体" w:hAnsi="宋体"/>
                <w:color w:val="auto"/>
                <w:sz w:val="21"/>
                <w:szCs w:val="21"/>
              </w:rPr>
            </w:pPr>
            <w:r>
              <w:rPr>
                <w:rFonts w:hint="eastAsia" w:ascii="宋体" w:hAnsi="宋体"/>
                <w:color w:val="auto"/>
                <w:sz w:val="21"/>
                <w:szCs w:val="21"/>
              </w:rPr>
              <w:t>5、加强安全教育培训，提高人员安全素质，运输司机需经培训持证上岗；</w:t>
            </w:r>
          </w:p>
          <w:p>
            <w:pPr>
              <w:wordWrap/>
              <w:spacing w:line="360" w:lineRule="auto"/>
              <w:ind w:left="360" w:firstLine="0" w:firstLineChars="0"/>
              <w:rPr>
                <w:rFonts w:ascii="宋体" w:hAnsi="宋体"/>
                <w:color w:val="auto"/>
                <w:sz w:val="21"/>
                <w:szCs w:val="21"/>
              </w:rPr>
            </w:pPr>
            <w:r>
              <w:rPr>
                <w:rFonts w:hint="eastAsia" w:ascii="宋体" w:hAnsi="宋体"/>
                <w:color w:val="auto"/>
                <w:sz w:val="21"/>
                <w:szCs w:val="21"/>
              </w:rPr>
              <w:t>6、加强安全检查，及时消除隐患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center"/>
          </w:tcPr>
          <w:p>
            <w:pPr>
              <w:wordWrap/>
              <w:spacing w:line="360" w:lineRule="auto"/>
              <w:ind w:firstLine="0" w:firstLineChars="0"/>
              <w:jc w:val="center"/>
              <w:rPr>
                <w:rFonts w:ascii="宋体" w:hAnsi="宋体"/>
                <w:color w:val="auto"/>
                <w:sz w:val="21"/>
                <w:szCs w:val="21"/>
              </w:rPr>
            </w:pP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滑坡</w:t>
            </w:r>
          </w:p>
        </w:tc>
        <w:tc>
          <w:tcPr>
            <w:tcW w:w="2278"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1、作业震动、边坡角过大等；</w:t>
            </w:r>
          </w:p>
          <w:p>
            <w:pPr>
              <w:wordWrap/>
              <w:spacing w:line="360" w:lineRule="auto"/>
              <w:ind w:firstLine="0" w:firstLineChars="0"/>
              <w:rPr>
                <w:rFonts w:ascii="宋体" w:hAnsi="宋体"/>
                <w:color w:val="auto"/>
                <w:sz w:val="21"/>
                <w:szCs w:val="21"/>
              </w:rPr>
            </w:pPr>
            <w:r>
              <w:rPr>
                <w:rFonts w:hint="eastAsia" w:ascii="宋体" w:hAnsi="宋体"/>
                <w:color w:val="auto"/>
                <w:sz w:val="21"/>
                <w:szCs w:val="21"/>
              </w:rPr>
              <w:t>2、地表水冲击，涌水，无截排水沟；</w:t>
            </w:r>
          </w:p>
          <w:p>
            <w:pPr>
              <w:wordWrap/>
              <w:spacing w:line="360" w:lineRule="auto"/>
              <w:ind w:firstLine="0" w:firstLineChars="0"/>
              <w:rPr>
                <w:rFonts w:ascii="宋体" w:hAnsi="宋体"/>
                <w:color w:val="auto"/>
                <w:sz w:val="21"/>
                <w:szCs w:val="21"/>
              </w:rPr>
            </w:pPr>
            <w:r>
              <w:rPr>
                <w:rFonts w:hint="eastAsia" w:ascii="宋体" w:hAnsi="宋体"/>
                <w:color w:val="auto"/>
                <w:sz w:val="21"/>
                <w:szCs w:val="21"/>
              </w:rPr>
              <w:t>3、边坡角过大；</w:t>
            </w:r>
          </w:p>
          <w:p>
            <w:pPr>
              <w:wordWrap/>
              <w:spacing w:line="360" w:lineRule="auto"/>
              <w:ind w:firstLine="0" w:firstLineChars="0"/>
              <w:rPr>
                <w:rFonts w:ascii="宋体" w:hAnsi="宋体"/>
                <w:color w:val="auto"/>
                <w:sz w:val="21"/>
                <w:szCs w:val="21"/>
              </w:rPr>
            </w:pPr>
            <w:r>
              <w:rPr>
                <w:rFonts w:hint="eastAsia" w:ascii="宋体" w:hAnsi="宋体"/>
                <w:color w:val="auto"/>
                <w:sz w:val="21"/>
                <w:szCs w:val="21"/>
              </w:rPr>
              <w:t>4、道路基础不牢；</w:t>
            </w:r>
          </w:p>
          <w:p>
            <w:pPr>
              <w:wordWrap/>
              <w:spacing w:line="360" w:lineRule="auto"/>
              <w:ind w:firstLine="0" w:firstLineChars="0"/>
              <w:rPr>
                <w:rFonts w:ascii="宋体" w:hAnsi="宋体"/>
                <w:color w:val="auto"/>
                <w:sz w:val="21"/>
                <w:szCs w:val="21"/>
              </w:rPr>
            </w:pPr>
            <w:r>
              <w:rPr>
                <w:rFonts w:hint="eastAsia" w:ascii="宋体" w:hAnsi="宋体"/>
                <w:color w:val="auto"/>
                <w:sz w:val="21"/>
                <w:szCs w:val="21"/>
              </w:rPr>
              <w:t>5、边坡缺乏监测、检查；</w:t>
            </w:r>
          </w:p>
        </w:tc>
        <w:tc>
          <w:tcPr>
            <w:tcW w:w="760"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车辆被埋或坠落</w:t>
            </w:r>
          </w:p>
        </w:tc>
        <w:tc>
          <w:tcPr>
            <w:tcW w:w="861"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Ⅲ</w:t>
            </w:r>
          </w:p>
        </w:tc>
        <w:tc>
          <w:tcPr>
            <w:tcW w:w="4836" w:type="dxa"/>
          </w:tcPr>
          <w:p>
            <w:pPr>
              <w:wordWrap/>
              <w:spacing w:line="360" w:lineRule="auto"/>
              <w:ind w:firstLine="210" w:firstLineChars="100"/>
              <w:jc w:val="left"/>
              <w:rPr>
                <w:rFonts w:ascii="宋体" w:hAnsi="宋体"/>
                <w:color w:val="auto"/>
                <w:sz w:val="21"/>
                <w:szCs w:val="21"/>
              </w:rPr>
            </w:pPr>
            <w:r>
              <w:rPr>
                <w:rFonts w:hint="eastAsia" w:ascii="宋体" w:hAnsi="宋体"/>
                <w:color w:val="auto"/>
                <w:sz w:val="21"/>
                <w:szCs w:val="21"/>
              </w:rPr>
              <w:t>1、加强边坡监测、检查，道路边坡角不大于矿床的自然安息角；</w:t>
            </w:r>
          </w:p>
          <w:p>
            <w:pPr>
              <w:wordWrap/>
              <w:spacing w:line="360" w:lineRule="auto"/>
              <w:ind w:firstLine="210" w:firstLineChars="100"/>
              <w:rPr>
                <w:rFonts w:ascii="宋体" w:hAnsi="宋体"/>
                <w:color w:val="auto"/>
                <w:sz w:val="21"/>
                <w:szCs w:val="21"/>
              </w:rPr>
            </w:pPr>
            <w:r>
              <w:rPr>
                <w:rFonts w:hint="eastAsia" w:ascii="宋体" w:hAnsi="宋体"/>
                <w:color w:val="auto"/>
                <w:sz w:val="21"/>
                <w:szCs w:val="21"/>
              </w:rPr>
              <w:t>2、道路边坡上方设截、排水沟。</w:t>
            </w:r>
          </w:p>
          <w:p>
            <w:pPr>
              <w:wordWrap/>
              <w:spacing w:line="360" w:lineRule="auto"/>
              <w:ind w:firstLine="210" w:firstLineChars="100"/>
              <w:rPr>
                <w:rFonts w:ascii="宋体" w:hAnsi="宋体"/>
                <w:color w:val="auto"/>
                <w:sz w:val="21"/>
                <w:szCs w:val="21"/>
              </w:rPr>
            </w:pPr>
            <w:r>
              <w:rPr>
                <w:rFonts w:hint="eastAsia" w:ascii="宋体" w:hAnsi="宋体"/>
                <w:color w:val="auto"/>
                <w:sz w:val="21"/>
                <w:szCs w:val="21"/>
              </w:rPr>
              <w:t>3、对不稳定边坡进行加固。</w:t>
            </w:r>
          </w:p>
          <w:p>
            <w:pPr>
              <w:wordWrap/>
              <w:spacing w:line="360" w:lineRule="auto"/>
              <w:ind w:firstLine="210" w:firstLineChars="100"/>
              <w:rPr>
                <w:rFonts w:ascii="宋体" w:hAnsi="宋体"/>
                <w:color w:val="auto"/>
                <w:sz w:val="21"/>
                <w:szCs w:val="21"/>
              </w:rPr>
            </w:pPr>
            <w:r>
              <w:rPr>
                <w:rFonts w:hint="eastAsia" w:ascii="宋体" w:hAnsi="宋体"/>
                <w:color w:val="auto"/>
                <w:sz w:val="21"/>
                <w:szCs w:val="21"/>
              </w:rPr>
              <w:t>4、道路路基选择稳定。</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 xml:space="preserve"> 5、车辆尽量不靠边行驶，会车选择安全地带。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高处坠落</w:t>
            </w:r>
          </w:p>
        </w:tc>
        <w:tc>
          <w:tcPr>
            <w:tcW w:w="2278"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1、道路高陡边坡基础不牢，路基坍塌；</w:t>
            </w:r>
          </w:p>
          <w:p>
            <w:pPr>
              <w:wordWrap/>
              <w:spacing w:line="360" w:lineRule="auto"/>
              <w:ind w:firstLine="0" w:firstLineChars="0"/>
              <w:rPr>
                <w:rFonts w:ascii="宋体" w:hAnsi="宋体"/>
                <w:color w:val="auto"/>
                <w:sz w:val="21"/>
                <w:szCs w:val="21"/>
              </w:rPr>
            </w:pPr>
            <w:r>
              <w:rPr>
                <w:rFonts w:hint="eastAsia" w:ascii="宋体" w:hAnsi="宋体"/>
                <w:color w:val="auto"/>
                <w:sz w:val="21"/>
                <w:szCs w:val="21"/>
              </w:rPr>
              <w:t>2、道路高陡边坡无挡车设施。</w:t>
            </w:r>
          </w:p>
        </w:tc>
        <w:tc>
          <w:tcPr>
            <w:tcW w:w="760"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车辆坠落</w:t>
            </w:r>
          </w:p>
        </w:tc>
        <w:tc>
          <w:tcPr>
            <w:tcW w:w="861"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Ⅱ</w:t>
            </w:r>
          </w:p>
        </w:tc>
        <w:tc>
          <w:tcPr>
            <w:tcW w:w="4836" w:type="dxa"/>
          </w:tcPr>
          <w:p>
            <w:pPr>
              <w:wordWrap/>
              <w:spacing w:line="360" w:lineRule="auto"/>
              <w:ind w:firstLine="210" w:firstLineChars="100"/>
              <w:rPr>
                <w:rFonts w:ascii="宋体" w:hAnsi="宋体"/>
                <w:color w:val="auto"/>
                <w:sz w:val="21"/>
                <w:szCs w:val="21"/>
              </w:rPr>
            </w:pPr>
            <w:r>
              <w:rPr>
                <w:rFonts w:hint="eastAsia" w:ascii="宋体" w:hAnsi="宋体"/>
                <w:color w:val="auto"/>
                <w:sz w:val="21"/>
                <w:szCs w:val="21"/>
              </w:rPr>
              <w:t>1、道路高陡边坡路基选择牢靠基础或进行加固。</w:t>
            </w:r>
          </w:p>
          <w:p>
            <w:pPr>
              <w:wordWrap/>
              <w:spacing w:line="360" w:lineRule="auto"/>
              <w:ind w:firstLine="210" w:firstLineChars="100"/>
              <w:jc w:val="left"/>
              <w:rPr>
                <w:rFonts w:ascii="宋体" w:hAnsi="宋体"/>
                <w:color w:val="auto"/>
                <w:sz w:val="21"/>
                <w:szCs w:val="21"/>
              </w:rPr>
            </w:pPr>
            <w:r>
              <w:rPr>
                <w:rFonts w:hint="eastAsia" w:ascii="宋体" w:hAnsi="宋体"/>
                <w:color w:val="auto"/>
                <w:sz w:val="21"/>
                <w:szCs w:val="21"/>
              </w:rPr>
              <w:t>2、道路设置符合规范的挡车墙或挡车坝以及安全标志。</w:t>
            </w:r>
          </w:p>
          <w:p>
            <w:pPr>
              <w:wordWrap/>
              <w:spacing w:line="360" w:lineRule="auto"/>
              <w:ind w:firstLine="210" w:firstLineChars="100"/>
              <w:rPr>
                <w:rFonts w:ascii="宋体" w:hAnsi="宋体"/>
                <w:color w:val="auto"/>
                <w:sz w:val="21"/>
                <w:szCs w:val="21"/>
              </w:rPr>
            </w:pPr>
            <w:r>
              <w:rPr>
                <w:rFonts w:hint="eastAsia" w:ascii="宋体" w:hAnsi="宋体"/>
                <w:color w:val="auto"/>
                <w:sz w:val="21"/>
                <w:szCs w:val="21"/>
              </w:rPr>
              <w:t>3、加强道路检查，发现裂陷，及时处理。</w:t>
            </w:r>
          </w:p>
          <w:p>
            <w:pPr>
              <w:wordWrap/>
              <w:spacing w:line="360" w:lineRule="auto"/>
              <w:ind w:firstLine="210" w:firstLineChars="100"/>
              <w:rPr>
                <w:rFonts w:ascii="宋体" w:hAnsi="宋体"/>
                <w:color w:val="auto"/>
                <w:sz w:val="21"/>
                <w:szCs w:val="21"/>
              </w:rPr>
            </w:pPr>
            <w:r>
              <w:rPr>
                <w:rFonts w:hint="eastAsia" w:ascii="宋体" w:hAnsi="宋体"/>
                <w:color w:val="auto"/>
                <w:sz w:val="21"/>
                <w:szCs w:val="21"/>
              </w:rPr>
              <w:t>4、车辆尽量不靠边行驶，会车选择安全地带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火灾</w:t>
            </w:r>
          </w:p>
        </w:tc>
        <w:tc>
          <w:tcPr>
            <w:tcW w:w="2278"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1、汽车电路故障；</w:t>
            </w:r>
          </w:p>
          <w:p>
            <w:pPr>
              <w:wordWrap/>
              <w:spacing w:line="360" w:lineRule="auto"/>
              <w:ind w:firstLine="0" w:firstLineChars="0"/>
              <w:rPr>
                <w:color w:val="auto"/>
              </w:rPr>
            </w:pPr>
            <w:r>
              <w:rPr>
                <w:rFonts w:hint="eastAsia" w:ascii="宋体" w:hAnsi="宋体"/>
                <w:color w:val="auto"/>
                <w:sz w:val="21"/>
                <w:szCs w:val="21"/>
              </w:rPr>
              <w:t>2、汽车漏油</w:t>
            </w:r>
          </w:p>
        </w:tc>
        <w:tc>
          <w:tcPr>
            <w:tcW w:w="760" w:type="dxa"/>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人员</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伤亡</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财产</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损失</w:t>
            </w:r>
          </w:p>
        </w:tc>
        <w:tc>
          <w:tcPr>
            <w:tcW w:w="861"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Ⅱ</w:t>
            </w:r>
          </w:p>
        </w:tc>
        <w:tc>
          <w:tcPr>
            <w:tcW w:w="4836" w:type="dxa"/>
          </w:tcPr>
          <w:p>
            <w:pPr>
              <w:numPr>
                <w:ilvl w:val="0"/>
                <w:numId w:val="11"/>
              </w:numPr>
              <w:wordWrap/>
              <w:spacing w:line="360" w:lineRule="auto"/>
              <w:ind w:firstLine="0" w:firstLineChars="0"/>
              <w:rPr>
                <w:rFonts w:ascii="宋体" w:hAnsi="宋体"/>
                <w:color w:val="auto"/>
                <w:sz w:val="21"/>
                <w:szCs w:val="21"/>
              </w:rPr>
            </w:pPr>
            <w:r>
              <w:rPr>
                <w:rFonts w:hint="eastAsia" w:ascii="宋体" w:hAnsi="宋体"/>
                <w:color w:val="auto"/>
                <w:sz w:val="21"/>
                <w:szCs w:val="21"/>
              </w:rPr>
              <w:t>运输车辆配备灭火器</w:t>
            </w:r>
          </w:p>
          <w:p>
            <w:pPr>
              <w:numPr>
                <w:ilvl w:val="0"/>
                <w:numId w:val="11"/>
              </w:numPr>
              <w:wordWrap/>
              <w:spacing w:line="360" w:lineRule="auto"/>
              <w:ind w:firstLine="0" w:firstLineChars="0"/>
              <w:rPr>
                <w:rFonts w:ascii="宋体" w:hAnsi="宋体"/>
                <w:color w:val="auto"/>
                <w:sz w:val="21"/>
                <w:szCs w:val="21"/>
              </w:rPr>
            </w:pPr>
            <w:r>
              <w:rPr>
                <w:rFonts w:hint="eastAsia" w:ascii="宋体" w:hAnsi="宋体"/>
                <w:color w:val="auto"/>
                <w:sz w:val="21"/>
                <w:szCs w:val="21"/>
              </w:rPr>
              <w:t>加强运输车辆检查</w:t>
            </w:r>
          </w:p>
          <w:p>
            <w:pPr>
              <w:wordWrap/>
              <w:spacing w:line="360" w:lineRule="auto"/>
              <w:ind w:left="360" w:firstLine="0" w:firstLineChars="0"/>
              <w:rPr>
                <w:color w:val="auto"/>
              </w:rPr>
            </w:pPr>
            <w:r>
              <w:rPr>
                <w:rFonts w:hint="eastAsia" w:ascii="宋体" w:hAnsi="宋体"/>
                <w:color w:val="auto"/>
                <w:sz w:val="21"/>
                <w:szCs w:val="21"/>
              </w:rPr>
              <w:t>3、定期组织培训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粉尘</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危害</w:t>
            </w:r>
          </w:p>
        </w:tc>
        <w:tc>
          <w:tcPr>
            <w:tcW w:w="2278"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运矿作业</w:t>
            </w:r>
          </w:p>
          <w:p>
            <w:pPr>
              <w:spacing w:line="360" w:lineRule="auto"/>
              <w:ind w:firstLine="420"/>
              <w:rPr>
                <w:rFonts w:ascii="宋体" w:hAnsi="宋体"/>
                <w:color w:val="auto"/>
                <w:sz w:val="21"/>
                <w:szCs w:val="21"/>
              </w:rPr>
            </w:pPr>
          </w:p>
        </w:tc>
        <w:tc>
          <w:tcPr>
            <w:tcW w:w="760" w:type="dxa"/>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人员</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健康</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受损</w:t>
            </w:r>
          </w:p>
        </w:tc>
        <w:tc>
          <w:tcPr>
            <w:tcW w:w="861"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Ⅱ</w:t>
            </w:r>
          </w:p>
        </w:tc>
        <w:tc>
          <w:tcPr>
            <w:tcW w:w="4836" w:type="dxa"/>
          </w:tcPr>
          <w:p>
            <w:pPr>
              <w:numPr>
                <w:ilvl w:val="0"/>
                <w:numId w:val="11"/>
              </w:numPr>
              <w:wordWrap/>
              <w:spacing w:line="360" w:lineRule="auto"/>
              <w:ind w:firstLine="0" w:firstLineChars="0"/>
              <w:rPr>
                <w:rFonts w:ascii="宋体" w:hAnsi="宋体"/>
                <w:color w:val="auto"/>
                <w:sz w:val="21"/>
                <w:szCs w:val="21"/>
              </w:rPr>
            </w:pPr>
            <w:r>
              <w:rPr>
                <w:rFonts w:hint="eastAsia" w:ascii="宋体" w:hAnsi="宋体"/>
                <w:color w:val="auto"/>
                <w:sz w:val="21"/>
                <w:szCs w:val="21"/>
              </w:rPr>
              <w:t>加强喷雾洒水工作；</w:t>
            </w:r>
          </w:p>
          <w:p>
            <w:pPr>
              <w:numPr>
                <w:ilvl w:val="0"/>
                <w:numId w:val="11"/>
              </w:numPr>
              <w:wordWrap/>
              <w:spacing w:line="360" w:lineRule="auto"/>
              <w:ind w:firstLine="0" w:firstLineChars="0"/>
              <w:rPr>
                <w:rFonts w:ascii="宋体" w:hAnsi="宋体"/>
                <w:color w:val="auto"/>
                <w:sz w:val="21"/>
                <w:szCs w:val="21"/>
              </w:rPr>
            </w:pPr>
            <w:r>
              <w:rPr>
                <w:rFonts w:hint="eastAsia" w:ascii="宋体" w:hAnsi="宋体"/>
                <w:color w:val="auto"/>
                <w:sz w:val="21"/>
                <w:szCs w:val="21"/>
              </w:rPr>
              <w:t>为作业人员配备劳动保护用品；</w:t>
            </w:r>
          </w:p>
          <w:p>
            <w:pPr>
              <w:numPr>
                <w:ilvl w:val="0"/>
                <w:numId w:val="11"/>
              </w:numPr>
              <w:wordWrap/>
              <w:spacing w:line="360" w:lineRule="auto"/>
              <w:ind w:firstLine="0" w:firstLineChars="0"/>
              <w:rPr>
                <w:rFonts w:ascii="宋体" w:hAnsi="宋体"/>
                <w:color w:val="auto"/>
                <w:sz w:val="21"/>
                <w:szCs w:val="21"/>
              </w:rPr>
            </w:pPr>
            <w:r>
              <w:rPr>
                <w:rFonts w:hint="eastAsia" w:ascii="宋体" w:hAnsi="宋体"/>
                <w:color w:val="auto"/>
                <w:sz w:val="21"/>
                <w:szCs w:val="21"/>
              </w:rPr>
              <w:t>建立健全通风管理制度和措施；</w:t>
            </w:r>
          </w:p>
          <w:p>
            <w:pPr>
              <w:numPr>
                <w:ilvl w:val="0"/>
                <w:numId w:val="11"/>
              </w:numPr>
              <w:wordWrap/>
              <w:spacing w:line="360" w:lineRule="auto"/>
              <w:ind w:firstLine="0" w:firstLineChars="0"/>
              <w:rPr>
                <w:rFonts w:ascii="宋体" w:hAnsi="宋体"/>
                <w:color w:val="auto"/>
                <w:sz w:val="21"/>
                <w:szCs w:val="21"/>
              </w:rPr>
            </w:pPr>
            <w:r>
              <w:rPr>
                <w:rFonts w:hint="eastAsia" w:ascii="宋体" w:hAnsi="宋体"/>
                <w:color w:val="auto"/>
                <w:sz w:val="21"/>
                <w:szCs w:val="21"/>
              </w:rPr>
              <w:t>定期为作业人员进行检测和治疗；</w:t>
            </w:r>
          </w:p>
          <w:p>
            <w:pPr>
              <w:numPr>
                <w:ilvl w:val="0"/>
                <w:numId w:val="11"/>
              </w:numPr>
              <w:wordWrap/>
              <w:spacing w:line="360" w:lineRule="auto"/>
              <w:ind w:firstLine="0" w:firstLineChars="0"/>
              <w:rPr>
                <w:rFonts w:ascii="宋体" w:hAnsi="宋体"/>
                <w:color w:val="auto"/>
                <w:sz w:val="21"/>
                <w:szCs w:val="21"/>
              </w:rPr>
            </w:pPr>
            <w:r>
              <w:rPr>
                <w:rFonts w:hint="eastAsia" w:ascii="宋体" w:hAnsi="宋体"/>
                <w:color w:val="auto"/>
                <w:sz w:val="21"/>
                <w:szCs w:val="21"/>
              </w:rPr>
              <w:t>落实风、水、密、护、革、管、教、查八字防尘措施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噪声与振动</w:t>
            </w:r>
          </w:p>
        </w:tc>
        <w:tc>
          <w:tcPr>
            <w:tcW w:w="2278" w:type="dxa"/>
          </w:tcPr>
          <w:p>
            <w:pPr>
              <w:wordWrap/>
              <w:spacing w:line="360" w:lineRule="auto"/>
              <w:ind w:firstLine="0" w:firstLineChars="0"/>
              <w:rPr>
                <w:rFonts w:ascii="宋体" w:hAnsi="宋体"/>
                <w:color w:val="auto"/>
                <w:sz w:val="21"/>
                <w:szCs w:val="21"/>
              </w:rPr>
            </w:pPr>
            <w:r>
              <w:rPr>
                <w:rFonts w:hint="eastAsia" w:ascii="宋体" w:hAnsi="宋体"/>
                <w:color w:val="auto"/>
                <w:sz w:val="21"/>
                <w:szCs w:val="21"/>
              </w:rPr>
              <w:t>运输设备运转产生噪音和振动</w:t>
            </w:r>
          </w:p>
        </w:tc>
        <w:tc>
          <w:tcPr>
            <w:tcW w:w="760" w:type="dxa"/>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人员</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健康</w:t>
            </w:r>
          </w:p>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受损</w:t>
            </w:r>
          </w:p>
        </w:tc>
        <w:tc>
          <w:tcPr>
            <w:tcW w:w="861" w:type="dxa"/>
            <w:vAlign w:val="center"/>
          </w:tcPr>
          <w:p>
            <w:pPr>
              <w:wordWrap/>
              <w:spacing w:line="360" w:lineRule="auto"/>
              <w:ind w:firstLine="0" w:firstLineChars="0"/>
              <w:jc w:val="center"/>
              <w:rPr>
                <w:rFonts w:ascii="宋体" w:hAnsi="宋体"/>
                <w:color w:val="auto"/>
                <w:sz w:val="21"/>
                <w:szCs w:val="21"/>
              </w:rPr>
            </w:pPr>
            <w:r>
              <w:rPr>
                <w:rFonts w:hint="eastAsia" w:ascii="宋体" w:hAnsi="宋体"/>
                <w:color w:val="auto"/>
                <w:sz w:val="21"/>
                <w:szCs w:val="21"/>
              </w:rPr>
              <w:t>Ⅱ</w:t>
            </w:r>
          </w:p>
        </w:tc>
        <w:tc>
          <w:tcPr>
            <w:tcW w:w="4836" w:type="dxa"/>
          </w:tcPr>
          <w:p>
            <w:pPr>
              <w:numPr>
                <w:ilvl w:val="0"/>
                <w:numId w:val="12"/>
              </w:numPr>
              <w:wordWrap/>
              <w:spacing w:line="360" w:lineRule="auto"/>
              <w:ind w:firstLine="0" w:firstLineChars="0"/>
              <w:rPr>
                <w:rFonts w:ascii="宋体" w:hAnsi="宋体"/>
                <w:color w:val="auto"/>
                <w:sz w:val="21"/>
                <w:szCs w:val="21"/>
              </w:rPr>
            </w:pPr>
            <w:r>
              <w:rPr>
                <w:rFonts w:hint="eastAsia" w:ascii="宋体" w:hAnsi="宋体"/>
                <w:color w:val="auto"/>
                <w:sz w:val="21"/>
                <w:szCs w:val="21"/>
              </w:rPr>
              <w:t>作业人员采取防护措施；</w:t>
            </w:r>
          </w:p>
          <w:p>
            <w:pPr>
              <w:numPr>
                <w:ilvl w:val="0"/>
                <w:numId w:val="12"/>
              </w:numPr>
              <w:wordWrap/>
              <w:spacing w:line="360" w:lineRule="auto"/>
              <w:ind w:firstLine="0" w:firstLineChars="0"/>
              <w:rPr>
                <w:rFonts w:ascii="宋体" w:hAnsi="宋体"/>
                <w:color w:val="auto"/>
                <w:sz w:val="21"/>
                <w:szCs w:val="21"/>
              </w:rPr>
            </w:pPr>
            <w:r>
              <w:rPr>
                <w:rFonts w:hint="eastAsia" w:ascii="宋体" w:hAnsi="宋体"/>
                <w:color w:val="auto"/>
                <w:sz w:val="21"/>
                <w:szCs w:val="21"/>
              </w:rPr>
              <w:t>采用加减振垫或设置隔音间等减振、降噪措施；</w:t>
            </w:r>
          </w:p>
          <w:p>
            <w:pPr>
              <w:numPr>
                <w:ilvl w:val="0"/>
                <w:numId w:val="12"/>
              </w:numPr>
              <w:wordWrap/>
              <w:spacing w:line="360" w:lineRule="auto"/>
              <w:ind w:firstLine="0" w:firstLineChars="0"/>
              <w:rPr>
                <w:rFonts w:ascii="宋体" w:hAnsi="宋体"/>
                <w:color w:val="auto"/>
                <w:sz w:val="21"/>
                <w:szCs w:val="21"/>
              </w:rPr>
            </w:pPr>
            <w:r>
              <w:rPr>
                <w:rFonts w:hint="eastAsia" w:ascii="宋体" w:hAnsi="宋体"/>
                <w:color w:val="auto"/>
                <w:sz w:val="21"/>
                <w:szCs w:val="21"/>
              </w:rPr>
              <w:t>缩短作业时间</w:t>
            </w:r>
          </w:p>
        </w:tc>
      </w:tr>
    </w:tbl>
    <w:p>
      <w:pPr>
        <w:pStyle w:val="5"/>
        <w:ind w:firstLine="0" w:firstLineChars="0"/>
        <w:rPr>
          <w:color w:val="auto"/>
        </w:rPr>
      </w:pPr>
      <w:bookmarkStart w:id="131" w:name="_Toc27912"/>
      <w:bookmarkStart w:id="132" w:name="_Toc17972"/>
      <w:bookmarkStart w:id="133" w:name="_Toc25334360"/>
      <w:r>
        <w:rPr>
          <w:color w:val="auto"/>
        </w:rPr>
        <w:t>3</w:t>
      </w:r>
      <w:r>
        <w:rPr>
          <w:rFonts w:hint="eastAsia"/>
          <w:color w:val="auto"/>
        </w:rPr>
        <w:t>.2.3开拓运输单元安全检查表分析</w:t>
      </w:r>
      <w:bookmarkEnd w:id="131"/>
    </w:p>
    <w:p>
      <w:pPr>
        <w:spacing w:line="360" w:lineRule="auto"/>
        <w:ind w:firstLine="560"/>
        <w:rPr>
          <w:rFonts w:ascii="宋体" w:hAnsi="宋体"/>
          <w:color w:val="auto"/>
          <w:szCs w:val="28"/>
          <w:lang w:bidi="ar-OM"/>
        </w:rPr>
      </w:pPr>
      <w:r>
        <w:rPr>
          <w:rFonts w:hint="eastAsia" w:ascii="宋体" w:hAnsi="宋体"/>
          <w:color w:val="auto"/>
          <w:szCs w:val="28"/>
          <w:lang w:bidi="ar-OM"/>
        </w:rPr>
        <w:t>开拓运输单元运用安全检查表分析法进行评价，其结果见表</w:t>
      </w:r>
      <w:r>
        <w:rPr>
          <w:rFonts w:ascii="宋体" w:hAnsi="宋体"/>
          <w:color w:val="auto"/>
          <w:szCs w:val="28"/>
          <w:lang w:bidi="ar-OM"/>
        </w:rPr>
        <w:t>3</w:t>
      </w:r>
      <w:r>
        <w:rPr>
          <w:rFonts w:hint="eastAsia" w:ascii="宋体" w:hAnsi="宋体"/>
          <w:color w:val="auto"/>
          <w:szCs w:val="28"/>
          <w:lang w:bidi="ar-OM"/>
        </w:rPr>
        <w:t>-5。</w:t>
      </w:r>
    </w:p>
    <w:p>
      <w:pPr>
        <w:wordWrap/>
        <w:spacing w:line="360" w:lineRule="auto"/>
        <w:ind w:firstLine="0" w:firstLineChars="0"/>
        <w:jc w:val="left"/>
        <w:rPr>
          <w:rFonts w:ascii="宋体" w:hAnsi="宋体"/>
          <w:b/>
          <w:bCs/>
          <w:color w:val="auto"/>
          <w:sz w:val="24"/>
          <w:lang w:bidi="ar-OM"/>
        </w:rPr>
      </w:pPr>
      <w:r>
        <w:rPr>
          <w:rFonts w:hint="eastAsia" w:ascii="宋体" w:hAnsi="宋体"/>
          <w:b/>
          <w:bCs/>
          <w:color w:val="auto"/>
          <w:sz w:val="24"/>
          <w:lang w:bidi="ar-OM"/>
        </w:rPr>
        <w:t>表</w:t>
      </w:r>
      <w:r>
        <w:rPr>
          <w:rFonts w:ascii="宋体" w:hAnsi="宋体"/>
          <w:b/>
          <w:bCs/>
          <w:color w:val="auto"/>
          <w:sz w:val="24"/>
          <w:lang w:bidi="ar-OM"/>
        </w:rPr>
        <w:t>3</w:t>
      </w:r>
      <w:r>
        <w:rPr>
          <w:rFonts w:hint="eastAsia" w:ascii="宋体" w:hAnsi="宋体"/>
          <w:b/>
          <w:bCs/>
          <w:color w:val="auto"/>
          <w:sz w:val="24"/>
          <w:lang w:bidi="ar-OM"/>
        </w:rPr>
        <w:t>-5               开拓运输单元安全检查表评价表</w:t>
      </w:r>
    </w:p>
    <w:tbl>
      <w:tblPr>
        <w:tblStyle w:val="36"/>
        <w:tblW w:w="94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938"/>
        <w:gridCol w:w="1875"/>
        <w:gridCol w:w="2249"/>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08" w:hRule="atLeast"/>
          <w:jc w:val="center"/>
        </w:trPr>
        <w:tc>
          <w:tcPr>
            <w:tcW w:w="562"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序号</w:t>
            </w:r>
          </w:p>
        </w:tc>
        <w:tc>
          <w:tcPr>
            <w:tcW w:w="3938"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检查内容</w:t>
            </w:r>
          </w:p>
        </w:tc>
        <w:tc>
          <w:tcPr>
            <w:tcW w:w="1875"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检查依据</w:t>
            </w:r>
          </w:p>
        </w:tc>
        <w:tc>
          <w:tcPr>
            <w:tcW w:w="2249"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检查结果</w:t>
            </w:r>
          </w:p>
        </w:tc>
        <w:tc>
          <w:tcPr>
            <w:tcW w:w="854"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检查结论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6" w:hRule="atLeast"/>
          <w:jc w:val="center"/>
        </w:trPr>
        <w:tc>
          <w:tcPr>
            <w:tcW w:w="562" w:type="dxa"/>
          </w:tcPr>
          <w:p>
            <w:pPr>
              <w:wordWrap/>
              <w:spacing w:beforeLines="20" w:afterLines="20" w:line="360" w:lineRule="auto"/>
              <w:ind w:firstLine="0" w:firstLineChars="0"/>
              <w:rPr>
                <w:rFonts w:ascii="宋体" w:hAnsi="宋体"/>
                <w:bCs/>
                <w:color w:val="auto"/>
                <w:sz w:val="24"/>
              </w:rPr>
            </w:pPr>
            <w:r>
              <w:rPr>
                <w:rFonts w:hint="eastAsia" w:ascii="宋体" w:hAnsi="宋体"/>
                <w:bCs/>
                <w:color w:val="auto"/>
                <w:sz w:val="24"/>
              </w:rPr>
              <w:t>1</w:t>
            </w:r>
          </w:p>
        </w:tc>
        <w:tc>
          <w:tcPr>
            <w:tcW w:w="3938" w:type="dxa"/>
          </w:tcPr>
          <w:p>
            <w:pPr>
              <w:wordWrap/>
              <w:spacing w:line="360" w:lineRule="auto"/>
              <w:ind w:firstLine="0" w:firstLineChars="0"/>
              <w:rPr>
                <w:rFonts w:ascii="宋体" w:hAnsi="宋体"/>
                <w:bCs/>
                <w:color w:val="auto"/>
                <w:sz w:val="24"/>
              </w:rPr>
            </w:pPr>
            <w:r>
              <w:rPr>
                <w:rFonts w:hint="eastAsia" w:ascii="宋体" w:hAnsi="宋体"/>
                <w:bCs/>
                <w:color w:val="auto"/>
                <w:sz w:val="24"/>
              </w:rPr>
              <w:t>1.1主要运输道路的急弯、陡坡、危险地段应设置警示标志。</w:t>
            </w:r>
          </w:p>
          <w:p>
            <w:pPr>
              <w:wordWrap/>
              <w:spacing w:line="360" w:lineRule="auto"/>
              <w:ind w:firstLine="0" w:firstLineChars="0"/>
              <w:rPr>
                <w:color w:val="auto"/>
              </w:rPr>
            </w:pPr>
            <w:r>
              <w:rPr>
                <w:rFonts w:hint="eastAsia" w:ascii="宋体" w:hAnsi="宋体"/>
                <w:bCs/>
                <w:color w:val="auto"/>
                <w:sz w:val="24"/>
              </w:rPr>
              <w:t>1.2运输道路的高陡路基段，或者弯道、坡度较大的填方地段，远离山体一侧应设置高度小于轮胎直径1/2的护栏、挡车墙等安全设施及醒目的警示标志。</w:t>
            </w:r>
          </w:p>
        </w:tc>
        <w:tc>
          <w:tcPr>
            <w:tcW w:w="1875" w:type="dxa"/>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《金属非金属矿山安全规程》5.4.2.3、5.4.2.4</w:t>
            </w:r>
          </w:p>
        </w:tc>
        <w:tc>
          <w:tcPr>
            <w:tcW w:w="2249" w:type="dxa"/>
          </w:tcPr>
          <w:p>
            <w:pPr>
              <w:wordWrap/>
              <w:spacing w:beforeLines="20" w:afterLines="20" w:line="360" w:lineRule="auto"/>
              <w:ind w:firstLine="0" w:firstLineChars="0"/>
              <w:jc w:val="left"/>
              <w:rPr>
                <w:rFonts w:ascii="宋体" w:hAnsi="宋体"/>
                <w:bCs/>
                <w:color w:val="auto"/>
                <w:sz w:val="24"/>
              </w:rPr>
            </w:pPr>
            <w:r>
              <w:rPr>
                <w:rFonts w:hint="eastAsia" w:ascii="宋体" w:hAnsi="宋体"/>
                <w:bCs/>
                <w:color w:val="auto"/>
                <w:sz w:val="24"/>
              </w:rPr>
              <w:t>《三合一方案》未具体设计</w:t>
            </w:r>
          </w:p>
        </w:tc>
        <w:tc>
          <w:tcPr>
            <w:tcW w:w="854"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不符合</w:t>
            </w:r>
          </w:p>
        </w:tc>
      </w:tr>
    </w:tbl>
    <w:p>
      <w:pPr>
        <w:pStyle w:val="5"/>
        <w:ind w:firstLine="0" w:firstLineChars="0"/>
        <w:rPr>
          <w:color w:val="auto"/>
        </w:rPr>
      </w:pPr>
      <w:bookmarkStart w:id="134" w:name="_Toc1903"/>
      <w:r>
        <w:rPr>
          <w:color w:val="auto"/>
        </w:rPr>
        <w:t>3</w:t>
      </w:r>
      <w:r>
        <w:rPr>
          <w:rFonts w:hint="eastAsia"/>
          <w:color w:val="auto"/>
        </w:rPr>
        <w:t>.2.4开拓运输单元评价结论</w:t>
      </w:r>
      <w:bookmarkEnd w:id="132"/>
      <w:bookmarkEnd w:id="133"/>
      <w:bookmarkEnd w:id="134"/>
    </w:p>
    <w:p>
      <w:pPr>
        <w:wordWrap/>
        <w:spacing w:line="360" w:lineRule="auto"/>
        <w:ind w:firstLine="560"/>
        <w:rPr>
          <w:rFonts w:ascii="宋体" w:hAnsi="宋体"/>
          <w:color w:val="auto"/>
          <w:szCs w:val="22"/>
        </w:rPr>
      </w:pPr>
      <w:r>
        <w:rPr>
          <w:rFonts w:hint="eastAsia" w:ascii="宋体" w:hAnsi="宋体"/>
          <w:color w:val="auto"/>
          <w:szCs w:val="22"/>
        </w:rPr>
        <w:t>1、矿山采用公路开拓，汽车运输，符合矿区地形地质条件及开采方式等要求，运输道路的坡度，</w:t>
      </w:r>
      <w:r>
        <w:rPr>
          <w:rFonts w:ascii="宋体" w:hAnsi="宋体"/>
          <w:color w:val="auto"/>
          <w:szCs w:val="22"/>
        </w:rPr>
        <w:t>符合安全生产要求</w:t>
      </w:r>
      <w:r>
        <w:rPr>
          <w:rFonts w:hint="eastAsia" w:ascii="宋体" w:hAnsi="宋体"/>
          <w:color w:val="auto"/>
          <w:szCs w:val="22"/>
        </w:rPr>
        <w:t>。</w:t>
      </w:r>
    </w:p>
    <w:p>
      <w:pPr>
        <w:widowControl/>
        <w:spacing w:line="360" w:lineRule="auto"/>
        <w:ind w:firstLine="560"/>
        <w:jc w:val="left"/>
        <w:rPr>
          <w:rFonts w:ascii="宋体" w:hAnsi="宋体"/>
          <w:color w:val="auto"/>
          <w:szCs w:val="28"/>
        </w:rPr>
      </w:pPr>
      <w:r>
        <w:rPr>
          <w:rFonts w:ascii="宋体" w:hAnsi="宋体"/>
          <w:color w:val="auto"/>
          <w:szCs w:val="22"/>
        </w:rPr>
        <w:t>2</w:t>
      </w:r>
      <w:r>
        <w:rPr>
          <w:rFonts w:hint="eastAsia" w:ascii="宋体" w:hAnsi="宋体"/>
          <w:color w:val="auto"/>
          <w:szCs w:val="22"/>
        </w:rPr>
        <w:t>、通过预先危险性分析评价，运输单元存在物体打击、滑坡、高处坠落、车辆伤害、火灾、粉尘危害、噪声和振动危害等有害因素，危险等级为Ⅱ-Ⅲ。</w:t>
      </w:r>
    </w:p>
    <w:p>
      <w:pPr>
        <w:wordWrap/>
        <w:spacing w:line="360" w:lineRule="auto"/>
        <w:ind w:firstLine="560"/>
        <w:rPr>
          <w:rFonts w:ascii="宋体" w:hAnsi="宋体"/>
          <w:color w:val="auto"/>
          <w:szCs w:val="22"/>
        </w:rPr>
      </w:pPr>
      <w:r>
        <w:rPr>
          <w:rFonts w:hint="eastAsia" w:ascii="宋体" w:hAnsi="宋体"/>
          <w:color w:val="auto"/>
          <w:szCs w:val="22"/>
        </w:rPr>
        <w:t>3、《三合一方案》未提出运输公路安全设施，建议矿山下一步设计在转弯、陡峻的运输公路内侧设置截排水沟，外侧增设路挡设施，并完善安全警示标志、限速标志等。</w:t>
      </w:r>
    </w:p>
    <w:p>
      <w:pPr>
        <w:wordWrap/>
        <w:spacing w:line="360" w:lineRule="auto"/>
        <w:ind w:firstLine="560"/>
        <w:rPr>
          <w:rFonts w:ascii="宋体" w:hAnsi="宋体"/>
          <w:color w:val="auto"/>
          <w:szCs w:val="22"/>
        </w:rPr>
      </w:pPr>
      <w:r>
        <w:rPr>
          <w:rFonts w:hint="eastAsia" w:ascii="宋体" w:hAnsi="宋体"/>
          <w:color w:val="auto"/>
          <w:szCs w:val="22"/>
        </w:rPr>
        <w:t>4、</w:t>
      </w:r>
      <w:r>
        <w:rPr>
          <w:rFonts w:ascii="宋体" w:hAnsi="宋体"/>
          <w:color w:val="auto"/>
          <w:szCs w:val="22"/>
        </w:rPr>
        <w:t>《三合一方案》设计</w:t>
      </w:r>
      <w:r>
        <w:rPr>
          <w:rFonts w:hint="eastAsia" w:ascii="宋体" w:hAnsi="宋体"/>
          <w:color w:val="auto"/>
          <w:szCs w:val="22"/>
        </w:rPr>
        <w:t>矿区</w:t>
      </w:r>
      <w:r>
        <w:rPr>
          <w:rFonts w:ascii="宋体" w:hAnsi="宋体"/>
          <w:color w:val="auto"/>
          <w:szCs w:val="22"/>
        </w:rPr>
        <w:t>道路</w:t>
      </w:r>
      <w:r>
        <w:rPr>
          <w:rFonts w:hint="eastAsia" w:ascii="宋体" w:hAnsi="宋体"/>
          <w:color w:val="auto"/>
          <w:szCs w:val="22"/>
        </w:rPr>
        <w:t>路面宽度4m</w:t>
      </w:r>
      <w:r>
        <w:rPr>
          <w:rFonts w:hint="eastAsia" w:hAnsi="宋体"/>
          <w:color w:val="auto"/>
        </w:rPr>
        <w:t>，不符合《厂矿道路设计规范GBJ22-87》要求，</w:t>
      </w:r>
      <w:r>
        <w:rPr>
          <w:rFonts w:ascii="宋体" w:hAnsi="宋体"/>
          <w:color w:val="auto"/>
          <w:szCs w:val="22"/>
        </w:rPr>
        <w:t>建议下一步设计中</w:t>
      </w:r>
      <w:r>
        <w:rPr>
          <w:rFonts w:hint="eastAsia" w:ascii="宋体" w:hAnsi="宋体"/>
          <w:color w:val="auto"/>
          <w:szCs w:val="22"/>
        </w:rPr>
        <w:t>按要求完善</w:t>
      </w:r>
      <w:r>
        <w:rPr>
          <w:rFonts w:ascii="宋体" w:hAnsi="宋体"/>
          <w:color w:val="auto"/>
          <w:szCs w:val="22"/>
        </w:rPr>
        <w:t>。</w:t>
      </w:r>
    </w:p>
    <w:p>
      <w:pPr>
        <w:keepNext/>
        <w:keepLines/>
        <w:spacing w:line="360" w:lineRule="auto"/>
        <w:ind w:firstLine="0" w:firstLineChars="0"/>
        <w:outlineLvl w:val="1"/>
        <w:rPr>
          <w:rFonts w:ascii="宋体" w:hAnsi="宋体"/>
          <w:b/>
          <w:bCs/>
          <w:color w:val="auto"/>
          <w:sz w:val="32"/>
          <w:szCs w:val="32"/>
        </w:rPr>
      </w:pPr>
      <w:bookmarkStart w:id="135" w:name="_Toc28510"/>
      <w:bookmarkStart w:id="136" w:name="_Toc25334361"/>
      <w:bookmarkStart w:id="137" w:name="_Toc326165104"/>
      <w:bookmarkStart w:id="138" w:name="_Toc18240"/>
      <w:r>
        <w:rPr>
          <w:rFonts w:ascii="宋体" w:hAnsi="宋体"/>
          <w:b/>
          <w:bCs/>
          <w:color w:val="auto"/>
          <w:sz w:val="32"/>
          <w:szCs w:val="32"/>
        </w:rPr>
        <w:t>3</w:t>
      </w:r>
      <w:r>
        <w:rPr>
          <w:rFonts w:hint="eastAsia" w:ascii="宋体" w:hAnsi="宋体"/>
          <w:b/>
          <w:bCs/>
          <w:color w:val="auto"/>
          <w:sz w:val="32"/>
          <w:szCs w:val="32"/>
        </w:rPr>
        <w:t>.3 露天采剥作业单元</w:t>
      </w:r>
      <w:bookmarkEnd w:id="135"/>
      <w:bookmarkEnd w:id="136"/>
      <w:bookmarkEnd w:id="137"/>
      <w:bookmarkEnd w:id="138"/>
    </w:p>
    <w:p>
      <w:pPr>
        <w:wordWrap/>
        <w:spacing w:line="360" w:lineRule="auto"/>
        <w:ind w:firstLine="560"/>
        <w:rPr>
          <w:rFonts w:ascii="宋体" w:hAnsi="宋体"/>
          <w:color w:val="auto"/>
          <w:szCs w:val="22"/>
        </w:rPr>
      </w:pPr>
      <w:r>
        <w:rPr>
          <w:rFonts w:hint="eastAsia" w:ascii="宋体" w:hAnsi="宋体"/>
          <w:color w:val="auto"/>
          <w:szCs w:val="22"/>
        </w:rPr>
        <w:t>露天矿山主要从地质条件、采场境界及作业环境，采掘要素、采剥方法、设备及作业过程，边坡检查与维护管理等方面进行安全分析与评价。重点应针对坍塌、高处坠落等进行安全评价。</w:t>
      </w:r>
    </w:p>
    <w:p>
      <w:pPr>
        <w:spacing w:line="360" w:lineRule="auto"/>
        <w:ind w:firstLine="560"/>
        <w:rPr>
          <w:color w:val="auto"/>
        </w:rPr>
      </w:pPr>
      <w:r>
        <w:rPr>
          <w:rFonts w:hint="eastAsia"/>
          <w:color w:val="auto"/>
        </w:rPr>
        <w:t>本单元运用了预先危险性分析法等进行评价，具体如下：</w:t>
      </w:r>
    </w:p>
    <w:p>
      <w:pPr>
        <w:pStyle w:val="5"/>
        <w:ind w:firstLine="0" w:firstLineChars="0"/>
        <w:rPr>
          <w:color w:val="auto"/>
        </w:rPr>
      </w:pPr>
      <w:bookmarkStart w:id="139" w:name="_Toc7280"/>
      <w:bookmarkStart w:id="140" w:name="_Toc502496998"/>
      <w:bookmarkStart w:id="141" w:name="_Toc528232045"/>
      <w:bookmarkStart w:id="142" w:name="_Toc29020"/>
      <w:bookmarkStart w:id="143" w:name="_Toc514763910"/>
      <w:bookmarkStart w:id="144" w:name="_Toc326165106"/>
      <w:r>
        <w:rPr>
          <w:rFonts w:hint="eastAsia"/>
          <w:color w:val="auto"/>
        </w:rPr>
        <w:t>3.3.1露天采场采剥作业主要危险有害因素分析</w:t>
      </w:r>
      <w:bookmarkEnd w:id="139"/>
      <w:bookmarkEnd w:id="140"/>
      <w:bookmarkEnd w:id="141"/>
      <w:bookmarkEnd w:id="142"/>
      <w:bookmarkEnd w:id="143"/>
    </w:p>
    <w:p>
      <w:pPr>
        <w:spacing w:line="360" w:lineRule="auto"/>
        <w:ind w:firstLine="560"/>
        <w:rPr>
          <w:color w:val="auto"/>
          <w:kern w:val="0"/>
          <w:szCs w:val="28"/>
        </w:rPr>
      </w:pPr>
      <w:r>
        <w:rPr>
          <w:rFonts w:hint="eastAsia"/>
          <w:color w:val="auto"/>
          <w:kern w:val="0"/>
          <w:szCs w:val="28"/>
        </w:rPr>
        <w:t>1、露天采场可因台阶高度超高、台阶未贯通、台阶坡面角太大，引起边坡坍塌。</w:t>
      </w:r>
    </w:p>
    <w:p>
      <w:pPr>
        <w:spacing w:line="360" w:lineRule="auto"/>
        <w:ind w:firstLine="560"/>
        <w:rPr>
          <w:color w:val="auto"/>
          <w:kern w:val="0"/>
          <w:szCs w:val="28"/>
        </w:rPr>
      </w:pPr>
      <w:r>
        <w:rPr>
          <w:rFonts w:hint="eastAsia"/>
          <w:color w:val="auto"/>
          <w:kern w:val="0"/>
          <w:szCs w:val="28"/>
        </w:rPr>
        <w:t>2、露天采场可因台阶及坡面浮、危石及伞檐处理不及时，引起物体打击、坍塌。</w:t>
      </w:r>
    </w:p>
    <w:p>
      <w:pPr>
        <w:spacing w:line="360" w:lineRule="auto"/>
        <w:ind w:firstLine="560"/>
        <w:rPr>
          <w:color w:val="auto"/>
          <w:kern w:val="0"/>
          <w:szCs w:val="28"/>
        </w:rPr>
      </w:pPr>
      <w:r>
        <w:rPr>
          <w:rFonts w:hint="eastAsia"/>
          <w:color w:val="auto"/>
          <w:kern w:val="0"/>
          <w:szCs w:val="28"/>
        </w:rPr>
        <w:t>3、露天采场可因台阶超高、边坡防护不到位，违规作业，引起高处坠落。</w:t>
      </w:r>
    </w:p>
    <w:p>
      <w:pPr>
        <w:spacing w:line="360" w:lineRule="auto"/>
        <w:ind w:firstLine="560"/>
        <w:rPr>
          <w:color w:val="auto"/>
          <w:kern w:val="0"/>
          <w:szCs w:val="28"/>
        </w:rPr>
      </w:pPr>
      <w:r>
        <w:rPr>
          <w:rFonts w:hint="eastAsia"/>
          <w:color w:val="auto"/>
          <w:kern w:val="0"/>
          <w:szCs w:val="28"/>
        </w:rPr>
        <w:t>4、台阶、边坡排水设施设置不合理，可引起边坡坍塌、滑坡。</w:t>
      </w:r>
    </w:p>
    <w:p>
      <w:pPr>
        <w:spacing w:line="360" w:lineRule="auto"/>
        <w:ind w:firstLine="560"/>
        <w:rPr>
          <w:color w:val="auto"/>
          <w:kern w:val="0"/>
          <w:szCs w:val="28"/>
        </w:rPr>
      </w:pPr>
      <w:r>
        <w:rPr>
          <w:rFonts w:hint="eastAsia"/>
          <w:color w:val="auto"/>
          <w:kern w:val="0"/>
          <w:szCs w:val="28"/>
        </w:rPr>
        <w:t>5、卸矿点车挡设置不合理，可引起车辆伤害。</w:t>
      </w:r>
    </w:p>
    <w:p>
      <w:pPr>
        <w:spacing w:line="360" w:lineRule="auto"/>
        <w:ind w:firstLine="560"/>
        <w:rPr>
          <w:color w:val="auto"/>
          <w:kern w:val="0"/>
          <w:szCs w:val="28"/>
        </w:rPr>
      </w:pPr>
      <w:r>
        <w:rPr>
          <w:rFonts w:hint="eastAsia"/>
          <w:color w:val="auto"/>
          <w:kern w:val="0"/>
          <w:szCs w:val="28"/>
        </w:rPr>
        <w:t>6、矿区安全警示标志不足，人员违规进入危险区域，可引起物体打击等。</w:t>
      </w:r>
    </w:p>
    <w:p>
      <w:pPr>
        <w:spacing w:line="360" w:lineRule="auto"/>
        <w:ind w:firstLine="560"/>
        <w:rPr>
          <w:color w:val="auto"/>
          <w:kern w:val="0"/>
          <w:szCs w:val="28"/>
        </w:rPr>
      </w:pPr>
      <w:r>
        <w:rPr>
          <w:rFonts w:hint="eastAsia"/>
          <w:color w:val="auto"/>
          <w:kern w:val="0"/>
          <w:szCs w:val="28"/>
        </w:rPr>
        <w:t>7、铲车铲装时，人员在工作区，可引起机械伤害。</w:t>
      </w:r>
    </w:p>
    <w:p>
      <w:pPr>
        <w:spacing w:line="360" w:lineRule="auto"/>
        <w:ind w:firstLine="560"/>
        <w:rPr>
          <w:color w:val="auto"/>
          <w:kern w:val="0"/>
          <w:szCs w:val="28"/>
        </w:rPr>
      </w:pPr>
      <w:r>
        <w:rPr>
          <w:rFonts w:hint="eastAsia"/>
          <w:color w:val="auto"/>
          <w:kern w:val="0"/>
          <w:szCs w:val="28"/>
        </w:rPr>
        <w:t>8、铲装运输设备运转引起粉尘和噪音。</w:t>
      </w:r>
    </w:p>
    <w:p>
      <w:pPr>
        <w:pStyle w:val="5"/>
        <w:ind w:firstLine="0" w:firstLineChars="0"/>
        <w:rPr>
          <w:rFonts w:ascii="Times New Roman" w:hAnsi="Times New Roman"/>
          <w:color w:val="auto"/>
        </w:rPr>
      </w:pPr>
      <w:bookmarkStart w:id="145" w:name="_Toc514763911"/>
      <w:bookmarkStart w:id="146" w:name="_Toc23016"/>
      <w:bookmarkStart w:id="147" w:name="_Toc29218"/>
      <w:bookmarkStart w:id="148" w:name="_Toc528232046"/>
      <w:r>
        <w:rPr>
          <w:rFonts w:hint="eastAsia"/>
          <w:color w:val="auto"/>
        </w:rPr>
        <w:t>3.3.2</w:t>
      </w:r>
      <w:r>
        <w:rPr>
          <w:rFonts w:hint="eastAsia" w:ascii="Times New Roman" w:hAnsi="Times New Roman"/>
          <w:color w:val="auto"/>
        </w:rPr>
        <w:t>露天采场采剥作业单元预先危险性分析</w:t>
      </w:r>
      <w:bookmarkEnd w:id="145"/>
      <w:bookmarkEnd w:id="146"/>
      <w:bookmarkEnd w:id="147"/>
      <w:bookmarkEnd w:id="148"/>
    </w:p>
    <w:p>
      <w:pPr>
        <w:spacing w:afterLines="50" w:line="480" w:lineRule="exact"/>
        <w:ind w:firstLine="560"/>
        <w:rPr>
          <w:color w:val="auto"/>
          <w:kern w:val="0"/>
          <w:szCs w:val="28"/>
        </w:rPr>
      </w:pPr>
      <w:r>
        <w:rPr>
          <w:rFonts w:hint="eastAsia"/>
          <w:color w:val="auto"/>
          <w:kern w:val="0"/>
          <w:szCs w:val="28"/>
        </w:rPr>
        <w:t>该单元采用预先危险性分析法进行评价，其结果见表3-6。</w:t>
      </w:r>
    </w:p>
    <w:p>
      <w:pPr>
        <w:tabs>
          <w:tab w:val="left" w:pos="5918"/>
        </w:tabs>
        <w:wordWrap/>
        <w:spacing w:line="360" w:lineRule="auto"/>
        <w:ind w:firstLine="0" w:firstLineChars="0"/>
        <w:jc w:val="center"/>
        <w:rPr>
          <w:rFonts w:ascii="宋体" w:hAnsi="宋体" w:cs="宋体"/>
          <w:b/>
          <w:bCs/>
          <w:color w:val="auto"/>
          <w:sz w:val="24"/>
        </w:rPr>
      </w:pPr>
      <w:r>
        <w:rPr>
          <w:rFonts w:hint="eastAsia" w:ascii="宋体" w:hAnsi="宋体" w:cs="宋体"/>
          <w:b/>
          <w:bCs/>
          <w:color w:val="auto"/>
          <w:sz w:val="24"/>
        </w:rPr>
        <w:t>表</w:t>
      </w:r>
      <w:r>
        <w:rPr>
          <w:rFonts w:ascii="宋体" w:hAnsi="宋体" w:cs="宋体"/>
          <w:b/>
          <w:bCs/>
          <w:color w:val="auto"/>
          <w:sz w:val="24"/>
        </w:rPr>
        <w:t>3</w:t>
      </w:r>
      <w:r>
        <w:rPr>
          <w:rFonts w:hint="eastAsia" w:ascii="宋体" w:hAnsi="宋体" w:cs="宋体"/>
          <w:b/>
          <w:bCs/>
          <w:color w:val="auto"/>
          <w:sz w:val="24"/>
        </w:rPr>
        <w:t>-6                  露天采剥作业单元预先危险性分析表</w:t>
      </w:r>
    </w:p>
    <w:tbl>
      <w:tblPr>
        <w:tblStyle w:val="36"/>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541"/>
        <w:gridCol w:w="758"/>
        <w:gridCol w:w="752"/>
        <w:gridCol w:w="4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724"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危险有害</w:t>
            </w:r>
          </w:p>
        </w:tc>
        <w:tc>
          <w:tcPr>
            <w:tcW w:w="2541" w:type="dxa"/>
            <w:vAlign w:val="center"/>
          </w:tcPr>
          <w:p>
            <w:pPr>
              <w:wordWrap/>
              <w:spacing w:line="360" w:lineRule="auto"/>
              <w:ind w:firstLine="525" w:firstLineChars="250"/>
              <w:jc w:val="center"/>
              <w:rPr>
                <w:rFonts w:ascii="宋体" w:hAnsi="宋体" w:cs="宋体"/>
                <w:color w:val="auto"/>
                <w:sz w:val="21"/>
                <w:szCs w:val="21"/>
              </w:rPr>
            </w:pPr>
            <w:r>
              <w:rPr>
                <w:rFonts w:hint="eastAsia" w:ascii="宋体" w:hAnsi="宋体" w:cs="宋体"/>
                <w:color w:val="auto"/>
                <w:sz w:val="21"/>
                <w:szCs w:val="21"/>
              </w:rPr>
              <w:t>原   因</w:t>
            </w:r>
          </w:p>
        </w:tc>
        <w:tc>
          <w:tcPr>
            <w:tcW w:w="758"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结果</w:t>
            </w:r>
          </w:p>
        </w:tc>
        <w:tc>
          <w:tcPr>
            <w:tcW w:w="752"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风险等级</w:t>
            </w:r>
          </w:p>
        </w:tc>
        <w:tc>
          <w:tcPr>
            <w:tcW w:w="4910" w:type="dxa"/>
            <w:vAlign w:val="center"/>
          </w:tcPr>
          <w:p>
            <w:pPr>
              <w:wordWrap/>
              <w:spacing w:line="360" w:lineRule="auto"/>
              <w:ind w:firstLine="1470" w:firstLineChars="700"/>
              <w:jc w:val="center"/>
              <w:rPr>
                <w:rFonts w:ascii="宋体" w:hAnsi="宋体" w:cs="宋体"/>
                <w:color w:val="auto"/>
                <w:sz w:val="21"/>
                <w:szCs w:val="21"/>
              </w:rPr>
            </w:pPr>
            <w:r>
              <w:rPr>
                <w:rFonts w:hint="eastAsia" w:ascii="宋体" w:hAnsi="宋体" w:cs="宋体"/>
                <w:color w:val="auto"/>
                <w:sz w:val="21"/>
                <w:szCs w:val="21"/>
              </w:rPr>
              <w:t>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724"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机械伤害</w:t>
            </w:r>
          </w:p>
        </w:tc>
        <w:tc>
          <w:tcPr>
            <w:tcW w:w="2541" w:type="dxa"/>
          </w:tcPr>
          <w:p>
            <w:pPr>
              <w:numPr>
                <w:ilvl w:val="0"/>
                <w:numId w:val="13"/>
              </w:num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铲车铲装时，人员在工作区；</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2、检修设备时粗心大意伤人</w:t>
            </w:r>
          </w:p>
        </w:tc>
        <w:tc>
          <w:tcPr>
            <w:tcW w:w="758"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人员伤亡</w:t>
            </w:r>
          </w:p>
        </w:tc>
        <w:tc>
          <w:tcPr>
            <w:tcW w:w="752"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II-</w:t>
            </w:r>
          </w:p>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III</w:t>
            </w:r>
          </w:p>
        </w:tc>
        <w:tc>
          <w:tcPr>
            <w:tcW w:w="4910"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1、铲装作业时，人员应在安全区域；</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2、司机应持证上岗；</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3、人员应集中注意力；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724"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高处</w:t>
            </w:r>
          </w:p>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坠落</w:t>
            </w:r>
          </w:p>
          <w:p>
            <w:pPr>
              <w:wordWrap/>
              <w:spacing w:line="360" w:lineRule="auto"/>
              <w:ind w:firstLine="0" w:firstLineChars="0"/>
              <w:jc w:val="center"/>
              <w:rPr>
                <w:rFonts w:ascii="宋体" w:hAnsi="宋体" w:cs="宋体"/>
                <w:color w:val="auto"/>
                <w:sz w:val="21"/>
                <w:szCs w:val="21"/>
              </w:rPr>
            </w:pPr>
          </w:p>
        </w:tc>
        <w:tc>
          <w:tcPr>
            <w:tcW w:w="2541"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1、高处作业未系保险绳，保险绳断裂，人员违章在台阶边缘行走；</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2、卸矿平台未设置防护措施</w:t>
            </w:r>
          </w:p>
          <w:p>
            <w:pPr>
              <w:wordWrap/>
              <w:spacing w:line="360" w:lineRule="auto"/>
              <w:ind w:firstLine="0" w:firstLineChars="0"/>
              <w:jc w:val="center"/>
              <w:rPr>
                <w:rFonts w:ascii="宋体" w:hAnsi="宋体" w:cs="宋体"/>
                <w:color w:val="auto"/>
                <w:sz w:val="21"/>
                <w:szCs w:val="21"/>
              </w:rPr>
            </w:pPr>
          </w:p>
        </w:tc>
        <w:tc>
          <w:tcPr>
            <w:tcW w:w="758"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人员伤亡财产损失</w:t>
            </w:r>
          </w:p>
        </w:tc>
        <w:tc>
          <w:tcPr>
            <w:tcW w:w="752"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Ⅱ</w:t>
            </w:r>
          </w:p>
        </w:tc>
        <w:tc>
          <w:tcPr>
            <w:tcW w:w="4910"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1、在30度以上陡坎或2m以上高处进行作业时应系保险绳；</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2、高处作业时，严禁2人或2人以上同系一根保险绳；</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3、定期检查保险绳；4、加强安全教育培训，杜绝</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违章作业；</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4、卸矿平台设置防护措施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trPr>
        <w:tc>
          <w:tcPr>
            <w:tcW w:w="724"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车辆伤害</w:t>
            </w:r>
          </w:p>
        </w:tc>
        <w:tc>
          <w:tcPr>
            <w:tcW w:w="2541"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1、行人在运输道上，与机动车抢道、扒跳车；</w:t>
            </w:r>
          </w:p>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2、超速运行、违章作业、制动装置失效等；</w:t>
            </w:r>
          </w:p>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3、运输道路打滑，无人行道、道路无护坡</w:t>
            </w:r>
          </w:p>
        </w:tc>
        <w:tc>
          <w:tcPr>
            <w:tcW w:w="758"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人员伤亡</w:t>
            </w:r>
          </w:p>
        </w:tc>
        <w:tc>
          <w:tcPr>
            <w:tcW w:w="752"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II-</w:t>
            </w:r>
          </w:p>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III</w:t>
            </w:r>
          </w:p>
        </w:tc>
        <w:tc>
          <w:tcPr>
            <w:tcW w:w="4910"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1、加强安全教育培训，提高人员安全素质，司机需经培训持证上岗；</w:t>
            </w:r>
          </w:p>
          <w:p>
            <w:pPr>
              <w:wordWrap/>
              <w:spacing w:line="360" w:lineRule="auto"/>
              <w:ind w:firstLine="0" w:firstLineChars="0"/>
              <w:jc w:val="left"/>
              <w:rPr>
                <w:rFonts w:ascii="宋体" w:hAnsi="宋体" w:cs="宋体"/>
                <w:color w:val="auto"/>
                <w:sz w:val="21"/>
                <w:szCs w:val="21"/>
              </w:rPr>
            </w:pPr>
            <w:r>
              <w:rPr>
                <w:rFonts w:hint="eastAsia" w:ascii="宋体" w:hAnsi="宋体" w:cs="宋体"/>
                <w:color w:val="auto"/>
                <w:sz w:val="21"/>
                <w:szCs w:val="21"/>
              </w:rPr>
              <w:t>2、双车道的路面宽度，应保证会车安全。陡长坡道的尽端弯道，不宜采用最小平曲线半径。弯道处的会车视距若不能满足要求，则应分设车道。急弯、陡坡、危险地段应有警示标志；</w:t>
            </w:r>
          </w:p>
          <w:p>
            <w:pPr>
              <w:wordWrap/>
              <w:spacing w:line="360" w:lineRule="auto"/>
              <w:ind w:firstLine="0" w:firstLineChars="0"/>
              <w:jc w:val="left"/>
              <w:rPr>
                <w:rFonts w:ascii="宋体" w:hAnsi="宋体" w:cs="宋体"/>
                <w:color w:val="auto"/>
                <w:sz w:val="21"/>
                <w:szCs w:val="21"/>
              </w:rPr>
            </w:pPr>
            <w:r>
              <w:rPr>
                <w:rFonts w:hint="eastAsia" w:ascii="宋体" w:hAnsi="宋体" w:cs="宋体"/>
                <w:color w:val="auto"/>
                <w:sz w:val="21"/>
                <w:szCs w:val="21"/>
              </w:rPr>
              <w:t>3、雾天或烟尘弥漫影响能见度时，应开亮车前黄灯与标志灯，并靠右侧减速行驶，前后车间距应不小于30m。视距不足20m时，应靠右暂停行驶，并不应熄灭车前、车后的警示灯；</w:t>
            </w:r>
          </w:p>
          <w:p>
            <w:pPr>
              <w:wordWrap/>
              <w:spacing w:line="360" w:lineRule="auto"/>
              <w:ind w:firstLine="0" w:firstLineChars="0"/>
              <w:jc w:val="left"/>
              <w:rPr>
                <w:rFonts w:ascii="宋体" w:hAnsi="宋体" w:cs="宋体"/>
                <w:color w:val="auto"/>
                <w:sz w:val="21"/>
                <w:szCs w:val="21"/>
              </w:rPr>
            </w:pPr>
            <w:r>
              <w:rPr>
                <w:rFonts w:hint="eastAsia" w:ascii="宋体" w:hAnsi="宋体" w:cs="宋体"/>
                <w:color w:val="auto"/>
                <w:sz w:val="21"/>
                <w:szCs w:val="21"/>
              </w:rPr>
              <w:t>4、冰雪或多雨季节道路较滑时，应有防滑措施并减速行驶；前后车距应不小于40m；拖挂其他车辆时，应采取有效的安全措施，并有专人指挥；</w:t>
            </w:r>
          </w:p>
          <w:p>
            <w:pPr>
              <w:wordWrap/>
              <w:spacing w:line="360" w:lineRule="auto"/>
              <w:ind w:firstLine="0" w:firstLineChars="0"/>
              <w:jc w:val="left"/>
              <w:rPr>
                <w:rFonts w:ascii="宋体" w:hAnsi="宋体" w:cs="宋体"/>
                <w:color w:val="auto"/>
                <w:sz w:val="21"/>
                <w:szCs w:val="21"/>
              </w:rPr>
            </w:pPr>
            <w:r>
              <w:rPr>
                <w:rFonts w:hint="eastAsia" w:ascii="宋体" w:hAnsi="宋体" w:cs="宋体"/>
                <w:color w:val="auto"/>
                <w:sz w:val="21"/>
                <w:szCs w:val="21"/>
              </w:rPr>
              <w:t>5、 山坡填方的弯道、坡度较大的填方地段以及高堤路基路段，外侧应设置护栏、挡车墙等；</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6、正常作业条件下，同类车不应超车，前后车距离应保持适当。生产干线、坡道上不应无故停车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trPr>
        <w:tc>
          <w:tcPr>
            <w:tcW w:w="724"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物体打击</w:t>
            </w:r>
          </w:p>
        </w:tc>
        <w:tc>
          <w:tcPr>
            <w:tcW w:w="2541" w:type="dxa"/>
          </w:tcPr>
          <w:p>
            <w:pPr>
              <w:wordWrap/>
              <w:spacing w:line="360" w:lineRule="auto"/>
              <w:ind w:firstLine="0" w:firstLineChars="0"/>
              <w:jc w:val="left"/>
              <w:rPr>
                <w:rFonts w:ascii="宋体" w:hAnsi="宋体" w:cs="宋体"/>
                <w:color w:val="auto"/>
                <w:sz w:val="21"/>
                <w:szCs w:val="21"/>
              </w:rPr>
            </w:pPr>
            <w:r>
              <w:rPr>
                <w:rFonts w:hint="eastAsia" w:ascii="宋体" w:hAnsi="宋体" w:cs="宋体"/>
                <w:color w:val="auto"/>
                <w:sz w:val="21"/>
                <w:szCs w:val="21"/>
              </w:rPr>
              <w:t>1、坡上操作人员落下工具及踩落石块伤及坡下作业人员；</w:t>
            </w:r>
          </w:p>
          <w:p>
            <w:pPr>
              <w:wordWrap/>
              <w:spacing w:line="360" w:lineRule="auto"/>
              <w:ind w:firstLine="0" w:firstLineChars="0"/>
              <w:jc w:val="left"/>
              <w:rPr>
                <w:rFonts w:ascii="宋体" w:hAnsi="宋体" w:cs="宋体"/>
                <w:color w:val="auto"/>
                <w:sz w:val="21"/>
                <w:szCs w:val="21"/>
              </w:rPr>
            </w:pPr>
            <w:r>
              <w:rPr>
                <w:rFonts w:hint="eastAsia" w:ascii="宋体" w:hAnsi="宋体" w:cs="宋体"/>
                <w:color w:val="auto"/>
                <w:sz w:val="21"/>
                <w:szCs w:val="21"/>
              </w:rPr>
              <w:t>2、装车时偶然崩出石子伤及周边人员；</w:t>
            </w:r>
          </w:p>
          <w:p>
            <w:pPr>
              <w:wordWrap/>
              <w:spacing w:line="360" w:lineRule="auto"/>
              <w:ind w:firstLine="0" w:firstLineChars="0"/>
              <w:jc w:val="left"/>
              <w:rPr>
                <w:rFonts w:ascii="宋体" w:hAnsi="宋体" w:cs="宋体"/>
                <w:color w:val="auto"/>
                <w:sz w:val="21"/>
                <w:szCs w:val="21"/>
              </w:rPr>
            </w:pPr>
            <w:r>
              <w:rPr>
                <w:rFonts w:hint="eastAsia" w:ascii="宋体" w:hAnsi="宋体" w:cs="宋体"/>
                <w:color w:val="auto"/>
                <w:sz w:val="21"/>
                <w:szCs w:val="21"/>
              </w:rPr>
              <w:t>3、边坡坍塌、落石；</w:t>
            </w:r>
          </w:p>
        </w:tc>
        <w:tc>
          <w:tcPr>
            <w:tcW w:w="758"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人员伤亡</w:t>
            </w:r>
          </w:p>
        </w:tc>
        <w:tc>
          <w:tcPr>
            <w:tcW w:w="752"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Ⅲ</w:t>
            </w:r>
          </w:p>
        </w:tc>
        <w:tc>
          <w:tcPr>
            <w:tcW w:w="4910"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1、台阶宽度必须符合设计要求，尽量远离边坡作业。严禁同一坡面上双层或多层作业；</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2、人员远离铲装作业现场；</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3、加强边坡监测和检查，及时处理边坡的危险等。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trPr>
        <w:tc>
          <w:tcPr>
            <w:tcW w:w="724"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粉尘</w:t>
            </w:r>
          </w:p>
        </w:tc>
        <w:tc>
          <w:tcPr>
            <w:tcW w:w="2541"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铲装、运输作业</w:t>
            </w:r>
          </w:p>
        </w:tc>
        <w:tc>
          <w:tcPr>
            <w:tcW w:w="758"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健康受损</w:t>
            </w:r>
          </w:p>
        </w:tc>
        <w:tc>
          <w:tcPr>
            <w:tcW w:w="752"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II</w:t>
            </w:r>
          </w:p>
        </w:tc>
        <w:tc>
          <w:tcPr>
            <w:tcW w:w="4910"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采用除尘作业和捕尘措施，配戴防护用品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724"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噪声振动</w:t>
            </w:r>
          </w:p>
        </w:tc>
        <w:tc>
          <w:tcPr>
            <w:tcW w:w="2541"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装载、运输机械</w:t>
            </w:r>
          </w:p>
        </w:tc>
        <w:tc>
          <w:tcPr>
            <w:tcW w:w="758"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健康受损</w:t>
            </w:r>
          </w:p>
        </w:tc>
        <w:tc>
          <w:tcPr>
            <w:tcW w:w="752"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II</w:t>
            </w:r>
          </w:p>
        </w:tc>
        <w:tc>
          <w:tcPr>
            <w:tcW w:w="4910"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1、采用减振、隔音措施；</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2、人员配戴防护用品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724"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滑坡</w:t>
            </w:r>
          </w:p>
        </w:tc>
        <w:tc>
          <w:tcPr>
            <w:tcW w:w="2541"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地质条件</w:t>
            </w:r>
            <w:r>
              <w:rPr>
                <w:rFonts w:ascii="宋体" w:hAnsi="宋体" w:cs="宋体"/>
                <w:color w:val="auto"/>
                <w:sz w:val="21"/>
                <w:szCs w:val="21"/>
              </w:rPr>
              <w:t>，水文条件改变，边坡角过大</w:t>
            </w:r>
          </w:p>
        </w:tc>
        <w:tc>
          <w:tcPr>
            <w:tcW w:w="758"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人员</w:t>
            </w:r>
            <w:r>
              <w:rPr>
                <w:rFonts w:ascii="宋体" w:hAnsi="宋体" w:cs="宋体"/>
                <w:color w:val="auto"/>
                <w:sz w:val="21"/>
                <w:szCs w:val="21"/>
              </w:rPr>
              <w:t>伤亡</w:t>
            </w:r>
          </w:p>
        </w:tc>
        <w:tc>
          <w:tcPr>
            <w:tcW w:w="752"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II</w:t>
            </w:r>
          </w:p>
        </w:tc>
        <w:tc>
          <w:tcPr>
            <w:tcW w:w="4910"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1、</w:t>
            </w:r>
            <w:r>
              <w:rPr>
                <w:rFonts w:ascii="宋体" w:hAnsi="宋体" w:cs="宋体"/>
                <w:color w:val="auto"/>
                <w:sz w:val="21"/>
                <w:szCs w:val="21"/>
              </w:rPr>
              <w:t>注意检查边坡稳定性</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2、</w:t>
            </w:r>
            <w:r>
              <w:rPr>
                <w:rFonts w:ascii="宋体" w:hAnsi="宋体" w:cs="宋体"/>
                <w:color w:val="auto"/>
                <w:sz w:val="21"/>
                <w:szCs w:val="21"/>
              </w:rPr>
              <w:t>按设计要求设置采场边坡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724" w:type="dxa"/>
            <w:vAlign w:val="center"/>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坍塌</w:t>
            </w:r>
          </w:p>
        </w:tc>
        <w:tc>
          <w:tcPr>
            <w:tcW w:w="2541"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物体超高</w:t>
            </w:r>
            <w:r>
              <w:rPr>
                <w:rFonts w:ascii="宋体" w:hAnsi="宋体" w:cs="宋体"/>
                <w:color w:val="auto"/>
                <w:sz w:val="21"/>
                <w:szCs w:val="21"/>
              </w:rPr>
              <w:t>堆放，</w:t>
            </w:r>
            <w:r>
              <w:rPr>
                <w:rFonts w:hint="eastAsia" w:ascii="宋体" w:hAnsi="宋体" w:cs="宋体"/>
                <w:color w:val="auto"/>
                <w:sz w:val="21"/>
                <w:szCs w:val="21"/>
              </w:rPr>
              <w:t>违章</w:t>
            </w:r>
            <w:r>
              <w:rPr>
                <w:rFonts w:ascii="宋体" w:hAnsi="宋体" w:cs="宋体"/>
                <w:color w:val="auto"/>
                <w:sz w:val="21"/>
                <w:szCs w:val="21"/>
              </w:rPr>
              <w:t>掏采等</w:t>
            </w:r>
          </w:p>
        </w:tc>
        <w:tc>
          <w:tcPr>
            <w:tcW w:w="758"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人员</w:t>
            </w:r>
            <w:r>
              <w:rPr>
                <w:rFonts w:ascii="宋体" w:hAnsi="宋体" w:cs="宋体"/>
                <w:color w:val="auto"/>
                <w:sz w:val="21"/>
                <w:szCs w:val="21"/>
              </w:rPr>
              <w:t>伤亡</w:t>
            </w:r>
          </w:p>
        </w:tc>
        <w:tc>
          <w:tcPr>
            <w:tcW w:w="752" w:type="dxa"/>
          </w:tcPr>
          <w:p>
            <w:pPr>
              <w:wordWrap/>
              <w:spacing w:line="360" w:lineRule="auto"/>
              <w:ind w:firstLine="0" w:firstLineChars="0"/>
              <w:jc w:val="center"/>
              <w:rPr>
                <w:rFonts w:ascii="宋体" w:hAnsi="宋体" w:cs="宋体"/>
                <w:color w:val="auto"/>
                <w:sz w:val="21"/>
                <w:szCs w:val="21"/>
              </w:rPr>
            </w:pPr>
            <w:r>
              <w:rPr>
                <w:rFonts w:hint="eastAsia" w:ascii="宋体" w:hAnsi="宋体" w:cs="宋体"/>
                <w:color w:val="auto"/>
                <w:sz w:val="21"/>
                <w:szCs w:val="21"/>
              </w:rPr>
              <w:t>III</w:t>
            </w:r>
          </w:p>
        </w:tc>
        <w:tc>
          <w:tcPr>
            <w:tcW w:w="4910" w:type="dxa"/>
          </w:tcPr>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1、</w:t>
            </w:r>
            <w:r>
              <w:rPr>
                <w:rFonts w:ascii="宋体" w:hAnsi="宋体" w:cs="宋体"/>
                <w:color w:val="auto"/>
                <w:sz w:val="21"/>
                <w:szCs w:val="21"/>
              </w:rPr>
              <w:t>堆放物体高度应适中</w:t>
            </w:r>
          </w:p>
          <w:p>
            <w:pPr>
              <w:wordWrap/>
              <w:spacing w:line="360" w:lineRule="auto"/>
              <w:ind w:firstLine="0" w:firstLineChars="0"/>
              <w:rPr>
                <w:rFonts w:ascii="宋体" w:hAnsi="宋体" w:cs="宋体"/>
                <w:color w:val="auto"/>
                <w:sz w:val="21"/>
                <w:szCs w:val="21"/>
              </w:rPr>
            </w:pPr>
            <w:r>
              <w:rPr>
                <w:rFonts w:hint="eastAsia" w:ascii="宋体" w:hAnsi="宋体" w:cs="宋体"/>
                <w:color w:val="auto"/>
                <w:sz w:val="21"/>
                <w:szCs w:val="21"/>
              </w:rPr>
              <w:t>2、</w:t>
            </w:r>
            <w:r>
              <w:rPr>
                <w:rFonts w:ascii="宋体" w:hAnsi="宋体" w:cs="宋体"/>
                <w:color w:val="auto"/>
                <w:sz w:val="21"/>
                <w:szCs w:val="21"/>
              </w:rPr>
              <w:t>按要求开采作业</w:t>
            </w:r>
          </w:p>
        </w:tc>
      </w:tr>
      <w:bookmarkEnd w:id="144"/>
    </w:tbl>
    <w:p>
      <w:pPr>
        <w:keepNext/>
        <w:keepLines/>
        <w:spacing w:beforeLines="100" w:line="360" w:lineRule="auto"/>
        <w:ind w:firstLine="0" w:firstLineChars="0"/>
        <w:outlineLvl w:val="2"/>
        <w:rPr>
          <w:rFonts w:ascii="宋体" w:hAnsi="宋体"/>
          <w:b/>
          <w:color w:val="auto"/>
          <w:kern w:val="0"/>
          <w:szCs w:val="28"/>
        </w:rPr>
      </w:pPr>
      <w:bookmarkStart w:id="149" w:name="_Toc528232047"/>
      <w:bookmarkStart w:id="150" w:name="_Toc12499"/>
      <w:bookmarkStart w:id="151" w:name="_Toc479951119"/>
      <w:bookmarkStart w:id="152" w:name="_Toc14739"/>
      <w:bookmarkStart w:id="153" w:name="_Toc514763912"/>
      <w:bookmarkStart w:id="154" w:name="_Toc479154484"/>
      <w:bookmarkStart w:id="155" w:name="_Toc280348002"/>
      <w:bookmarkStart w:id="156" w:name="_Toc196887393"/>
      <w:bookmarkStart w:id="157" w:name="_Toc28706"/>
      <w:bookmarkStart w:id="158" w:name="_Toc218841188"/>
      <w:bookmarkStart w:id="159" w:name="_Toc25334365"/>
      <w:bookmarkStart w:id="160" w:name="_Toc225325742"/>
      <w:bookmarkStart w:id="161" w:name="_Toc26106"/>
      <w:bookmarkStart w:id="162" w:name="_Toc224882794"/>
      <w:bookmarkStart w:id="163" w:name="_Toc224890397"/>
      <w:bookmarkStart w:id="164" w:name="_Toc216409534"/>
      <w:r>
        <w:rPr>
          <w:rFonts w:hint="eastAsia" w:ascii="宋体" w:hAnsi="宋体"/>
          <w:b/>
          <w:color w:val="auto"/>
          <w:kern w:val="0"/>
          <w:szCs w:val="28"/>
        </w:rPr>
        <w:t>3.3.3露天采场采剥单元符合性评价</w:t>
      </w:r>
      <w:bookmarkEnd w:id="149"/>
      <w:bookmarkEnd w:id="150"/>
      <w:bookmarkEnd w:id="151"/>
      <w:bookmarkEnd w:id="152"/>
      <w:bookmarkEnd w:id="153"/>
      <w:bookmarkEnd w:id="154"/>
    </w:p>
    <w:p>
      <w:pPr>
        <w:spacing w:line="480" w:lineRule="exact"/>
        <w:ind w:firstLine="560"/>
        <w:rPr>
          <w:rFonts w:hint="eastAsia"/>
          <w:color w:val="auto"/>
          <w:kern w:val="0"/>
          <w:szCs w:val="28"/>
        </w:rPr>
      </w:pPr>
      <w:r>
        <w:rPr>
          <w:rFonts w:hint="eastAsia"/>
          <w:color w:val="auto"/>
          <w:kern w:val="0"/>
          <w:szCs w:val="28"/>
        </w:rPr>
        <w:t>对矿山采剥作业单元符合性评价，根据《金属非金属矿山安全规程》</w:t>
      </w:r>
    </w:p>
    <w:p>
      <w:pPr>
        <w:spacing w:line="480" w:lineRule="exact"/>
        <w:ind w:left="0" w:leftChars="0" w:firstLine="0" w:firstLineChars="0"/>
        <w:rPr>
          <w:color w:val="auto"/>
          <w:kern w:val="0"/>
          <w:szCs w:val="28"/>
        </w:rPr>
      </w:pPr>
      <w:r>
        <w:rPr>
          <w:rFonts w:hint="eastAsia"/>
          <w:color w:val="auto"/>
          <w:kern w:val="0"/>
          <w:szCs w:val="28"/>
        </w:rPr>
        <w:t>GB16423-2020、《非煤露天矿边坡工程技术规范》GB 51016-2014等的要求，采用安全检查表对该露天采场进行符合性评价，详见表3-7。</w:t>
      </w:r>
    </w:p>
    <w:p>
      <w:pPr>
        <w:keepNext/>
        <w:keepLines/>
        <w:spacing w:beforeLines="100" w:line="360" w:lineRule="auto"/>
        <w:ind w:firstLine="0" w:firstLineChars="0"/>
        <w:rPr>
          <w:rFonts w:ascii="宋体" w:hAnsi="宋体"/>
          <w:b/>
          <w:bCs/>
          <w:color w:val="auto"/>
          <w:kern w:val="0"/>
          <w:sz w:val="24"/>
          <w:szCs w:val="28"/>
        </w:rPr>
      </w:pPr>
      <w:r>
        <w:rPr>
          <w:rFonts w:hint="eastAsia"/>
          <w:b/>
          <w:bCs/>
          <w:color w:val="auto"/>
          <w:kern w:val="0"/>
          <w:sz w:val="24"/>
        </w:rPr>
        <w:t>表3-7              矿山采剥单元符合性评价安全检查表</w:t>
      </w:r>
    </w:p>
    <w:tbl>
      <w:tblPr>
        <w:tblStyle w:val="36"/>
        <w:tblW w:w="9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4705"/>
        <w:gridCol w:w="1559"/>
        <w:gridCol w:w="1134"/>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序号</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检查内容</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left="-118" w:leftChars="-51" w:hanging="25" w:hangingChars="12"/>
              <w:jc w:val="center"/>
              <w:rPr>
                <w:color w:val="auto"/>
                <w:sz w:val="21"/>
                <w:szCs w:val="21"/>
              </w:rPr>
            </w:pPr>
            <w:r>
              <w:rPr>
                <w:rFonts w:hint="eastAsia"/>
                <w:color w:val="auto"/>
                <w:sz w:val="21"/>
                <w:szCs w:val="21"/>
              </w:rPr>
              <w:t>依据标准</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检查结果</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color w:val="auto"/>
                <w:sz w:val="21"/>
                <w:szCs w:val="21"/>
              </w:rPr>
              <w:t>1</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露天开采应遵循自上而下的开采顺序，分台阶开采。</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left"/>
              <w:rPr>
                <w:color w:val="auto"/>
                <w:sz w:val="21"/>
              </w:rPr>
            </w:pPr>
            <w:r>
              <w:rPr>
                <w:rFonts w:hint="eastAsia"/>
                <w:color w:val="auto"/>
                <w:sz w:val="21"/>
              </w:rPr>
              <w:t>《金属非金属矿山安全规程》GB16423-2020</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《三合一方案》设计采用山坡露天开采，采用自上而下开采</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color w:val="auto"/>
                <w:sz w:val="21"/>
                <w:szCs w:val="21"/>
              </w:rPr>
              <w:t>2</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left"/>
              <w:rPr>
                <w:color w:val="auto"/>
                <w:sz w:val="21"/>
                <w:szCs w:val="21"/>
              </w:rPr>
            </w:pPr>
            <w:r>
              <w:rPr>
                <w:rFonts w:hint="eastAsia"/>
                <w:color w:val="auto"/>
                <w:sz w:val="21"/>
                <w:szCs w:val="21"/>
              </w:rPr>
              <w:t>露天坑周围易于发生危险的区域应设置围栏和警示标志，防止无关人员进入。</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left"/>
              <w:rPr>
                <w:color w:val="auto"/>
                <w:sz w:val="21"/>
                <w:szCs w:val="21"/>
              </w:rPr>
            </w:pPr>
            <w:r>
              <w:rPr>
                <w:rFonts w:hint="eastAsia"/>
                <w:color w:val="auto"/>
                <w:sz w:val="21"/>
              </w:rPr>
              <w:t>《金属非金属矿山安全规程》GB16423-2020</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《三合一方案》未提出</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3</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rPr>
                <w:color w:val="auto"/>
                <w:sz w:val="21"/>
                <w:szCs w:val="21"/>
              </w:rPr>
            </w:pPr>
            <w:r>
              <w:rPr>
                <w:rFonts w:hint="eastAsia"/>
                <w:color w:val="auto"/>
                <w:sz w:val="21"/>
                <w:szCs w:val="21"/>
              </w:rPr>
              <w:t>台阶构成的安全要求：不大于机械挖堀高度。</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left"/>
              <w:rPr>
                <w:color w:val="auto"/>
                <w:sz w:val="21"/>
              </w:rPr>
            </w:pPr>
            <w:r>
              <w:rPr>
                <w:rFonts w:hint="eastAsia"/>
                <w:color w:val="auto"/>
                <w:sz w:val="21"/>
              </w:rPr>
              <w:t>《金属非金属矿山安全规程》GB16423-2020</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left="-167" w:leftChars="-64" w:right="-179" w:rightChars="-64" w:hanging="12" w:hangingChars="6"/>
              <w:jc w:val="center"/>
              <w:rPr>
                <w:color w:val="auto"/>
                <w:sz w:val="21"/>
                <w:szCs w:val="21"/>
              </w:rPr>
            </w:pPr>
            <w:r>
              <w:rPr>
                <w:rFonts w:hint="eastAsia"/>
                <w:color w:val="auto"/>
                <w:sz w:val="21"/>
                <w:szCs w:val="21"/>
              </w:rPr>
              <w:t>《三合一方案》设计工作台阶高度10m</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4</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rPr>
                <w:color w:val="auto"/>
                <w:sz w:val="21"/>
                <w:szCs w:val="21"/>
              </w:rPr>
            </w:pPr>
            <w:r>
              <w:rPr>
                <w:rFonts w:hint="eastAsia"/>
                <w:color w:val="auto"/>
                <w:sz w:val="21"/>
                <w:szCs w:val="21"/>
              </w:rPr>
              <w:t>露天边坡应符合设计要求，保证边坡整体的安全稳定。</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left"/>
              <w:rPr>
                <w:color w:val="auto"/>
                <w:sz w:val="21"/>
              </w:rPr>
            </w:pPr>
            <w:r>
              <w:rPr>
                <w:rFonts w:hint="eastAsia"/>
                <w:color w:val="auto"/>
                <w:sz w:val="21"/>
              </w:rPr>
              <w:t>《金属非金属矿山安全规程》GB16423-2020</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《三合一方案》设计台阶坡面角50°；最终坡面角40°；设计安全平台4m，清扫平台6m；最小平台宽度30m</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5</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rPr>
                <w:color w:val="auto"/>
                <w:sz w:val="21"/>
                <w:szCs w:val="21"/>
              </w:rPr>
            </w:pPr>
            <w:r>
              <w:rPr>
                <w:rFonts w:hint="eastAsia"/>
                <w:color w:val="auto"/>
                <w:sz w:val="21"/>
                <w:szCs w:val="21"/>
              </w:rPr>
              <w:t>邻近最终边坡作业，应遵守下列规定：</w:t>
            </w:r>
          </w:p>
          <w:p>
            <w:pPr>
              <w:wordWrap/>
              <w:spacing w:line="240" w:lineRule="auto"/>
              <w:ind w:firstLine="0" w:firstLineChars="0"/>
              <w:rPr>
                <w:color w:val="auto"/>
                <w:sz w:val="21"/>
                <w:szCs w:val="21"/>
              </w:rPr>
            </w:pPr>
            <w:r>
              <w:rPr>
                <w:rFonts w:hint="eastAsia"/>
                <w:color w:val="auto"/>
                <w:sz w:val="21"/>
                <w:szCs w:val="21"/>
              </w:rPr>
              <w:t>1、应保持台阶的安全坡面角，不应超挖坡底。</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left"/>
              <w:rPr>
                <w:color w:val="auto"/>
                <w:sz w:val="21"/>
              </w:rPr>
            </w:pPr>
            <w:r>
              <w:rPr>
                <w:rFonts w:hint="eastAsia"/>
                <w:color w:val="auto"/>
                <w:sz w:val="21"/>
              </w:rPr>
              <w:t>《金属非金属矿山安全规程》GB16423-2020</w:t>
            </w:r>
          </w:p>
          <w:p>
            <w:pPr>
              <w:wordWrap/>
              <w:spacing w:line="300" w:lineRule="exact"/>
              <w:ind w:left="-118" w:leftChars="-51" w:hanging="25" w:hangingChars="12"/>
              <w:jc w:val="center"/>
              <w:rPr>
                <w:color w:val="auto"/>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rPr>
                <w:color w:val="auto"/>
                <w:sz w:val="21"/>
                <w:szCs w:val="21"/>
              </w:rPr>
            </w:pPr>
            <w:r>
              <w:rPr>
                <w:rFonts w:hint="eastAsia"/>
                <w:color w:val="auto"/>
                <w:sz w:val="21"/>
                <w:szCs w:val="21"/>
              </w:rPr>
              <w:t>自上而下开采</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6</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rPr>
                <w:color w:val="auto"/>
                <w:sz w:val="21"/>
                <w:szCs w:val="21"/>
              </w:rPr>
            </w:pPr>
            <w:r>
              <w:rPr>
                <w:rFonts w:hint="eastAsia"/>
                <w:color w:val="auto"/>
                <w:sz w:val="21"/>
                <w:szCs w:val="21"/>
              </w:rPr>
              <w:t>遇有下列情况之一时，应事先采取有效的安全措施进行处理：</w:t>
            </w:r>
          </w:p>
          <w:p>
            <w:pPr>
              <w:wordWrap/>
              <w:spacing w:line="240" w:lineRule="auto"/>
              <w:ind w:firstLine="0" w:firstLineChars="0"/>
              <w:rPr>
                <w:color w:val="auto"/>
                <w:sz w:val="21"/>
                <w:szCs w:val="21"/>
              </w:rPr>
            </w:pPr>
            <w:r>
              <w:rPr>
                <w:color w:val="auto"/>
                <w:sz w:val="21"/>
                <w:szCs w:val="21"/>
              </w:rPr>
              <w:t>1</w:t>
            </w:r>
            <w:r>
              <w:rPr>
                <w:rFonts w:hint="eastAsia"/>
                <w:color w:val="auto"/>
                <w:sz w:val="21"/>
                <w:szCs w:val="21"/>
              </w:rPr>
              <w:t>、岩层内倾于采场，且设计边坡角大于岩层倾角；</w:t>
            </w:r>
            <w:r>
              <w:rPr>
                <w:color w:val="auto"/>
                <w:sz w:val="21"/>
                <w:szCs w:val="21"/>
              </w:rPr>
              <w:t xml:space="preserve"> 2</w:t>
            </w:r>
            <w:r>
              <w:rPr>
                <w:rFonts w:hint="eastAsia"/>
                <w:color w:val="auto"/>
                <w:sz w:val="21"/>
                <w:szCs w:val="21"/>
              </w:rPr>
              <w:t>、有较大软弱结构面切割边坡、构成不稳定的潜在滑坡体的边坡。</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left"/>
              <w:rPr>
                <w:color w:val="auto"/>
                <w:sz w:val="21"/>
              </w:rPr>
            </w:pPr>
            <w:r>
              <w:rPr>
                <w:rFonts w:hint="eastAsia"/>
                <w:color w:val="auto"/>
                <w:sz w:val="21"/>
              </w:rPr>
              <w:t>《金属非金属矿山安全规程》GB16423-2020</w:t>
            </w:r>
          </w:p>
          <w:p>
            <w:pPr>
              <w:wordWrap/>
              <w:spacing w:line="300" w:lineRule="exact"/>
              <w:ind w:left="-118" w:leftChars="-51" w:hanging="25" w:hangingChars="12"/>
              <w:jc w:val="center"/>
              <w:rPr>
                <w:color w:val="auto"/>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《三合一方案》未提出</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7</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rPr>
                <w:color w:val="auto"/>
                <w:sz w:val="21"/>
                <w:szCs w:val="21"/>
              </w:rPr>
            </w:pPr>
            <w:r>
              <w:rPr>
                <w:rFonts w:hint="eastAsia"/>
                <w:color w:val="auto"/>
                <w:sz w:val="21"/>
                <w:szCs w:val="21"/>
              </w:rPr>
              <w:t>边坡浮石清理完毕之前不应在边坡底部作业，人员和设备不应在边坡底部停留。</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left"/>
              <w:rPr>
                <w:color w:val="auto"/>
                <w:sz w:val="21"/>
              </w:rPr>
            </w:pPr>
            <w:r>
              <w:rPr>
                <w:rFonts w:hint="eastAsia"/>
                <w:color w:val="auto"/>
                <w:sz w:val="21"/>
              </w:rPr>
              <w:t>《金属非金属矿山安全规程》GB16423-2020</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《三合一方案》未提出</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8</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rPr>
                <w:color w:val="auto"/>
                <w:sz w:val="21"/>
                <w:szCs w:val="21"/>
              </w:rPr>
            </w:pPr>
            <w:r>
              <w:rPr>
                <w:rFonts w:hint="eastAsia"/>
                <w:color w:val="auto"/>
                <w:sz w:val="21"/>
                <w:szCs w:val="21"/>
              </w:rPr>
              <w:t>露天矿山应按照下列要求建立防排水系统：</w:t>
            </w:r>
          </w:p>
          <w:p>
            <w:pPr>
              <w:wordWrap/>
              <w:spacing w:line="240" w:lineRule="auto"/>
              <w:ind w:firstLine="0" w:firstLineChars="0"/>
              <w:rPr>
                <w:color w:val="auto"/>
                <w:sz w:val="21"/>
                <w:szCs w:val="21"/>
              </w:rPr>
            </w:pPr>
            <w:r>
              <w:rPr>
                <w:rFonts w:hint="eastAsia"/>
                <w:color w:val="auto"/>
                <w:sz w:val="21"/>
                <w:szCs w:val="21"/>
              </w:rPr>
              <w:t>1、受洪水威胁的露天采场应设置地面防洪工程；</w:t>
            </w:r>
          </w:p>
          <w:p>
            <w:pPr>
              <w:wordWrap/>
              <w:spacing w:line="240" w:lineRule="auto"/>
              <w:ind w:firstLine="0" w:firstLineChars="0"/>
              <w:rPr>
                <w:color w:val="auto"/>
                <w:sz w:val="21"/>
                <w:szCs w:val="21"/>
              </w:rPr>
            </w:pPr>
            <w:r>
              <w:rPr>
                <w:rFonts w:hint="eastAsia"/>
                <w:color w:val="auto"/>
                <w:sz w:val="21"/>
                <w:szCs w:val="21"/>
              </w:rPr>
              <w:t>2、不具备自然外排条件的山坡露天矿，境界外应设截水沟排水；</w:t>
            </w:r>
          </w:p>
          <w:p>
            <w:pPr>
              <w:wordWrap/>
              <w:spacing w:line="240" w:lineRule="auto"/>
              <w:ind w:firstLine="0" w:firstLineChars="0"/>
              <w:rPr>
                <w:color w:val="auto"/>
                <w:sz w:val="21"/>
                <w:szCs w:val="21"/>
              </w:rPr>
            </w:pPr>
            <w:r>
              <w:rPr>
                <w:rFonts w:hint="eastAsia"/>
                <w:color w:val="auto"/>
                <w:sz w:val="21"/>
                <w:szCs w:val="21"/>
              </w:rPr>
              <w:t>3、凹陷露天坑应设机械排水或自流排水设施；</w:t>
            </w:r>
          </w:p>
          <w:p>
            <w:pPr>
              <w:wordWrap/>
              <w:spacing w:line="240" w:lineRule="auto"/>
              <w:ind w:firstLine="0" w:firstLineChars="0"/>
              <w:rPr>
                <w:color w:val="auto"/>
              </w:rPr>
            </w:pPr>
            <w:r>
              <w:rPr>
                <w:rFonts w:hint="eastAsia"/>
                <w:color w:val="auto"/>
                <w:sz w:val="21"/>
                <w:szCs w:val="21"/>
              </w:rPr>
              <w:t>4、遇设计防洪频率的暴雨时，最低淹没时间不应超过7d，淹没前应撤出人员和重要设备。</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left"/>
              <w:rPr>
                <w:color w:val="auto"/>
                <w:sz w:val="21"/>
              </w:rPr>
            </w:pPr>
            <w:r>
              <w:rPr>
                <w:rFonts w:hint="eastAsia"/>
                <w:color w:val="auto"/>
                <w:sz w:val="21"/>
              </w:rPr>
              <w:t>《金属非金属矿山安全规程》GB16423-2020</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《三合一方案》已设计截排水沟，但未对汇水面积等进行核算</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9</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rPr>
                <w:color w:val="auto"/>
                <w:sz w:val="21"/>
                <w:szCs w:val="21"/>
              </w:rPr>
            </w:pPr>
            <w:r>
              <w:rPr>
                <w:rFonts w:hint="eastAsia"/>
                <w:color w:val="auto"/>
                <w:sz w:val="21"/>
                <w:szCs w:val="21"/>
              </w:rPr>
              <w:t>露天矿山应采取下列措施保证采场安全：</w:t>
            </w:r>
          </w:p>
          <w:p>
            <w:pPr>
              <w:wordWrap/>
              <w:spacing w:line="240" w:lineRule="auto"/>
              <w:ind w:firstLine="0" w:firstLineChars="0"/>
              <w:rPr>
                <w:color w:val="auto"/>
                <w:sz w:val="21"/>
                <w:szCs w:val="21"/>
              </w:rPr>
            </w:pPr>
            <w:r>
              <w:rPr>
                <w:rFonts w:hint="eastAsia"/>
                <w:color w:val="auto"/>
                <w:sz w:val="21"/>
                <w:szCs w:val="21"/>
              </w:rPr>
              <w:t>1、在采场边坡台阶设置排水沟；</w:t>
            </w:r>
          </w:p>
          <w:p>
            <w:pPr>
              <w:wordWrap/>
              <w:spacing w:line="240" w:lineRule="auto"/>
              <w:ind w:firstLine="0" w:firstLineChars="0"/>
              <w:rPr>
                <w:color w:val="auto"/>
              </w:rPr>
            </w:pPr>
            <w:r>
              <w:rPr>
                <w:rFonts w:hint="eastAsia"/>
                <w:color w:val="auto"/>
                <w:sz w:val="21"/>
                <w:szCs w:val="21"/>
              </w:rPr>
              <w:t>2、地下水影响露天采场的安全生产时，应采取疏干等防治措施。</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left"/>
              <w:rPr>
                <w:color w:val="auto"/>
                <w:sz w:val="21"/>
              </w:rPr>
            </w:pPr>
            <w:r>
              <w:rPr>
                <w:rFonts w:hint="eastAsia"/>
                <w:color w:val="auto"/>
                <w:sz w:val="21"/>
              </w:rPr>
              <w:t>《金属非金属矿山安全规程》GB16423-2020</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《三合一方案》已设计</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10</w:t>
            </w:r>
          </w:p>
        </w:tc>
        <w:tc>
          <w:tcPr>
            <w:tcW w:w="4705"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rPr>
                <w:color w:val="auto"/>
                <w:sz w:val="21"/>
                <w:szCs w:val="21"/>
              </w:rPr>
            </w:pPr>
            <w:r>
              <w:rPr>
                <w:rFonts w:hint="eastAsia"/>
                <w:color w:val="auto"/>
                <w:sz w:val="21"/>
                <w:szCs w:val="21"/>
              </w:rPr>
              <w:t>露天场地照明光源应选择高压钠灯、金属卤化物灯、荧光灯及其他新型高效照明光源。不应采用普通照明白炽灯、采用自镇流器荧光高压汞灯，不宜采用荧光高压汞灯。</w:t>
            </w:r>
          </w:p>
        </w:tc>
        <w:tc>
          <w:tcPr>
            <w:tcW w:w="1559"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left="-118" w:leftChars="-51" w:hanging="25" w:hangingChars="12"/>
              <w:jc w:val="left"/>
              <w:rPr>
                <w:rFonts w:cs="宋体"/>
                <w:color w:val="auto"/>
                <w:sz w:val="21"/>
                <w:szCs w:val="21"/>
              </w:rPr>
            </w:pPr>
            <w:r>
              <w:rPr>
                <w:rFonts w:hint="eastAsia" w:cs="宋体"/>
                <w:color w:val="auto"/>
                <w:sz w:val="21"/>
                <w:szCs w:val="21"/>
              </w:rPr>
              <w:t>《室外作业场地照明设计标准》</w:t>
            </w:r>
            <w:r>
              <w:rPr>
                <w:rFonts w:hint="eastAsia"/>
                <w:color w:val="auto"/>
                <w:sz w:val="21"/>
              </w:rPr>
              <w:t>GB50582-2010</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《三合一方案》采用单班作业，无照明设施</w:t>
            </w:r>
          </w:p>
        </w:tc>
        <w:tc>
          <w:tcPr>
            <w:tcW w:w="993" w:type="dxa"/>
            <w:tcBorders>
              <w:top w:val="single" w:color="auto" w:sz="4" w:space="0"/>
              <w:left w:val="single" w:color="auto" w:sz="4" w:space="0"/>
              <w:bottom w:val="single" w:color="auto" w:sz="4" w:space="0"/>
              <w:right w:val="single" w:color="auto" w:sz="4" w:space="0"/>
            </w:tcBorders>
            <w:vAlign w:val="center"/>
          </w:tcPr>
          <w:p>
            <w:pPr>
              <w:wordWrap/>
              <w:spacing w:line="300" w:lineRule="exact"/>
              <w:ind w:firstLine="0" w:firstLineChars="0"/>
              <w:jc w:val="center"/>
              <w:rPr>
                <w:color w:val="auto"/>
                <w:sz w:val="21"/>
                <w:szCs w:val="21"/>
              </w:rPr>
            </w:pPr>
            <w:r>
              <w:rPr>
                <w:rFonts w:hint="eastAsia"/>
                <w:color w:val="auto"/>
                <w:sz w:val="21"/>
                <w:szCs w:val="21"/>
              </w:rPr>
              <w:t>符合</w:t>
            </w:r>
          </w:p>
        </w:tc>
      </w:tr>
    </w:tbl>
    <w:p>
      <w:pPr>
        <w:keepNext/>
        <w:keepLines/>
        <w:spacing w:beforeLines="100" w:line="360" w:lineRule="auto"/>
        <w:ind w:firstLine="0" w:firstLineChars="0"/>
        <w:outlineLvl w:val="2"/>
        <w:rPr>
          <w:rFonts w:ascii="宋体" w:hAnsi="宋体"/>
          <w:b/>
          <w:color w:val="auto"/>
          <w:kern w:val="0"/>
          <w:szCs w:val="28"/>
        </w:rPr>
      </w:pPr>
      <w:bookmarkStart w:id="165" w:name="_Toc9421"/>
      <w:r>
        <w:rPr>
          <w:rFonts w:ascii="宋体" w:hAnsi="宋体"/>
          <w:b/>
          <w:color w:val="auto"/>
          <w:kern w:val="0"/>
          <w:szCs w:val="28"/>
        </w:rPr>
        <w:t>3</w:t>
      </w:r>
      <w:r>
        <w:rPr>
          <w:rFonts w:hint="eastAsia" w:ascii="宋体" w:hAnsi="宋体"/>
          <w:b/>
          <w:color w:val="auto"/>
          <w:kern w:val="0"/>
          <w:szCs w:val="28"/>
        </w:rPr>
        <w:t>.3.4 露天采场边坡稳定性分析</w:t>
      </w:r>
      <w:bookmarkEnd w:id="165"/>
    </w:p>
    <w:p>
      <w:pPr>
        <w:pStyle w:val="11"/>
        <w:spacing w:line="360" w:lineRule="auto"/>
        <w:ind w:firstLine="560"/>
        <w:rPr>
          <w:rFonts w:ascii="宋体" w:hAnsi="宋体"/>
          <w:color w:val="auto"/>
          <w:szCs w:val="22"/>
        </w:rPr>
      </w:pPr>
      <w:r>
        <w:rPr>
          <w:rFonts w:hint="eastAsia" w:ascii="宋体" w:hAnsi="宋体"/>
          <w:color w:val="auto"/>
          <w:szCs w:val="22"/>
        </w:rPr>
        <w:t>根据《非煤露天矿边坡工程技术规范》（GB51016-2014）规定，边坡稳定性安全标准为1.10。</w:t>
      </w:r>
    </w:p>
    <w:p>
      <w:pPr>
        <w:pStyle w:val="11"/>
        <w:spacing w:line="360" w:lineRule="auto"/>
        <w:ind w:firstLine="560"/>
        <w:rPr>
          <w:rFonts w:ascii="宋体" w:hAnsi="宋体"/>
          <w:color w:val="auto"/>
          <w:szCs w:val="22"/>
        </w:rPr>
      </w:pPr>
      <w:r>
        <w:rPr>
          <w:rFonts w:hint="eastAsia" w:ascii="宋体" w:hAnsi="宋体"/>
          <w:color w:val="auto"/>
          <w:szCs w:val="22"/>
        </w:rPr>
        <w:t>边坡稳定性计算</w:t>
      </w:r>
    </w:p>
    <w:p>
      <w:pPr>
        <w:ind w:firstLine="400"/>
        <w:jc w:val="left"/>
        <w:rPr>
          <w:rFonts w:ascii="宋体" w:hAnsi="宋体"/>
          <w:color w:val="auto"/>
          <w:sz w:val="20"/>
          <w:lang w:val="zh-CN"/>
        </w:rPr>
      </w:pPr>
      <w:r>
        <w:rPr>
          <w:rFonts w:hint="eastAsia" w:ascii="宋体" w:hAnsi="宋体"/>
          <w:color w:val="auto"/>
          <w:sz w:val="20"/>
          <w:lang w:val="zh-CN"/>
        </w:rPr>
        <w:t>[ 计算简图 ]</w:t>
      </w:r>
    </w:p>
    <w:p>
      <w:pPr>
        <w:ind w:firstLine="400"/>
        <w:jc w:val="left"/>
        <w:rPr>
          <w:rFonts w:ascii="宋体" w:hAnsi="宋体"/>
          <w:color w:val="auto"/>
          <w:sz w:val="20"/>
          <w:lang w:val="zh-CN"/>
        </w:rPr>
      </w:pPr>
      <w:r>
        <w:rPr>
          <w:rFonts w:ascii="宋体" w:hAnsi="宋体"/>
          <w:color w:val="auto"/>
          <w:sz w:val="20"/>
        </w:rPr>
        <w:drawing>
          <wp:anchor distT="0" distB="0" distL="114300" distR="114300" simplePos="0" relativeHeight="251672576" behindDoc="0" locked="0" layoutInCell="1" allowOverlap="1">
            <wp:simplePos x="0" y="0"/>
            <wp:positionH relativeFrom="page">
              <wp:posOffset>1073150</wp:posOffset>
            </wp:positionH>
            <wp:positionV relativeFrom="page">
              <wp:posOffset>1816100</wp:posOffset>
            </wp:positionV>
            <wp:extent cx="3867150" cy="1803400"/>
            <wp:effectExtent l="0" t="0" r="0" b="0"/>
            <wp:wrapNone/>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noChangeArrowheads="1"/>
                    </pic:cNvPicPr>
                  </pic:nvPicPr>
                  <pic:blipFill>
                    <a:blip r:embed="rId24"/>
                    <a:srcRect/>
                    <a:stretch>
                      <a:fillRect/>
                    </a:stretch>
                  </pic:blipFill>
                  <pic:spPr>
                    <a:xfrm>
                      <a:off x="0" y="0"/>
                      <a:ext cx="3867150" cy="1803400"/>
                    </a:xfrm>
                    <a:prstGeom prst="rect">
                      <a:avLst/>
                    </a:prstGeom>
                    <a:noFill/>
                    <a:ln w="9525" cmpd="sng">
                      <a:noFill/>
                      <a:miter lim="800000"/>
                      <a:headEnd/>
                      <a:tailEnd/>
                    </a:ln>
                    <a:effectLst/>
                  </pic:spPr>
                </pic:pic>
              </a:graphicData>
            </a:graphic>
          </wp:anchor>
        </w:drawing>
      </w:r>
    </w:p>
    <w:p>
      <w:pPr>
        <w:ind w:firstLine="400"/>
        <w:jc w:val="left"/>
        <w:rPr>
          <w:rFonts w:ascii="宋体" w:hAnsi="宋体"/>
          <w:color w:val="auto"/>
          <w:sz w:val="20"/>
          <w:lang w:val="zh-CN"/>
        </w:rPr>
      </w:pPr>
    </w:p>
    <w:p>
      <w:pPr>
        <w:ind w:firstLine="400"/>
        <w:jc w:val="left"/>
        <w:rPr>
          <w:rFonts w:ascii="宋体" w:hAnsi="宋体"/>
          <w:color w:val="auto"/>
          <w:sz w:val="20"/>
          <w:lang w:val="zh-CN"/>
        </w:rPr>
      </w:pPr>
    </w:p>
    <w:p>
      <w:pPr>
        <w:ind w:firstLine="400"/>
        <w:jc w:val="left"/>
        <w:rPr>
          <w:rFonts w:ascii="宋体" w:hAnsi="宋体"/>
          <w:color w:val="auto"/>
          <w:sz w:val="20"/>
          <w:lang w:val="zh-CN"/>
        </w:rPr>
      </w:pPr>
    </w:p>
    <w:p>
      <w:pPr>
        <w:ind w:firstLine="400"/>
        <w:jc w:val="left"/>
        <w:rPr>
          <w:rFonts w:ascii="宋体" w:hAnsi="宋体"/>
          <w:color w:val="auto"/>
          <w:sz w:val="20"/>
          <w:lang w:val="zh-CN"/>
        </w:rPr>
      </w:pPr>
    </w:p>
    <w:p>
      <w:pPr>
        <w:ind w:firstLine="400"/>
        <w:jc w:val="left"/>
        <w:rPr>
          <w:rFonts w:ascii="宋体" w:hAnsi="宋体"/>
          <w:color w:val="auto"/>
          <w:sz w:val="20"/>
          <w:lang w:val="zh-CN"/>
        </w:rPr>
      </w:pP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计算条件 ]</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基本参数 ]</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计算方法：               极限平衡法</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计算目标：               计算安全系数</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边坡高度：                   33.000(m)</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结构面倾角：                   30.0(°)</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结构面粘聚力：                 48.6(kPa)</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结构面内摩擦角：               30.0(°)</w:t>
      </w:r>
    </w:p>
    <w:p>
      <w:pPr>
        <w:pStyle w:val="11"/>
        <w:spacing w:line="360" w:lineRule="auto"/>
        <w:ind w:firstLine="560"/>
        <w:rPr>
          <w:rFonts w:ascii="宋体" w:hAnsi="宋体"/>
          <w:color w:val="auto"/>
          <w:szCs w:val="22"/>
          <w:lang w:val="zh-CN"/>
        </w:rPr>
      </w:pP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坡线参数 ]</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坡线段数             7</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序号 水平投影(m) 竖向投影(m) 倾角(°)</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xml:space="preserve">  1      8.400     10.000     50.0</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xml:space="preserve">  2      4.000      0.000      0.0</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xml:space="preserve">  3      8.400     10.000     50.0</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xml:space="preserve">  4      4.000      0.000      0.0</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xml:space="preserve">  5      8.400     10.000     50.0</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xml:space="preserve">  6      4.000      0.000      0.0</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xml:space="preserve">  7      3.000      3.000     45.0</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岩层参数 ]</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层数                 1</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序号  控制点Y坐标    容重    锚杆和岩石粘结强度</w:t>
      </w:r>
    </w:p>
    <w:p>
      <w:pPr>
        <w:pStyle w:val="11"/>
        <w:spacing w:line="360" w:lineRule="auto"/>
        <w:ind w:firstLine="560"/>
        <w:rPr>
          <w:rFonts w:ascii="宋体" w:hAnsi="宋体"/>
          <w:color w:val="auto"/>
          <w:szCs w:val="22"/>
        </w:rPr>
      </w:pPr>
      <w:r>
        <w:rPr>
          <w:rFonts w:hint="eastAsia" w:ascii="宋体" w:hAnsi="宋体"/>
          <w:color w:val="auto"/>
          <w:szCs w:val="22"/>
        </w:rPr>
        <w:t>(m)      (kN/m3)    frb(kPa)</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1     21.300       18.0       80.0</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 计算结果 ]</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岩体重量：              5922.0(kN)</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水平外荷载：               0.0(kN)</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竖向外荷载：               0.0(kN)</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侧面裂隙水压力：           0.0(kN)</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底面裂隙水压力：           0.0(kN)</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结构面上正压力：        5128.6(kN)</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总下滑力：              2961.0(kN)</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总抗滑力：              6168.6(kN)</w:t>
      </w:r>
    </w:p>
    <w:p>
      <w:pPr>
        <w:pStyle w:val="11"/>
        <w:spacing w:line="360" w:lineRule="auto"/>
        <w:ind w:firstLine="560"/>
        <w:rPr>
          <w:rFonts w:ascii="宋体" w:hAnsi="宋体"/>
          <w:color w:val="auto"/>
          <w:szCs w:val="22"/>
          <w:lang w:val="zh-CN"/>
        </w:rPr>
      </w:pPr>
      <w:r>
        <w:rPr>
          <w:rFonts w:hint="eastAsia" w:ascii="宋体" w:hAnsi="宋体"/>
          <w:color w:val="auto"/>
          <w:szCs w:val="22"/>
          <w:lang w:val="zh-CN"/>
        </w:rPr>
        <w:t>安全系数：               2.083</w:t>
      </w:r>
    </w:p>
    <w:p>
      <w:pPr>
        <w:pStyle w:val="11"/>
        <w:spacing w:line="360" w:lineRule="auto"/>
        <w:ind w:firstLine="560"/>
        <w:rPr>
          <w:rFonts w:ascii="宋体" w:hAnsi="宋体"/>
          <w:color w:val="auto"/>
          <w:szCs w:val="22"/>
        </w:rPr>
      </w:pPr>
      <w:r>
        <w:rPr>
          <w:rFonts w:hint="eastAsia" w:ascii="宋体" w:hAnsi="宋体"/>
          <w:color w:val="auto"/>
          <w:szCs w:val="22"/>
        </w:rPr>
        <w:t>从计算出的安全系数可以看出计算结大于安全规范1.10要求。</w:t>
      </w:r>
    </w:p>
    <w:p>
      <w:pPr>
        <w:keepNext/>
        <w:keepLines/>
        <w:spacing w:beforeLines="100" w:line="360" w:lineRule="auto"/>
        <w:ind w:firstLine="0" w:firstLineChars="0"/>
        <w:outlineLvl w:val="2"/>
        <w:rPr>
          <w:rFonts w:ascii="宋体" w:hAnsi="宋体"/>
          <w:b/>
          <w:color w:val="auto"/>
          <w:kern w:val="0"/>
          <w:szCs w:val="28"/>
        </w:rPr>
      </w:pPr>
      <w:bookmarkStart w:id="166" w:name="_Toc3358"/>
      <w:r>
        <w:rPr>
          <w:rFonts w:ascii="宋体" w:hAnsi="宋体"/>
          <w:b/>
          <w:color w:val="auto"/>
          <w:kern w:val="0"/>
          <w:szCs w:val="28"/>
        </w:rPr>
        <w:t>3</w:t>
      </w:r>
      <w:r>
        <w:rPr>
          <w:rFonts w:hint="eastAsia" w:ascii="宋体" w:hAnsi="宋体"/>
          <w:b/>
          <w:color w:val="auto"/>
          <w:kern w:val="0"/>
          <w:szCs w:val="28"/>
        </w:rPr>
        <w:t>.3.5 露天采剥作业单元评价结论</w:t>
      </w:r>
      <w:bookmarkEnd w:id="155"/>
      <w:bookmarkEnd w:id="156"/>
      <w:bookmarkEnd w:id="157"/>
      <w:bookmarkEnd w:id="158"/>
      <w:bookmarkEnd w:id="159"/>
      <w:bookmarkEnd w:id="160"/>
      <w:bookmarkEnd w:id="166"/>
    </w:p>
    <w:bookmarkEnd w:id="161"/>
    <w:bookmarkEnd w:id="162"/>
    <w:bookmarkEnd w:id="163"/>
    <w:bookmarkEnd w:id="164"/>
    <w:p>
      <w:pPr>
        <w:pStyle w:val="11"/>
        <w:spacing w:line="360" w:lineRule="auto"/>
        <w:ind w:firstLine="560"/>
        <w:rPr>
          <w:color w:val="auto"/>
        </w:rPr>
      </w:pPr>
      <w:bookmarkStart w:id="167" w:name="_Toc280348003"/>
      <w:bookmarkStart w:id="168" w:name="_Toc17887"/>
      <w:bookmarkStart w:id="169" w:name="_Toc326165107"/>
      <w:r>
        <w:rPr>
          <w:rFonts w:hint="eastAsia" w:ascii="宋体" w:hAnsi="宋体"/>
          <w:color w:val="auto"/>
          <w:szCs w:val="22"/>
        </w:rPr>
        <w:t>1、矿山采用</w:t>
      </w:r>
      <w:r>
        <w:rPr>
          <w:rFonts w:ascii="宋体" w:hAnsi="宋体"/>
          <w:color w:val="auto"/>
        </w:rPr>
        <w:t>机械铲装方式</w:t>
      </w:r>
      <w:r>
        <w:rPr>
          <w:rFonts w:hint="eastAsia" w:ascii="宋体" w:hAnsi="宋体"/>
          <w:color w:val="auto"/>
          <w:szCs w:val="22"/>
        </w:rPr>
        <w:t>，汽车运输，能够满足生产需求，台阶开采顺序为从上至下，工艺合理。《三合一方案》明确了矿山开采高度、安全平台、边坡角等参数。</w:t>
      </w:r>
    </w:p>
    <w:p>
      <w:pPr>
        <w:wordWrap/>
        <w:spacing w:line="360" w:lineRule="auto"/>
        <w:ind w:firstLine="560"/>
        <w:rPr>
          <w:rFonts w:ascii="宋体" w:hAnsi="宋体" w:cs="宋体"/>
          <w:color w:val="auto"/>
          <w:szCs w:val="28"/>
        </w:rPr>
      </w:pPr>
      <w:r>
        <w:rPr>
          <w:rFonts w:hint="eastAsia" w:ascii="宋体" w:hAnsi="宋体"/>
          <w:color w:val="auto"/>
          <w:szCs w:val="22"/>
        </w:rPr>
        <w:t>2、</w:t>
      </w:r>
      <w:r>
        <w:rPr>
          <w:rFonts w:hint="eastAsia" w:ascii="宋体" w:hAnsi="宋体" w:cs="宋体"/>
          <w:color w:val="auto"/>
          <w:szCs w:val="28"/>
        </w:rPr>
        <w:t>通过预先危险性分析，该单元存在车辆伤害、高处坠落、机械伤害、物体打击、粉尘、噪声等危险有害因素，危险度在II-</w:t>
      </w:r>
      <w:r>
        <w:rPr>
          <w:rFonts w:hint="eastAsia" w:ascii="宋体" w:hAnsi="宋体" w:cs="宋体"/>
          <w:color w:val="auto"/>
          <w:szCs w:val="28"/>
        </w:rPr>
        <w:fldChar w:fldCharType="begin"/>
      </w:r>
      <w:r>
        <w:rPr>
          <w:rFonts w:hint="eastAsia" w:ascii="宋体" w:hAnsi="宋体" w:cs="宋体"/>
          <w:color w:val="auto"/>
          <w:szCs w:val="28"/>
        </w:rPr>
        <w:instrText xml:space="preserve"> = 3 \* ROMAN \* MERGEFORMAT </w:instrText>
      </w:r>
      <w:r>
        <w:rPr>
          <w:rFonts w:hint="eastAsia" w:ascii="宋体" w:hAnsi="宋体" w:cs="宋体"/>
          <w:color w:val="auto"/>
          <w:szCs w:val="28"/>
        </w:rPr>
        <w:fldChar w:fldCharType="separate"/>
      </w:r>
      <w:r>
        <w:rPr>
          <w:rFonts w:hint="eastAsia" w:ascii="宋体" w:hAnsi="宋体" w:cs="宋体"/>
          <w:color w:val="auto"/>
          <w:szCs w:val="28"/>
        </w:rPr>
        <w:t>III</w:t>
      </w:r>
      <w:r>
        <w:rPr>
          <w:rFonts w:hint="eastAsia" w:ascii="宋体" w:hAnsi="宋体" w:cs="宋体"/>
          <w:color w:val="auto"/>
          <w:szCs w:val="28"/>
        </w:rPr>
        <w:fldChar w:fldCharType="end"/>
      </w:r>
      <w:r>
        <w:rPr>
          <w:rFonts w:hint="eastAsia" w:ascii="宋体" w:hAnsi="宋体" w:cs="宋体"/>
          <w:color w:val="auto"/>
          <w:szCs w:val="28"/>
        </w:rPr>
        <w:t>，应加强安全管理。</w:t>
      </w:r>
      <w:bookmarkEnd w:id="167"/>
      <w:bookmarkEnd w:id="168"/>
      <w:bookmarkEnd w:id="169"/>
      <w:bookmarkStart w:id="170" w:name="_Toc5538"/>
      <w:bookmarkStart w:id="171" w:name="_Toc326165113"/>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3、《三合一方案》所选用的矿山设备没有沟汰产品,生产能力与矿山生产相匹配。</w:t>
      </w:r>
    </w:p>
    <w:p>
      <w:pPr>
        <w:ind w:firstLine="560"/>
        <w:rPr>
          <w:color w:val="auto"/>
        </w:rPr>
      </w:pPr>
      <w:r>
        <w:rPr>
          <w:rFonts w:hint="eastAsia" w:ascii="宋体" w:hAnsi="宋体" w:cs="宋体"/>
          <w:color w:val="auto"/>
          <w:szCs w:val="28"/>
        </w:rPr>
        <w:t>4、《三合一方案》所选择的矿山边坡参数，符合安全规程，满足生产需要。</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5、《三合一方案》设计生产规模15万吨/年，年工作日250天，每天1班，每班8小时，采矿许可证批复年生产规模为15万吨/年，建议下一步设计中应按采矿许可证批复的生产规模进行设计并根据年生产规模对铲装运输等设备进行选型，且考虑节假日、不良天气等因素，重新设计年工作天数。</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6、《三合一方案》中图纸不完善，建议下步设计中补充完善露天矿防、排水系统图。</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7、《三合一方案》中未提出矿区外应设置边界护栏及矿山警示标志等要求，建议下一步设计中补充完善。</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8、《三合一方案》未制定相应边坡处理措施，建议下一步设计中补充完善。</w:t>
      </w:r>
    </w:p>
    <w:p>
      <w:pPr>
        <w:pStyle w:val="4"/>
        <w:ind w:firstLine="0"/>
        <w:rPr>
          <w:rFonts w:ascii="宋体"/>
          <w:color w:val="auto"/>
        </w:rPr>
      </w:pPr>
      <w:bookmarkStart w:id="172" w:name="_Toc38398949"/>
      <w:bookmarkStart w:id="173" w:name="_Toc15386"/>
      <w:r>
        <w:rPr>
          <w:rFonts w:ascii="宋体"/>
          <w:color w:val="auto"/>
        </w:rPr>
        <w:t>3</w:t>
      </w:r>
      <w:r>
        <w:rPr>
          <w:rFonts w:hint="eastAsia" w:ascii="宋体"/>
          <w:color w:val="auto"/>
        </w:rPr>
        <w:t>.4 矿山电气单元</w:t>
      </w:r>
      <w:bookmarkEnd w:id="172"/>
      <w:bookmarkEnd w:id="173"/>
    </w:p>
    <w:p>
      <w:pPr>
        <w:spacing w:line="360" w:lineRule="auto"/>
        <w:ind w:firstLine="560"/>
        <w:rPr>
          <w:rFonts w:ascii="宋体" w:hAnsi="宋体"/>
          <w:color w:val="auto"/>
          <w:szCs w:val="28"/>
        </w:rPr>
      </w:pPr>
      <w:r>
        <w:rPr>
          <w:rFonts w:hint="eastAsia" w:ascii="宋体" w:hAnsi="宋体"/>
          <w:color w:val="auto"/>
          <w:szCs w:val="28"/>
        </w:rPr>
        <w:t>矿山每天工作时间8小时，夜班不作业，矿山不需用电，后期</w:t>
      </w:r>
      <w:r>
        <w:rPr>
          <w:rFonts w:ascii="宋体" w:hAnsi="宋体"/>
          <w:color w:val="auto"/>
          <w:szCs w:val="28"/>
        </w:rPr>
        <w:fldChar w:fldCharType="begin"/>
      </w:r>
      <w:r>
        <w:rPr>
          <w:rFonts w:hint="eastAsia" w:ascii="宋体" w:hAnsi="宋体"/>
          <w:color w:val="auto"/>
          <w:szCs w:val="28"/>
        </w:rPr>
        <w:instrText xml:space="preserve">= 1 \* ROMAN</w:instrText>
      </w:r>
      <w:r>
        <w:rPr>
          <w:rFonts w:ascii="宋体" w:hAnsi="宋体"/>
          <w:color w:val="auto"/>
          <w:szCs w:val="28"/>
        </w:rPr>
        <w:fldChar w:fldCharType="separate"/>
      </w:r>
      <w:r>
        <w:rPr>
          <w:rFonts w:ascii="宋体" w:hAnsi="宋体"/>
          <w:color w:val="auto"/>
          <w:szCs w:val="28"/>
        </w:rPr>
        <w:t>I</w:t>
      </w:r>
      <w:r>
        <w:rPr>
          <w:rFonts w:ascii="宋体" w:hAnsi="宋体"/>
          <w:color w:val="auto"/>
          <w:szCs w:val="28"/>
        </w:rPr>
        <w:fldChar w:fldCharType="end"/>
      </w:r>
      <w:r>
        <w:rPr>
          <w:rFonts w:hint="eastAsia" w:ascii="宋体" w:hAnsi="宋体"/>
          <w:color w:val="auto"/>
          <w:szCs w:val="28"/>
        </w:rPr>
        <w:t>号矿体中采区转入凹陷开采后可购买一台柴油机带动水泵作业，本矿不需外接电源。</w:t>
      </w:r>
    </w:p>
    <w:p>
      <w:pPr>
        <w:keepNext/>
        <w:keepLines/>
        <w:spacing w:line="360" w:lineRule="auto"/>
        <w:ind w:firstLine="0" w:firstLineChars="0"/>
        <w:outlineLvl w:val="1"/>
        <w:rPr>
          <w:rFonts w:ascii="宋体" w:hAnsi="宋体"/>
          <w:b/>
          <w:bCs/>
          <w:color w:val="auto"/>
          <w:sz w:val="32"/>
          <w:szCs w:val="32"/>
        </w:rPr>
      </w:pPr>
      <w:bookmarkStart w:id="174" w:name="_Toc1421"/>
      <w:bookmarkStart w:id="175" w:name="_Toc25334369"/>
      <w:r>
        <w:rPr>
          <w:rFonts w:ascii="宋体" w:hAnsi="宋体"/>
          <w:b/>
          <w:bCs/>
          <w:color w:val="auto"/>
          <w:sz w:val="32"/>
          <w:szCs w:val="32"/>
        </w:rPr>
        <w:t>3</w:t>
      </w:r>
      <w:r>
        <w:rPr>
          <w:rFonts w:hint="eastAsia" w:ascii="宋体" w:hAnsi="宋体"/>
          <w:b/>
          <w:bCs/>
          <w:color w:val="auto"/>
          <w:sz w:val="32"/>
          <w:szCs w:val="32"/>
        </w:rPr>
        <w:t>.5 防排水单元</w:t>
      </w:r>
      <w:bookmarkEnd w:id="170"/>
      <w:bookmarkEnd w:id="171"/>
      <w:bookmarkEnd w:id="174"/>
      <w:bookmarkEnd w:id="175"/>
    </w:p>
    <w:p>
      <w:pPr>
        <w:wordWrap/>
        <w:spacing w:line="360" w:lineRule="auto"/>
        <w:ind w:firstLine="560"/>
        <w:rPr>
          <w:rFonts w:ascii="宋体" w:hAnsi="宋体"/>
          <w:color w:val="auto"/>
          <w:szCs w:val="28"/>
        </w:rPr>
      </w:pPr>
      <w:r>
        <w:rPr>
          <w:rFonts w:hint="eastAsia" w:ascii="宋体" w:hAnsi="宋体"/>
          <w:color w:val="auto"/>
          <w:szCs w:val="28"/>
        </w:rPr>
        <w:t>露天矿山应结合矿山的地形地貌、气象、水文地质条件和涌水量等基本情况，主要从露天采场的排水系统及排水能力、防洪措施等方面采用了安全检查表分析法和预先危险性分析法进行安全分析与评价，分述如下：</w:t>
      </w:r>
    </w:p>
    <w:p>
      <w:pPr>
        <w:keepNext/>
        <w:keepLines/>
        <w:spacing w:line="360" w:lineRule="auto"/>
        <w:ind w:firstLine="0" w:firstLineChars="0"/>
        <w:outlineLvl w:val="2"/>
        <w:rPr>
          <w:rFonts w:ascii="宋体" w:hAnsi="宋体"/>
          <w:b/>
          <w:color w:val="auto"/>
          <w:kern w:val="0"/>
          <w:szCs w:val="28"/>
        </w:rPr>
      </w:pPr>
      <w:bookmarkStart w:id="176" w:name="_Toc5448"/>
      <w:bookmarkStart w:id="177" w:name="_Toc15216"/>
      <w:bookmarkStart w:id="178" w:name="_Toc326165114"/>
      <w:bookmarkStart w:id="179" w:name="_Toc25334370"/>
      <w:bookmarkStart w:id="180" w:name="_Toc21737"/>
      <w:r>
        <w:rPr>
          <w:rFonts w:hint="eastAsia" w:ascii="宋体" w:hAnsi="宋体"/>
          <w:b/>
          <w:color w:val="auto"/>
          <w:kern w:val="0"/>
          <w:szCs w:val="28"/>
        </w:rPr>
        <w:t>3.5.1防排水单元预先危险性分析</w:t>
      </w:r>
      <w:bookmarkEnd w:id="176"/>
      <w:bookmarkEnd w:id="177"/>
    </w:p>
    <w:p>
      <w:pPr>
        <w:widowControl/>
        <w:spacing w:line="360" w:lineRule="auto"/>
        <w:ind w:firstLine="0" w:firstLineChars="0"/>
        <w:jc w:val="left"/>
        <w:rPr>
          <w:rFonts w:ascii="宋体" w:hAnsi="宋体" w:cs="宋体"/>
          <w:b/>
          <w:color w:val="auto"/>
          <w:sz w:val="24"/>
        </w:rPr>
      </w:pPr>
      <w:r>
        <w:rPr>
          <w:rFonts w:hint="eastAsia" w:ascii="宋体" w:hAnsi="宋体" w:cs="宋体"/>
          <w:b/>
          <w:color w:val="auto"/>
          <w:sz w:val="24"/>
        </w:rPr>
        <w:t>表3-8                     防排水预先危险性分析</w:t>
      </w:r>
    </w:p>
    <w:tbl>
      <w:tblPr>
        <w:tblStyle w:val="36"/>
        <w:tblW w:w="9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249"/>
        <w:gridCol w:w="1190"/>
        <w:gridCol w:w="1134"/>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危害因素</w:t>
            </w:r>
          </w:p>
        </w:tc>
        <w:tc>
          <w:tcPr>
            <w:tcW w:w="2249"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触发事件</w:t>
            </w:r>
          </w:p>
        </w:tc>
        <w:tc>
          <w:tcPr>
            <w:tcW w:w="1190"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事故后果</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危险系数</w:t>
            </w:r>
          </w:p>
        </w:tc>
        <w:tc>
          <w:tcPr>
            <w:tcW w:w="3685"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坍塌（滑坡）</w:t>
            </w:r>
          </w:p>
        </w:tc>
        <w:tc>
          <w:tcPr>
            <w:tcW w:w="2249" w:type="dxa"/>
            <w:tcBorders>
              <w:top w:val="single" w:color="auto" w:sz="4" w:space="0"/>
              <w:left w:val="single" w:color="auto" w:sz="4" w:space="0"/>
              <w:bottom w:val="single" w:color="auto" w:sz="4" w:space="0"/>
              <w:right w:val="single" w:color="auto" w:sz="4" w:space="0"/>
            </w:tcBorders>
            <w:vAlign w:val="center"/>
          </w:tcPr>
          <w:p>
            <w:pPr>
              <w:tabs>
                <w:tab w:val="left" w:pos="-34"/>
              </w:tabs>
              <w:wordWrap/>
              <w:spacing w:line="280" w:lineRule="exact"/>
              <w:ind w:firstLine="0" w:firstLineChars="0"/>
              <w:rPr>
                <w:rFonts w:ascii="宋体" w:hAnsi="宋体" w:cs="宋体"/>
                <w:color w:val="auto"/>
                <w:sz w:val="21"/>
              </w:rPr>
            </w:pPr>
            <w:r>
              <w:rPr>
                <w:rFonts w:hint="eastAsia" w:ascii="宋体" w:hAnsi="宋体" w:cs="宋体"/>
                <w:color w:val="auto"/>
                <w:sz w:val="21"/>
                <w:szCs w:val="21"/>
              </w:rPr>
              <w:t>1、暴雨；</w:t>
            </w:r>
          </w:p>
          <w:p>
            <w:pPr>
              <w:tabs>
                <w:tab w:val="left" w:pos="-34"/>
              </w:tabs>
              <w:wordWrap/>
              <w:spacing w:line="280" w:lineRule="exact"/>
              <w:ind w:firstLine="0" w:firstLineChars="0"/>
              <w:rPr>
                <w:rFonts w:ascii="宋体" w:hAnsi="宋体" w:cs="宋体"/>
                <w:color w:val="auto"/>
                <w:sz w:val="21"/>
              </w:rPr>
            </w:pPr>
            <w:r>
              <w:rPr>
                <w:rFonts w:hint="eastAsia" w:ascii="宋体" w:hAnsi="宋体" w:cs="宋体"/>
                <w:color w:val="auto"/>
                <w:sz w:val="21"/>
                <w:szCs w:val="21"/>
              </w:rPr>
              <w:t>2、地表水冲击边坡；</w:t>
            </w:r>
          </w:p>
          <w:p>
            <w:pPr>
              <w:wordWrap/>
              <w:spacing w:line="280" w:lineRule="exact"/>
              <w:ind w:left="8" w:firstLine="0" w:firstLineChars="0"/>
              <w:rPr>
                <w:rFonts w:ascii="宋体" w:hAnsi="宋体" w:cs="宋体"/>
                <w:color w:val="auto"/>
                <w:sz w:val="21"/>
              </w:rPr>
            </w:pPr>
            <w:r>
              <w:rPr>
                <w:rFonts w:hint="eastAsia" w:ascii="宋体" w:hAnsi="宋体" w:cs="宋体"/>
                <w:color w:val="auto"/>
                <w:sz w:val="21"/>
                <w:szCs w:val="21"/>
              </w:rPr>
              <w:t>3、边坡涌水；</w:t>
            </w:r>
          </w:p>
          <w:p>
            <w:pPr>
              <w:wordWrap/>
              <w:spacing w:line="280" w:lineRule="exact"/>
              <w:ind w:left="8" w:firstLine="0" w:firstLineChars="0"/>
              <w:rPr>
                <w:rFonts w:ascii="宋体" w:hAnsi="宋体" w:cs="宋体"/>
                <w:color w:val="auto"/>
                <w:sz w:val="21"/>
              </w:rPr>
            </w:pPr>
            <w:r>
              <w:rPr>
                <w:rFonts w:hint="eastAsia" w:ascii="宋体" w:hAnsi="宋体" w:cs="宋体"/>
                <w:color w:val="auto"/>
                <w:sz w:val="21"/>
                <w:szCs w:val="21"/>
              </w:rPr>
              <w:t>4、排水设施不足或损坏等。</w:t>
            </w:r>
          </w:p>
        </w:tc>
        <w:tc>
          <w:tcPr>
            <w:tcW w:w="1190"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人员伤亡和财产损失</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Ⅲ</w:t>
            </w:r>
          </w:p>
        </w:tc>
        <w:tc>
          <w:tcPr>
            <w:tcW w:w="3685" w:type="dxa"/>
            <w:tcBorders>
              <w:top w:val="single" w:color="auto" w:sz="4" w:space="0"/>
              <w:left w:val="single" w:color="auto" w:sz="4" w:space="0"/>
              <w:bottom w:val="single" w:color="auto" w:sz="4" w:space="0"/>
              <w:right w:val="single" w:color="auto" w:sz="4" w:space="0"/>
            </w:tcBorders>
            <w:vAlign w:val="center"/>
          </w:tcPr>
          <w:p>
            <w:pPr>
              <w:wordWrap/>
              <w:spacing w:line="280" w:lineRule="exact"/>
              <w:ind w:firstLine="0" w:firstLineChars="0"/>
              <w:rPr>
                <w:rFonts w:ascii="宋体" w:hAnsi="宋体" w:cs="宋体"/>
                <w:color w:val="auto"/>
                <w:sz w:val="21"/>
              </w:rPr>
            </w:pPr>
            <w:r>
              <w:rPr>
                <w:rFonts w:hint="eastAsia" w:ascii="宋体" w:hAnsi="宋体" w:cs="宋体"/>
                <w:color w:val="auto"/>
                <w:sz w:val="21"/>
              </w:rPr>
              <w:t>1、台阶高度不得超过标准规定；设置边坡管理人员，加强边坡检查、监测，发现位移等立即处理；</w:t>
            </w:r>
          </w:p>
          <w:p>
            <w:pPr>
              <w:wordWrap/>
              <w:spacing w:line="280" w:lineRule="exact"/>
              <w:ind w:firstLine="0" w:firstLineChars="0"/>
              <w:rPr>
                <w:rFonts w:ascii="宋体" w:hAnsi="宋体" w:cs="宋体"/>
                <w:color w:val="auto"/>
                <w:sz w:val="21"/>
              </w:rPr>
            </w:pPr>
            <w:r>
              <w:rPr>
                <w:rFonts w:hint="eastAsia" w:ascii="宋体" w:hAnsi="宋体" w:cs="宋体"/>
                <w:color w:val="auto"/>
                <w:sz w:val="21"/>
              </w:rPr>
              <w:t>2、</w:t>
            </w:r>
            <w:r>
              <w:rPr>
                <w:rFonts w:hint="eastAsia" w:ascii="宋体" w:hAnsi="宋体" w:cs="宋体"/>
                <w:color w:val="auto"/>
                <w:sz w:val="21"/>
                <w:szCs w:val="21"/>
              </w:rPr>
              <w:t>在采场外围、台阶</w:t>
            </w:r>
            <w:r>
              <w:rPr>
                <w:rFonts w:hint="eastAsia" w:ascii="宋体" w:hAnsi="宋体" w:cs="宋体"/>
                <w:color w:val="auto"/>
                <w:sz w:val="21"/>
              </w:rPr>
              <w:t>设截、排水沟。且截、排水沟的截面积满足涌水排放要求。</w:t>
            </w:r>
          </w:p>
          <w:p>
            <w:pPr>
              <w:wordWrap/>
              <w:spacing w:line="280" w:lineRule="exact"/>
              <w:ind w:firstLine="0" w:firstLineChars="0"/>
              <w:rPr>
                <w:rFonts w:ascii="宋体" w:hAnsi="宋体" w:cs="宋体"/>
                <w:color w:val="auto"/>
                <w:sz w:val="21"/>
                <w:szCs w:val="21"/>
              </w:rPr>
            </w:pPr>
            <w:r>
              <w:rPr>
                <w:rFonts w:hint="eastAsia" w:ascii="宋体" w:hAnsi="宋体" w:cs="宋体"/>
                <w:color w:val="auto"/>
                <w:sz w:val="21"/>
                <w:szCs w:val="21"/>
              </w:rPr>
              <w:t>3、进行地质详查，边坡与基岩之间留有足够的渗水层。</w:t>
            </w:r>
          </w:p>
          <w:p>
            <w:pPr>
              <w:wordWrap/>
              <w:spacing w:line="280" w:lineRule="exact"/>
              <w:ind w:firstLine="0" w:firstLineChars="0"/>
              <w:rPr>
                <w:rFonts w:ascii="宋体" w:hAnsi="宋体" w:cs="宋体"/>
                <w:color w:val="auto"/>
                <w:sz w:val="21"/>
                <w:szCs w:val="21"/>
              </w:rPr>
            </w:pPr>
            <w:r>
              <w:rPr>
                <w:rFonts w:hint="eastAsia" w:ascii="宋体" w:hAnsi="宋体" w:cs="宋体"/>
                <w:color w:val="auto"/>
                <w:sz w:val="21"/>
                <w:szCs w:val="21"/>
              </w:rPr>
              <w:t>4、边坡角不大于自然安息角。</w:t>
            </w:r>
          </w:p>
          <w:p>
            <w:pPr>
              <w:wordWrap/>
              <w:spacing w:line="280" w:lineRule="exact"/>
              <w:ind w:firstLine="0" w:firstLineChars="0"/>
              <w:rPr>
                <w:rFonts w:ascii="宋体" w:hAnsi="宋体" w:cs="宋体"/>
                <w:color w:val="auto"/>
                <w:sz w:val="21"/>
              </w:rPr>
            </w:pPr>
            <w:r>
              <w:rPr>
                <w:rFonts w:hint="eastAsia" w:ascii="宋体" w:hAnsi="宋体" w:cs="宋体"/>
                <w:color w:val="auto"/>
                <w:sz w:val="21"/>
              </w:rPr>
              <w:t>5、边坡涌水待涌水自然疏干后，方可作业。</w:t>
            </w:r>
          </w:p>
          <w:p>
            <w:pPr>
              <w:wordWrap/>
              <w:spacing w:line="280" w:lineRule="exact"/>
              <w:ind w:firstLine="0" w:firstLineChars="0"/>
              <w:rPr>
                <w:rFonts w:ascii="宋体" w:hAnsi="宋体" w:cs="宋体"/>
                <w:color w:val="auto"/>
                <w:sz w:val="21"/>
                <w:szCs w:val="21"/>
              </w:rPr>
            </w:pPr>
            <w:r>
              <w:rPr>
                <w:rFonts w:hint="eastAsia" w:ascii="宋体" w:hAnsi="宋体" w:cs="宋体"/>
                <w:color w:val="auto"/>
                <w:sz w:val="21"/>
                <w:szCs w:val="21"/>
              </w:rPr>
              <w:t>6、加强防排水设施检查，确保完好；</w:t>
            </w:r>
          </w:p>
          <w:p>
            <w:pPr>
              <w:wordWrap/>
              <w:spacing w:line="280" w:lineRule="exact"/>
              <w:ind w:firstLine="0" w:firstLineChars="0"/>
              <w:rPr>
                <w:rFonts w:ascii="宋体" w:hAnsi="宋体" w:cs="宋体"/>
                <w:color w:val="auto"/>
                <w:sz w:val="21"/>
              </w:rPr>
            </w:pPr>
            <w:r>
              <w:rPr>
                <w:rFonts w:hint="eastAsia" w:ascii="宋体" w:hAnsi="宋体" w:cs="宋体"/>
                <w:color w:val="auto"/>
                <w:sz w:val="21"/>
                <w:szCs w:val="21"/>
              </w:rPr>
              <w:t>7、建（构）筑边坡按规范处理。</w:t>
            </w:r>
          </w:p>
          <w:p>
            <w:pPr>
              <w:wordWrap/>
              <w:spacing w:line="280" w:lineRule="exact"/>
              <w:ind w:firstLine="0" w:firstLineChars="0"/>
              <w:rPr>
                <w:rFonts w:ascii="宋体" w:hAnsi="宋体" w:cs="宋体"/>
                <w:color w:val="auto"/>
                <w:sz w:val="21"/>
              </w:rPr>
            </w:pPr>
            <w:r>
              <w:rPr>
                <w:rFonts w:hint="eastAsia" w:ascii="宋体" w:hAnsi="宋体" w:cs="宋体"/>
                <w:color w:val="auto"/>
                <w:sz w:val="21"/>
              </w:rPr>
              <w:t>8、制定针对性的事故应急预案等。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水害</w:t>
            </w:r>
          </w:p>
        </w:tc>
        <w:tc>
          <w:tcPr>
            <w:tcW w:w="2249" w:type="dxa"/>
            <w:tcBorders>
              <w:top w:val="single" w:color="auto" w:sz="4" w:space="0"/>
              <w:left w:val="single" w:color="auto" w:sz="4" w:space="0"/>
              <w:bottom w:val="single" w:color="auto" w:sz="4" w:space="0"/>
              <w:right w:val="single" w:color="auto" w:sz="4" w:space="0"/>
            </w:tcBorders>
            <w:vAlign w:val="center"/>
          </w:tcPr>
          <w:p>
            <w:pPr>
              <w:tabs>
                <w:tab w:val="left" w:pos="-34"/>
              </w:tabs>
              <w:wordWrap/>
              <w:spacing w:line="280" w:lineRule="exact"/>
              <w:ind w:firstLine="0" w:firstLineChars="0"/>
              <w:rPr>
                <w:rFonts w:ascii="宋体" w:hAnsi="宋体" w:cs="宋体"/>
                <w:color w:val="auto"/>
                <w:sz w:val="21"/>
                <w:szCs w:val="21"/>
              </w:rPr>
            </w:pPr>
            <w:r>
              <w:rPr>
                <w:rFonts w:hint="eastAsia" w:ascii="宋体" w:hAnsi="宋体" w:cs="宋体"/>
                <w:color w:val="auto"/>
                <w:sz w:val="21"/>
                <w:szCs w:val="21"/>
              </w:rPr>
              <w:t>1、暴雨；</w:t>
            </w:r>
          </w:p>
          <w:p>
            <w:pPr>
              <w:tabs>
                <w:tab w:val="left" w:pos="-34"/>
              </w:tabs>
              <w:wordWrap/>
              <w:spacing w:line="280" w:lineRule="exact"/>
              <w:ind w:firstLine="0" w:firstLineChars="0"/>
              <w:rPr>
                <w:rFonts w:ascii="宋体" w:hAnsi="宋体" w:cs="宋体"/>
                <w:color w:val="auto"/>
                <w:sz w:val="21"/>
                <w:szCs w:val="21"/>
              </w:rPr>
            </w:pPr>
            <w:r>
              <w:rPr>
                <w:rFonts w:hint="eastAsia" w:ascii="宋体" w:hAnsi="宋体" w:cs="宋体"/>
                <w:color w:val="auto"/>
                <w:sz w:val="21"/>
                <w:szCs w:val="21"/>
              </w:rPr>
              <w:t>2、截、排水沟堵塞或缺乏。</w:t>
            </w:r>
          </w:p>
          <w:p>
            <w:pPr>
              <w:tabs>
                <w:tab w:val="left" w:pos="-34"/>
              </w:tabs>
              <w:wordWrap/>
              <w:spacing w:line="280" w:lineRule="exact"/>
              <w:ind w:firstLine="0" w:firstLineChars="0"/>
              <w:rPr>
                <w:rFonts w:ascii="宋体" w:hAnsi="宋体" w:cs="宋体"/>
                <w:color w:val="auto"/>
                <w:sz w:val="21"/>
                <w:szCs w:val="21"/>
              </w:rPr>
            </w:pPr>
            <w:r>
              <w:rPr>
                <w:rFonts w:hint="eastAsia" w:ascii="宋体" w:hAnsi="宋体" w:cs="宋体"/>
                <w:color w:val="auto"/>
                <w:sz w:val="21"/>
                <w:szCs w:val="21"/>
              </w:rPr>
              <w:t>3、排水设施不足或损坏等。</w:t>
            </w:r>
          </w:p>
        </w:tc>
        <w:tc>
          <w:tcPr>
            <w:tcW w:w="1190"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人员伤亡和财产损失</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Ⅱ</w:t>
            </w:r>
          </w:p>
        </w:tc>
        <w:tc>
          <w:tcPr>
            <w:tcW w:w="3685" w:type="dxa"/>
            <w:tcBorders>
              <w:top w:val="single" w:color="auto" w:sz="4" w:space="0"/>
              <w:left w:val="single" w:color="auto" w:sz="4" w:space="0"/>
              <w:bottom w:val="single" w:color="auto" w:sz="4" w:space="0"/>
              <w:right w:val="single" w:color="auto" w:sz="4" w:space="0"/>
            </w:tcBorders>
            <w:vAlign w:val="center"/>
          </w:tcPr>
          <w:p>
            <w:pPr>
              <w:wordWrap/>
              <w:spacing w:line="280" w:lineRule="exact"/>
              <w:ind w:firstLine="0" w:firstLineChars="0"/>
              <w:rPr>
                <w:rFonts w:ascii="宋体" w:hAnsi="宋体" w:cs="宋体"/>
                <w:color w:val="auto"/>
                <w:sz w:val="21"/>
              </w:rPr>
            </w:pPr>
            <w:r>
              <w:rPr>
                <w:rFonts w:hint="eastAsia" w:ascii="宋体" w:hAnsi="宋体" w:cs="宋体"/>
                <w:color w:val="auto"/>
                <w:sz w:val="21"/>
              </w:rPr>
              <w:t>1、建</w:t>
            </w:r>
            <w:r>
              <w:rPr>
                <w:rFonts w:hint="eastAsia" w:ascii="宋体" w:hAnsi="宋体" w:cs="宋体"/>
                <w:color w:val="auto"/>
                <w:sz w:val="21"/>
                <w:szCs w:val="21"/>
              </w:rPr>
              <w:t>（构）</w:t>
            </w:r>
            <w:r>
              <w:rPr>
                <w:rFonts w:hint="eastAsia" w:ascii="宋体" w:hAnsi="宋体" w:cs="宋体"/>
                <w:color w:val="auto"/>
                <w:sz w:val="21"/>
              </w:rPr>
              <w:t>筑、设备设施、场地不设置在不受山洪、洪水影响的地方；</w:t>
            </w:r>
          </w:p>
          <w:p>
            <w:pPr>
              <w:wordWrap/>
              <w:spacing w:line="280" w:lineRule="exact"/>
              <w:ind w:firstLine="0" w:firstLineChars="0"/>
              <w:rPr>
                <w:rFonts w:ascii="宋体" w:hAnsi="宋体" w:cs="宋体"/>
                <w:color w:val="auto"/>
                <w:sz w:val="21"/>
              </w:rPr>
            </w:pPr>
            <w:r>
              <w:rPr>
                <w:rFonts w:hint="eastAsia" w:ascii="宋体" w:hAnsi="宋体" w:cs="宋体"/>
                <w:color w:val="auto"/>
                <w:sz w:val="21"/>
              </w:rPr>
              <w:t>2、建</w:t>
            </w:r>
            <w:r>
              <w:rPr>
                <w:rFonts w:hint="eastAsia" w:ascii="宋体" w:hAnsi="宋体" w:cs="宋体"/>
                <w:color w:val="auto"/>
                <w:sz w:val="21"/>
                <w:szCs w:val="21"/>
              </w:rPr>
              <w:t>（构）</w:t>
            </w:r>
            <w:r>
              <w:rPr>
                <w:rFonts w:hint="eastAsia" w:ascii="宋体" w:hAnsi="宋体" w:cs="宋体"/>
                <w:color w:val="auto"/>
                <w:sz w:val="21"/>
              </w:rPr>
              <w:t>筑、设备设施、场地高处周围场地，并有一定坡度；</w:t>
            </w:r>
          </w:p>
          <w:p>
            <w:pPr>
              <w:wordWrap/>
              <w:spacing w:line="280" w:lineRule="exact"/>
              <w:ind w:firstLine="0" w:firstLineChars="0"/>
              <w:rPr>
                <w:rFonts w:ascii="宋体" w:hAnsi="宋体" w:cs="宋体"/>
                <w:color w:val="auto"/>
                <w:sz w:val="21"/>
              </w:rPr>
            </w:pPr>
            <w:r>
              <w:rPr>
                <w:rFonts w:hint="eastAsia" w:ascii="宋体" w:hAnsi="宋体" w:cs="宋体"/>
                <w:color w:val="auto"/>
                <w:sz w:val="21"/>
              </w:rPr>
              <w:t>3、建</w:t>
            </w:r>
            <w:r>
              <w:rPr>
                <w:rFonts w:hint="eastAsia" w:ascii="宋体" w:hAnsi="宋体" w:cs="宋体"/>
                <w:color w:val="auto"/>
                <w:sz w:val="21"/>
                <w:szCs w:val="21"/>
              </w:rPr>
              <w:t>（构）</w:t>
            </w:r>
            <w:r>
              <w:rPr>
                <w:rFonts w:hint="eastAsia" w:ascii="宋体" w:hAnsi="宋体" w:cs="宋体"/>
                <w:color w:val="auto"/>
                <w:sz w:val="21"/>
              </w:rPr>
              <w:t>筑、设备设施、场地高处周围设截排水沟；</w:t>
            </w:r>
          </w:p>
          <w:p>
            <w:pPr>
              <w:wordWrap/>
              <w:spacing w:line="280" w:lineRule="exact"/>
              <w:ind w:firstLine="0" w:firstLineChars="0"/>
              <w:rPr>
                <w:rFonts w:ascii="宋体" w:hAnsi="宋体" w:cs="宋体"/>
                <w:color w:val="auto"/>
                <w:sz w:val="21"/>
              </w:rPr>
            </w:pPr>
            <w:r>
              <w:rPr>
                <w:rFonts w:hint="eastAsia" w:ascii="宋体" w:hAnsi="宋体" w:cs="宋体"/>
                <w:color w:val="auto"/>
                <w:sz w:val="21"/>
              </w:rPr>
              <w:t>4、保持排水沟通畅等。</w:t>
            </w:r>
          </w:p>
          <w:p>
            <w:pPr>
              <w:wordWrap/>
              <w:spacing w:line="280" w:lineRule="exact"/>
              <w:ind w:firstLine="0" w:firstLineChars="0"/>
              <w:rPr>
                <w:rFonts w:ascii="宋体" w:hAnsi="宋体" w:cs="宋体"/>
                <w:color w:val="auto"/>
                <w:sz w:val="21"/>
              </w:rPr>
            </w:pPr>
            <w:r>
              <w:rPr>
                <w:rFonts w:hint="eastAsia" w:ascii="宋体" w:hAnsi="宋体" w:cs="宋体"/>
                <w:color w:val="auto"/>
                <w:sz w:val="21"/>
              </w:rPr>
              <w:t>5、关注天气预报和水文通报，洪水来临之前撤出危险区域人员和设备至安全的地方。</w:t>
            </w:r>
          </w:p>
          <w:p>
            <w:pPr>
              <w:wordWrap/>
              <w:spacing w:line="280" w:lineRule="exact"/>
              <w:ind w:firstLine="0" w:firstLineChars="0"/>
              <w:rPr>
                <w:rFonts w:ascii="宋体" w:hAnsi="宋体" w:cs="宋体"/>
                <w:color w:val="auto"/>
                <w:sz w:val="21"/>
              </w:rPr>
            </w:pPr>
            <w:r>
              <w:rPr>
                <w:rFonts w:hint="eastAsia" w:ascii="宋体" w:hAnsi="宋体" w:cs="宋体"/>
                <w:color w:val="auto"/>
                <w:sz w:val="21"/>
              </w:rPr>
              <w:t>6、制定防洪涝事故应急预案等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淹溺</w:t>
            </w:r>
          </w:p>
        </w:tc>
        <w:tc>
          <w:tcPr>
            <w:tcW w:w="2249" w:type="dxa"/>
            <w:tcBorders>
              <w:top w:val="single" w:color="auto" w:sz="4" w:space="0"/>
              <w:left w:val="single" w:color="auto" w:sz="4" w:space="0"/>
              <w:bottom w:val="single" w:color="auto" w:sz="4" w:space="0"/>
              <w:right w:val="single" w:color="auto" w:sz="4" w:space="0"/>
            </w:tcBorders>
            <w:vAlign w:val="center"/>
          </w:tcPr>
          <w:p>
            <w:pPr>
              <w:tabs>
                <w:tab w:val="left" w:pos="-34"/>
              </w:tabs>
              <w:wordWrap/>
              <w:spacing w:line="280" w:lineRule="exact"/>
              <w:ind w:firstLine="0" w:firstLineChars="0"/>
              <w:rPr>
                <w:rFonts w:ascii="宋体" w:hAnsi="宋体" w:cs="宋体"/>
                <w:color w:val="auto"/>
                <w:sz w:val="21"/>
                <w:szCs w:val="21"/>
              </w:rPr>
            </w:pPr>
            <w:r>
              <w:rPr>
                <w:rFonts w:hint="eastAsia" w:ascii="宋体" w:hAnsi="宋体" w:cs="宋体"/>
                <w:color w:val="auto"/>
                <w:sz w:val="21"/>
                <w:szCs w:val="21"/>
              </w:rPr>
              <w:t>不慎掉入沉淀池</w:t>
            </w:r>
          </w:p>
        </w:tc>
        <w:tc>
          <w:tcPr>
            <w:tcW w:w="1190"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人员伤亡</w:t>
            </w:r>
          </w:p>
        </w:tc>
        <w:tc>
          <w:tcPr>
            <w:tcW w:w="1134" w:type="dxa"/>
            <w:tcBorders>
              <w:top w:val="single" w:color="auto" w:sz="4" w:space="0"/>
              <w:left w:val="single" w:color="auto" w:sz="4" w:space="0"/>
              <w:bottom w:val="single" w:color="auto" w:sz="4" w:space="0"/>
              <w:right w:val="single" w:color="auto" w:sz="4" w:space="0"/>
            </w:tcBorders>
            <w:vAlign w:val="center"/>
          </w:tcPr>
          <w:p>
            <w:pPr>
              <w:wordWrap/>
              <w:spacing w:line="240" w:lineRule="auto"/>
              <w:ind w:firstLine="0" w:firstLineChars="0"/>
              <w:jc w:val="center"/>
              <w:rPr>
                <w:rFonts w:ascii="宋体" w:hAnsi="宋体" w:cs="宋体"/>
                <w:color w:val="auto"/>
                <w:sz w:val="21"/>
              </w:rPr>
            </w:pPr>
            <w:r>
              <w:rPr>
                <w:rFonts w:hint="eastAsia" w:ascii="宋体" w:hAnsi="宋体" w:cs="宋体"/>
                <w:color w:val="auto"/>
                <w:sz w:val="21"/>
              </w:rPr>
              <w:t>Ⅲ</w:t>
            </w:r>
          </w:p>
        </w:tc>
        <w:tc>
          <w:tcPr>
            <w:tcW w:w="3685" w:type="dxa"/>
            <w:tcBorders>
              <w:top w:val="single" w:color="auto" w:sz="4" w:space="0"/>
              <w:left w:val="single" w:color="auto" w:sz="4" w:space="0"/>
              <w:bottom w:val="single" w:color="auto" w:sz="4" w:space="0"/>
              <w:right w:val="single" w:color="auto" w:sz="4" w:space="0"/>
            </w:tcBorders>
            <w:vAlign w:val="center"/>
          </w:tcPr>
          <w:p>
            <w:pPr>
              <w:wordWrap/>
              <w:spacing w:line="280" w:lineRule="exact"/>
              <w:ind w:firstLine="0" w:firstLineChars="0"/>
              <w:rPr>
                <w:rFonts w:ascii="宋体" w:hAnsi="宋体" w:cs="宋体"/>
                <w:color w:val="auto"/>
                <w:sz w:val="21"/>
              </w:rPr>
            </w:pPr>
            <w:r>
              <w:rPr>
                <w:rFonts w:hint="eastAsia" w:ascii="宋体" w:hAnsi="宋体" w:cs="宋体"/>
                <w:color w:val="auto"/>
                <w:sz w:val="21"/>
              </w:rPr>
              <w:t>沉淀池周边设置围栏和警示标志</w:t>
            </w:r>
          </w:p>
        </w:tc>
      </w:tr>
    </w:tbl>
    <w:p>
      <w:pPr>
        <w:keepNext/>
        <w:keepLines/>
        <w:spacing w:beforeLines="100" w:line="360" w:lineRule="auto"/>
        <w:ind w:firstLine="0" w:firstLineChars="0"/>
        <w:outlineLvl w:val="2"/>
        <w:rPr>
          <w:rFonts w:ascii="宋体" w:hAnsi="宋体"/>
          <w:b/>
          <w:color w:val="auto"/>
          <w:kern w:val="0"/>
          <w:szCs w:val="28"/>
        </w:rPr>
      </w:pPr>
      <w:bookmarkStart w:id="181" w:name="_Toc25283"/>
      <w:r>
        <w:rPr>
          <w:rFonts w:ascii="宋体" w:hAnsi="宋体"/>
          <w:b/>
          <w:color w:val="auto"/>
          <w:kern w:val="0"/>
          <w:szCs w:val="28"/>
        </w:rPr>
        <w:t>3</w:t>
      </w:r>
      <w:r>
        <w:rPr>
          <w:rFonts w:hint="eastAsia" w:ascii="宋体" w:hAnsi="宋体"/>
          <w:b/>
          <w:color w:val="auto"/>
          <w:kern w:val="0"/>
          <w:szCs w:val="28"/>
        </w:rPr>
        <w:t>.5.</w:t>
      </w:r>
      <w:bookmarkEnd w:id="178"/>
      <w:r>
        <w:rPr>
          <w:rFonts w:hint="eastAsia" w:ascii="宋体" w:hAnsi="宋体"/>
          <w:b/>
          <w:color w:val="auto"/>
          <w:kern w:val="0"/>
          <w:szCs w:val="28"/>
        </w:rPr>
        <w:t>2 防排水单元安全检查表分析</w:t>
      </w:r>
      <w:bookmarkEnd w:id="179"/>
      <w:bookmarkEnd w:id="180"/>
      <w:bookmarkEnd w:id="181"/>
    </w:p>
    <w:p>
      <w:pPr>
        <w:spacing w:line="360" w:lineRule="auto"/>
        <w:ind w:firstLine="560"/>
        <w:rPr>
          <w:rFonts w:ascii="宋体" w:hAnsi="宋体"/>
          <w:color w:val="auto"/>
          <w:szCs w:val="28"/>
          <w:lang w:bidi="ar-OM"/>
        </w:rPr>
      </w:pPr>
      <w:r>
        <w:rPr>
          <w:rFonts w:hint="eastAsia" w:ascii="宋体" w:hAnsi="宋体"/>
          <w:color w:val="auto"/>
          <w:szCs w:val="28"/>
          <w:lang w:bidi="ar-OM"/>
        </w:rPr>
        <w:t>防排水单元运用安全检查表分析法进行评价，其结果见表</w:t>
      </w:r>
      <w:r>
        <w:rPr>
          <w:rFonts w:ascii="宋体" w:hAnsi="宋体"/>
          <w:color w:val="auto"/>
          <w:szCs w:val="28"/>
          <w:lang w:bidi="ar-OM"/>
        </w:rPr>
        <w:t>3</w:t>
      </w:r>
      <w:r>
        <w:rPr>
          <w:rFonts w:hint="eastAsia" w:ascii="宋体" w:hAnsi="宋体"/>
          <w:color w:val="auto"/>
          <w:szCs w:val="28"/>
          <w:lang w:bidi="ar-OM"/>
        </w:rPr>
        <w:t>-9。</w:t>
      </w:r>
    </w:p>
    <w:p>
      <w:pPr>
        <w:spacing w:line="360" w:lineRule="auto"/>
        <w:ind w:firstLine="482"/>
        <w:jc w:val="left"/>
        <w:rPr>
          <w:rFonts w:ascii="宋体" w:hAnsi="宋体"/>
          <w:b/>
          <w:bCs/>
          <w:color w:val="auto"/>
          <w:sz w:val="24"/>
          <w:lang w:bidi="ar-OM"/>
        </w:rPr>
      </w:pPr>
      <w:r>
        <w:rPr>
          <w:rFonts w:hint="eastAsia" w:ascii="宋体" w:hAnsi="宋体"/>
          <w:b/>
          <w:bCs/>
          <w:color w:val="auto"/>
          <w:sz w:val="24"/>
          <w:lang w:bidi="ar-OM"/>
        </w:rPr>
        <w:t>表</w:t>
      </w:r>
      <w:r>
        <w:rPr>
          <w:rFonts w:ascii="宋体" w:hAnsi="宋体"/>
          <w:b/>
          <w:bCs/>
          <w:color w:val="auto"/>
          <w:sz w:val="24"/>
          <w:lang w:bidi="ar-OM"/>
        </w:rPr>
        <w:t>3</w:t>
      </w:r>
      <w:r>
        <w:rPr>
          <w:rFonts w:hint="eastAsia" w:ascii="宋体" w:hAnsi="宋体"/>
          <w:b/>
          <w:bCs/>
          <w:color w:val="auto"/>
          <w:sz w:val="24"/>
          <w:lang w:bidi="ar-OM"/>
        </w:rPr>
        <w:t>-9                  防排水单元安全检查表评价表</w:t>
      </w:r>
    </w:p>
    <w:tbl>
      <w:tblPr>
        <w:tblStyle w:val="36"/>
        <w:tblW w:w="97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0"/>
        <w:gridCol w:w="1897"/>
        <w:gridCol w:w="1768"/>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3" w:hRule="atLeast"/>
          <w:jc w:val="center"/>
        </w:trPr>
        <w:tc>
          <w:tcPr>
            <w:tcW w:w="4770"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检查内容</w:t>
            </w:r>
          </w:p>
        </w:tc>
        <w:tc>
          <w:tcPr>
            <w:tcW w:w="1897"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检查依据</w:t>
            </w:r>
          </w:p>
        </w:tc>
        <w:tc>
          <w:tcPr>
            <w:tcW w:w="1768"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检查结果</w:t>
            </w:r>
          </w:p>
        </w:tc>
        <w:tc>
          <w:tcPr>
            <w:tcW w:w="1309"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检查结论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17" w:hRule="atLeast"/>
          <w:jc w:val="center"/>
        </w:trPr>
        <w:tc>
          <w:tcPr>
            <w:tcW w:w="4770" w:type="dxa"/>
          </w:tcPr>
          <w:p>
            <w:pPr>
              <w:wordWrap/>
              <w:spacing w:line="360" w:lineRule="auto"/>
              <w:ind w:firstLine="0" w:firstLineChars="0"/>
              <w:rPr>
                <w:rFonts w:ascii="宋体" w:hAnsi="宋体"/>
                <w:bCs/>
                <w:color w:val="auto"/>
                <w:sz w:val="24"/>
              </w:rPr>
            </w:pPr>
            <w:r>
              <w:rPr>
                <w:rFonts w:hint="eastAsia" w:ascii="宋体" w:hAnsi="宋体"/>
                <w:bCs/>
                <w:color w:val="auto"/>
                <w:sz w:val="24"/>
              </w:rPr>
              <w:t>1.1受洪水威胁的露天采场应设置地面防洪工程；</w:t>
            </w:r>
          </w:p>
          <w:p>
            <w:pPr>
              <w:wordWrap/>
              <w:spacing w:line="360" w:lineRule="auto"/>
              <w:ind w:firstLine="0" w:firstLineChars="0"/>
              <w:rPr>
                <w:rFonts w:ascii="宋体" w:hAnsi="宋体"/>
                <w:bCs/>
                <w:color w:val="auto"/>
                <w:sz w:val="24"/>
              </w:rPr>
            </w:pPr>
            <w:r>
              <w:rPr>
                <w:rFonts w:hint="eastAsia" w:ascii="宋体" w:hAnsi="宋体"/>
                <w:bCs/>
                <w:color w:val="auto"/>
                <w:sz w:val="24"/>
              </w:rPr>
              <w:t>1.2不具备自然外排条件的山坡露天矿，境界外应设截水沟排水；</w:t>
            </w:r>
          </w:p>
          <w:p>
            <w:pPr>
              <w:wordWrap/>
              <w:spacing w:line="360" w:lineRule="auto"/>
              <w:ind w:firstLine="0" w:firstLineChars="0"/>
              <w:rPr>
                <w:rFonts w:ascii="宋体" w:hAnsi="宋体"/>
                <w:bCs/>
                <w:color w:val="auto"/>
                <w:sz w:val="24"/>
              </w:rPr>
            </w:pPr>
            <w:r>
              <w:rPr>
                <w:rFonts w:hint="eastAsia" w:ascii="宋体" w:hAnsi="宋体"/>
                <w:bCs/>
                <w:color w:val="auto"/>
                <w:sz w:val="24"/>
              </w:rPr>
              <w:t>1.3凹陷露天坑应设机械排水或自流排水设施</w:t>
            </w:r>
          </w:p>
        </w:tc>
        <w:tc>
          <w:tcPr>
            <w:tcW w:w="1897" w:type="dxa"/>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《金属非金属矿山安全规程》5.7.1.4</w:t>
            </w:r>
          </w:p>
        </w:tc>
        <w:tc>
          <w:tcPr>
            <w:tcW w:w="1768" w:type="dxa"/>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《三合一方案》设计露天采场采用自流方案，凹陷采场未设计机械排水设施。</w:t>
            </w:r>
          </w:p>
        </w:tc>
        <w:tc>
          <w:tcPr>
            <w:tcW w:w="1309" w:type="dxa"/>
            <w:vAlign w:val="center"/>
          </w:tcPr>
          <w:p>
            <w:pPr>
              <w:wordWrap/>
              <w:spacing w:beforeLines="20" w:afterLines="20" w:line="360" w:lineRule="auto"/>
              <w:ind w:firstLine="0" w:firstLineChars="0"/>
              <w:jc w:val="center"/>
              <w:rPr>
                <w:rFonts w:ascii="宋体" w:hAnsi="宋体"/>
                <w:bCs/>
                <w:color w:val="auto"/>
                <w:sz w:val="24"/>
              </w:rPr>
            </w:pPr>
            <w:r>
              <w:rPr>
                <w:rFonts w:hint="eastAsia" w:ascii="宋体" w:hAnsi="宋体"/>
                <w:bCs/>
                <w:color w:val="auto"/>
                <w:sz w:val="24"/>
              </w:rPr>
              <w:t>不符合</w:t>
            </w:r>
          </w:p>
        </w:tc>
      </w:tr>
    </w:tbl>
    <w:p>
      <w:pPr>
        <w:keepNext/>
        <w:keepLines/>
        <w:spacing w:beforeLines="100" w:line="360" w:lineRule="auto"/>
        <w:ind w:firstLine="0" w:firstLineChars="0"/>
        <w:outlineLvl w:val="2"/>
        <w:rPr>
          <w:rFonts w:ascii="宋体" w:hAnsi="宋体"/>
          <w:b/>
          <w:color w:val="auto"/>
          <w:kern w:val="0"/>
          <w:szCs w:val="28"/>
        </w:rPr>
      </w:pPr>
      <w:bookmarkStart w:id="182" w:name="_Toc21190"/>
      <w:bookmarkStart w:id="183" w:name="_Toc30833"/>
      <w:bookmarkStart w:id="184" w:name="_Toc25334371"/>
      <w:bookmarkStart w:id="185" w:name="_Toc314150673"/>
      <w:bookmarkStart w:id="186" w:name="_Toc326165116"/>
      <w:bookmarkStart w:id="187" w:name="_Toc25141"/>
      <w:r>
        <w:rPr>
          <w:rFonts w:ascii="宋体" w:hAnsi="宋体"/>
          <w:b/>
          <w:color w:val="auto"/>
          <w:kern w:val="0"/>
          <w:szCs w:val="28"/>
        </w:rPr>
        <w:t>3.</w:t>
      </w:r>
      <w:r>
        <w:rPr>
          <w:rFonts w:hint="eastAsia" w:ascii="宋体" w:hAnsi="宋体"/>
          <w:b/>
          <w:color w:val="auto"/>
          <w:kern w:val="0"/>
          <w:szCs w:val="28"/>
        </w:rPr>
        <w:t>5</w:t>
      </w:r>
      <w:r>
        <w:rPr>
          <w:rFonts w:ascii="宋体" w:hAnsi="宋体"/>
          <w:b/>
          <w:color w:val="auto"/>
          <w:kern w:val="0"/>
          <w:szCs w:val="28"/>
        </w:rPr>
        <w:t>.</w:t>
      </w:r>
      <w:r>
        <w:rPr>
          <w:rFonts w:hint="eastAsia" w:ascii="宋体" w:hAnsi="宋体"/>
          <w:b/>
          <w:color w:val="auto"/>
          <w:kern w:val="0"/>
          <w:szCs w:val="28"/>
        </w:rPr>
        <w:t>3防排水</w:t>
      </w:r>
      <w:r>
        <w:rPr>
          <w:rFonts w:ascii="宋体" w:hAnsi="宋体"/>
          <w:b/>
          <w:color w:val="auto"/>
          <w:kern w:val="0"/>
          <w:szCs w:val="28"/>
        </w:rPr>
        <w:t>单元评价结论</w:t>
      </w:r>
      <w:bookmarkEnd w:id="182"/>
      <w:bookmarkEnd w:id="183"/>
      <w:bookmarkEnd w:id="184"/>
      <w:bookmarkEnd w:id="185"/>
    </w:p>
    <w:p>
      <w:pPr>
        <w:pStyle w:val="20"/>
        <w:rPr>
          <w:rFonts w:cs="宋体"/>
          <w:color w:val="auto"/>
        </w:rPr>
      </w:pPr>
      <w:r>
        <w:rPr>
          <w:rFonts w:hint="eastAsia" w:cs="宋体"/>
          <w:color w:val="auto"/>
        </w:rPr>
        <w:t>1、通过预先危险性分析，单元存在坍塌、洪涝灾害等危险有害因素，其中，坍塌、淹溺危害等级为Ⅲ级；洪涝灾害的危险等级为II级。</w:t>
      </w:r>
    </w:p>
    <w:p>
      <w:pPr>
        <w:spacing w:line="360" w:lineRule="auto"/>
        <w:ind w:firstLine="560" w:firstLineChars="0"/>
        <w:jc w:val="left"/>
        <w:rPr>
          <w:rFonts w:ascii="宋体" w:hAnsi="宋体"/>
          <w:color w:val="auto"/>
          <w:szCs w:val="28"/>
        </w:rPr>
      </w:pPr>
      <w:r>
        <w:rPr>
          <w:rFonts w:hint="eastAsia" w:ascii="宋体" w:hAnsi="宋体" w:cs="宋体"/>
          <w:color w:val="auto"/>
          <w:szCs w:val="28"/>
        </w:rPr>
        <w:t>2、</w:t>
      </w:r>
      <w:r>
        <w:rPr>
          <w:rFonts w:hint="eastAsia" w:ascii="宋体" w:hAnsi="宋体"/>
          <w:color w:val="auto"/>
          <w:szCs w:val="28"/>
        </w:rPr>
        <w:t>《三合一方案》未设计凹陷机械排水设施，建议下一步设计中计算采场汇水面积，完善采场排水系统补充凹陷排水泵及供电电源、变压器和供电电缆的设计并提出相关安全对策措施。</w:t>
      </w:r>
      <w:bookmarkStart w:id="188" w:name="_Toc38398955"/>
    </w:p>
    <w:p>
      <w:pPr>
        <w:spacing w:line="360" w:lineRule="auto"/>
        <w:ind w:firstLine="0" w:firstLineChars="0"/>
        <w:jc w:val="left"/>
        <w:rPr>
          <w:rFonts w:ascii="宋体"/>
          <w:color w:val="auto"/>
        </w:rPr>
      </w:pPr>
      <w:r>
        <w:rPr>
          <w:rFonts w:ascii="宋体"/>
          <w:color w:val="auto"/>
        </w:rPr>
        <w:t>3</w:t>
      </w:r>
      <w:r>
        <w:rPr>
          <w:rFonts w:hint="eastAsia" w:ascii="宋体"/>
          <w:color w:val="auto"/>
        </w:rPr>
        <w:t>.6 排土场单元</w:t>
      </w:r>
      <w:bookmarkEnd w:id="188"/>
    </w:p>
    <w:p>
      <w:pPr>
        <w:spacing w:line="360" w:lineRule="auto"/>
        <w:ind w:firstLine="560"/>
        <w:rPr>
          <w:color w:val="auto"/>
        </w:rPr>
      </w:pPr>
      <w:r>
        <w:rPr>
          <w:rFonts w:hint="eastAsia"/>
          <w:color w:val="auto"/>
        </w:rPr>
        <w:t>矿山剥离表总量68.4万吨,剥离土用于矿山场地平整、道路修建、矿山覆土覆绿需要，矿山不设排土场。</w:t>
      </w:r>
    </w:p>
    <w:bookmarkEnd w:id="186"/>
    <w:bookmarkEnd w:id="187"/>
    <w:p>
      <w:pPr>
        <w:spacing w:line="360" w:lineRule="auto"/>
        <w:ind w:firstLine="0" w:firstLineChars="0"/>
        <w:outlineLvl w:val="1"/>
        <w:rPr>
          <w:rFonts w:ascii="宋体" w:hAnsi="宋体"/>
          <w:b/>
          <w:bCs/>
          <w:color w:val="auto"/>
          <w:sz w:val="32"/>
          <w:szCs w:val="32"/>
        </w:rPr>
      </w:pPr>
      <w:bookmarkStart w:id="189" w:name="_Toc25334372"/>
      <w:bookmarkStart w:id="190" w:name="_Toc15020"/>
      <w:bookmarkStart w:id="191" w:name="_Toc19956"/>
      <w:r>
        <w:rPr>
          <w:rFonts w:ascii="宋体" w:hAnsi="宋体"/>
          <w:b/>
          <w:bCs/>
          <w:color w:val="auto"/>
          <w:sz w:val="32"/>
          <w:szCs w:val="32"/>
        </w:rPr>
        <w:t>3</w:t>
      </w:r>
      <w:r>
        <w:rPr>
          <w:rFonts w:hint="eastAsia" w:ascii="宋体" w:hAnsi="宋体"/>
          <w:b/>
          <w:bCs/>
          <w:color w:val="auto"/>
          <w:sz w:val="32"/>
          <w:szCs w:val="32"/>
        </w:rPr>
        <w:t>.7 安全管理单元</w:t>
      </w:r>
      <w:bookmarkEnd w:id="189"/>
      <w:bookmarkEnd w:id="190"/>
      <w:bookmarkEnd w:id="191"/>
    </w:p>
    <w:p>
      <w:pPr>
        <w:spacing w:line="360" w:lineRule="auto"/>
        <w:ind w:firstLine="0" w:firstLineChars="0"/>
        <w:outlineLvl w:val="2"/>
        <w:rPr>
          <w:rFonts w:ascii="宋体" w:hAnsi="宋体"/>
          <w:b/>
          <w:color w:val="auto"/>
          <w:kern w:val="0"/>
          <w:szCs w:val="28"/>
        </w:rPr>
      </w:pPr>
      <w:bookmarkStart w:id="192" w:name="_Toc25334373"/>
      <w:bookmarkStart w:id="193" w:name="_Toc17206"/>
      <w:r>
        <w:rPr>
          <w:rFonts w:ascii="宋体" w:hAnsi="宋体"/>
          <w:b/>
          <w:color w:val="auto"/>
          <w:kern w:val="0"/>
          <w:szCs w:val="28"/>
        </w:rPr>
        <w:t>3</w:t>
      </w:r>
      <w:r>
        <w:rPr>
          <w:rFonts w:hint="eastAsia" w:ascii="宋体" w:hAnsi="宋体"/>
          <w:b/>
          <w:color w:val="auto"/>
          <w:kern w:val="0"/>
          <w:szCs w:val="28"/>
        </w:rPr>
        <w:t>.7.1 安全管理单元安全检查表评价</w:t>
      </w:r>
      <w:bookmarkEnd w:id="192"/>
      <w:bookmarkEnd w:id="193"/>
    </w:p>
    <w:p>
      <w:pPr>
        <w:wordWrap/>
        <w:spacing w:line="360" w:lineRule="auto"/>
        <w:ind w:firstLine="560"/>
        <w:rPr>
          <w:rFonts w:ascii="宋体" w:hAnsi="宋体"/>
          <w:color w:val="auto"/>
          <w:sz w:val="21"/>
          <w:szCs w:val="22"/>
        </w:rPr>
      </w:pPr>
      <w:r>
        <w:rPr>
          <w:rFonts w:hint="eastAsia" w:ascii="宋体" w:hAnsi="宋体" w:cs="宋体"/>
          <w:color w:val="auto"/>
          <w:szCs w:val="28"/>
        </w:rPr>
        <w:t>该单元采用安全检查表法进行评价，其结果见表</w:t>
      </w:r>
      <w:r>
        <w:rPr>
          <w:rFonts w:ascii="宋体" w:hAnsi="宋体" w:cs="宋体"/>
          <w:color w:val="auto"/>
          <w:szCs w:val="28"/>
        </w:rPr>
        <w:t>3</w:t>
      </w:r>
      <w:r>
        <w:rPr>
          <w:rFonts w:hint="eastAsia" w:ascii="宋体" w:hAnsi="宋体" w:cs="宋体"/>
          <w:color w:val="auto"/>
          <w:szCs w:val="28"/>
        </w:rPr>
        <w:t>-10。</w:t>
      </w:r>
    </w:p>
    <w:p>
      <w:pPr>
        <w:wordWrap/>
        <w:spacing w:line="360" w:lineRule="auto"/>
        <w:ind w:firstLine="0" w:firstLineChars="0"/>
        <w:jc w:val="left"/>
        <w:rPr>
          <w:rFonts w:ascii="宋体" w:hAnsi="宋体" w:cs="宋体"/>
          <w:b/>
          <w:color w:val="auto"/>
          <w:sz w:val="24"/>
        </w:rPr>
      </w:pPr>
      <w:r>
        <w:rPr>
          <w:rFonts w:hint="eastAsia" w:ascii="宋体" w:hAnsi="宋体" w:cs="宋体"/>
          <w:b/>
          <w:color w:val="auto"/>
          <w:sz w:val="24"/>
        </w:rPr>
        <w:t xml:space="preserve"> 表</w:t>
      </w:r>
      <w:r>
        <w:rPr>
          <w:rFonts w:ascii="宋体" w:hAnsi="宋体" w:cs="宋体"/>
          <w:b/>
          <w:color w:val="auto"/>
          <w:sz w:val="24"/>
        </w:rPr>
        <w:t>3</w:t>
      </w:r>
      <w:r>
        <w:rPr>
          <w:rFonts w:hint="eastAsia" w:ascii="宋体" w:hAnsi="宋体" w:cs="宋体"/>
          <w:b/>
          <w:color w:val="auto"/>
          <w:sz w:val="24"/>
        </w:rPr>
        <w:t>—10                   安全管理单元安全检查表</w:t>
      </w:r>
    </w:p>
    <w:tbl>
      <w:tblPr>
        <w:tblStyle w:val="36"/>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3828"/>
        <w:gridCol w:w="2297"/>
        <w:gridCol w:w="1766"/>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序号</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检查项目及内容</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依据标准</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检查结果</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检查</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1</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具有符合设计使用要求的地质勘探报告书且内容符合《矿山安全法实施条例》的要求</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《矿山安全法实施条例》第5条</w:t>
            </w:r>
          </w:p>
        </w:tc>
        <w:tc>
          <w:tcPr>
            <w:tcW w:w="1766" w:type="dxa"/>
            <w:vAlign w:val="center"/>
          </w:tcPr>
          <w:p>
            <w:pPr>
              <w:wordWrap/>
              <w:spacing w:line="240" w:lineRule="auto"/>
              <w:ind w:firstLine="0" w:firstLineChars="0"/>
              <w:rPr>
                <w:rFonts w:ascii="宋体" w:hAnsi="宋体"/>
                <w:color w:val="auto"/>
                <w:sz w:val="21"/>
                <w:szCs w:val="21"/>
              </w:rPr>
            </w:pPr>
            <w:r>
              <w:rPr>
                <w:rFonts w:hint="eastAsia" w:ascii="宋体" w:hAnsi="宋体"/>
                <w:color w:val="auto"/>
                <w:sz w:val="21"/>
                <w:szCs w:val="21"/>
              </w:rPr>
              <w:t>2019年4月</w:t>
            </w:r>
            <w:r>
              <w:rPr>
                <w:rFonts w:hint="eastAsia" w:ascii="宋体" w:hAnsi="宋体"/>
                <w:color w:val="auto"/>
                <w:sz w:val="24"/>
              </w:rPr>
              <w:t>江西省核工业地质局二六三大队</w:t>
            </w:r>
            <w:r>
              <w:rPr>
                <w:rFonts w:hint="eastAsia" w:ascii="宋体" w:hAnsi="宋体"/>
                <w:color w:val="auto"/>
                <w:sz w:val="21"/>
                <w:szCs w:val="21"/>
              </w:rPr>
              <w:t>编制了《</w:t>
            </w:r>
            <w:r>
              <w:rPr>
                <w:rFonts w:hint="eastAsia" w:ascii="宋体" w:hAnsi="宋体"/>
                <w:color w:val="auto"/>
                <w:sz w:val="24"/>
              </w:rPr>
              <w:t>江西省万安县大坪矿区瓷土矿资源储量分割报告</w:t>
            </w:r>
            <w:r>
              <w:rPr>
                <w:rFonts w:hint="eastAsia" w:ascii="宋体" w:hAnsi="宋体"/>
                <w:color w:val="auto"/>
                <w:sz w:val="21"/>
                <w:szCs w:val="21"/>
              </w:rPr>
              <w:t>》</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2</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有地质和水文地质图</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《金属非金属矿山安全规程》</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GB16423-2020</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第4.1.9条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《三合一方案》已编制地质图</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3</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建设项目的开发利用应对矿山开采的安全条件进行论证</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《矿山安全法实施条例》第6条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已委托编制预评价报告</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4</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设置安全管理机构</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《安全生产法》</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未设置安全管理机构</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5</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主要负责人、安全管理人员必须经培训、考核合格，取得相应的安全资格证</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《安全生产法》</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第二十七条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拟取证</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6</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建立安全生产责任制</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《安全生产法》</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第二十一条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拟制定</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7</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制订安全生产管理制度</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《安全生产法》</w:t>
            </w:r>
          </w:p>
          <w:p>
            <w:pPr>
              <w:wordWrap/>
              <w:spacing w:line="240" w:lineRule="auto"/>
              <w:ind w:firstLine="0" w:firstLineChars="0"/>
              <w:jc w:val="center"/>
              <w:rPr>
                <w:color w:val="auto"/>
              </w:rPr>
            </w:pPr>
            <w:r>
              <w:rPr>
                <w:rFonts w:hint="eastAsia" w:ascii="宋体" w:hAnsi="宋体"/>
                <w:color w:val="auto"/>
                <w:sz w:val="21"/>
                <w:szCs w:val="21"/>
              </w:rPr>
              <w:t>第二十一条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拟制定</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8</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制订各工种安全操作规程</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《安全生产法》</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第二十一条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拟制定</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exact"/>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9</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制订事故应急预案，并配备必要的设备、设施，进行演练</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《安全生产法》</w:t>
            </w:r>
          </w:p>
          <w:p>
            <w:pPr>
              <w:wordWrap/>
              <w:spacing w:line="240" w:lineRule="auto"/>
              <w:ind w:firstLine="0" w:firstLineChars="0"/>
              <w:jc w:val="center"/>
              <w:rPr>
                <w:color w:val="auto"/>
              </w:rPr>
            </w:pPr>
            <w:r>
              <w:rPr>
                <w:rFonts w:hint="eastAsia" w:ascii="宋体" w:hAnsi="宋体"/>
                <w:color w:val="auto"/>
                <w:sz w:val="21"/>
                <w:szCs w:val="21"/>
              </w:rPr>
              <w:t>第八十一条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未制定</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10</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对从业人员进行安全教育培训</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《安全生产法》</w:t>
            </w:r>
          </w:p>
          <w:p>
            <w:pPr>
              <w:wordWrap/>
              <w:spacing w:line="240" w:lineRule="auto"/>
              <w:ind w:firstLine="0" w:firstLineChars="0"/>
              <w:jc w:val="center"/>
              <w:rPr>
                <w:color w:val="auto"/>
              </w:rPr>
            </w:pPr>
            <w:r>
              <w:rPr>
                <w:rFonts w:hint="eastAsia" w:ascii="宋体" w:hAnsi="宋体"/>
                <w:color w:val="auto"/>
                <w:sz w:val="21"/>
                <w:szCs w:val="21"/>
              </w:rPr>
              <w:t>第二十八条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未培训</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11</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特种作业人员必须经有关主管部门培训，考核合格，持证上岗</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《安全生产法》</w:t>
            </w:r>
          </w:p>
          <w:p>
            <w:pPr>
              <w:wordWrap/>
              <w:spacing w:line="240" w:lineRule="auto"/>
              <w:ind w:firstLine="0" w:firstLineChars="0"/>
              <w:jc w:val="center"/>
              <w:rPr>
                <w:color w:val="auto"/>
              </w:rPr>
            </w:pPr>
            <w:r>
              <w:rPr>
                <w:rFonts w:hint="eastAsia" w:ascii="宋体" w:hAnsi="宋体"/>
                <w:color w:val="auto"/>
                <w:sz w:val="21"/>
                <w:szCs w:val="21"/>
              </w:rPr>
              <w:t>第三十条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未持证</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bookmarkStart w:id="194" w:name="_Toc25334374"/>
            <w:bookmarkStart w:id="195" w:name="_Toc23598"/>
            <w:r>
              <w:rPr>
                <w:rFonts w:hint="eastAsia" w:ascii="宋体" w:hAnsi="宋体"/>
                <w:color w:val="auto"/>
                <w:sz w:val="21"/>
                <w:szCs w:val="21"/>
              </w:rPr>
              <w:t>12</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设立矿山救护队或兼职救护队并与就近的专业矿山救护队签订救护协议</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《金属非金属矿山安全规程》</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GB16423-2020</w:t>
            </w:r>
          </w:p>
          <w:p>
            <w:pPr>
              <w:wordWrap/>
              <w:spacing w:line="240" w:lineRule="auto"/>
              <w:ind w:firstLine="0" w:firstLineChars="0"/>
              <w:jc w:val="center"/>
              <w:rPr>
                <w:color w:val="auto"/>
              </w:rPr>
            </w:pPr>
            <w:r>
              <w:rPr>
                <w:rFonts w:hint="eastAsia" w:ascii="宋体" w:hAnsi="宋体"/>
                <w:color w:val="auto"/>
                <w:sz w:val="21"/>
                <w:szCs w:val="21"/>
              </w:rPr>
              <w:t>第8.1条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未签订救护协议</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13</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矿山企业应建立健全应急管理、应急演练、应急撤离、信息报告、应急救援等规章制度，落实应急救援装备和物资储备</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《金属非金属矿山安全规程》</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GB16423-2020</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第8.1条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未配备救援装备和物资</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14</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新建、改建、扩建金属非金属矿山对采矿许可证范围内的资源应进行一次总体安全设施设计</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《国家矿山安全监察局关于印发&lt;关于加强非煤矿山安全生产工作的指导意见&gt;》</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矿安【2022】4号文2.2</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下步要求进行设计</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15</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淘汰危及生产安全的落后工艺和设备，使用纳入安全标志管理的产品</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《国家矿山安全监察局关于印发&lt;关于加强非煤矿山安全生产工作的指导意见&gt;》</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矿安【2022】4号文2.3</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矿山无落后工艺和设备</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16</w:t>
            </w:r>
          </w:p>
        </w:tc>
        <w:tc>
          <w:tcPr>
            <w:tcW w:w="3828" w:type="dxa"/>
            <w:vAlign w:val="center"/>
          </w:tcPr>
          <w:p>
            <w:pPr>
              <w:wordWrap/>
              <w:spacing w:line="240" w:lineRule="auto"/>
              <w:ind w:firstLine="0" w:firstLineChars="0"/>
              <w:rPr>
                <w:rFonts w:ascii="宋体" w:hAnsi="宋体"/>
                <w:color w:val="auto"/>
                <w:sz w:val="21"/>
                <w:szCs w:val="21"/>
              </w:rPr>
            </w:pPr>
            <w:r>
              <w:rPr>
                <w:rFonts w:hint="eastAsia" w:ascii="宋体" w:hAnsi="宋体"/>
                <w:color w:val="auto"/>
                <w:sz w:val="21"/>
                <w:szCs w:val="21"/>
              </w:rPr>
              <w:t>健全完善安全生产责任制和规章制度</w:t>
            </w:r>
          </w:p>
        </w:tc>
        <w:tc>
          <w:tcPr>
            <w:tcW w:w="2297" w:type="dxa"/>
            <w:vAlign w:val="center"/>
          </w:tcPr>
          <w:p>
            <w:pPr>
              <w:wordWrap/>
              <w:spacing w:line="240" w:lineRule="auto"/>
              <w:ind w:firstLine="0" w:firstLineChars="0"/>
              <w:jc w:val="center"/>
              <w:rPr>
                <w:rFonts w:ascii="宋体" w:hAnsi="宋体"/>
                <w:color w:val="auto"/>
                <w:sz w:val="21"/>
                <w:szCs w:val="21"/>
              </w:rPr>
            </w:pP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《国家矿山安全监察局关于印发&lt;关于加强非煤矿山安全生产工作的指导意见&gt;》</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矿安【2022】4号2.4.8</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矿山已建立安全生产责任制和规章制度</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17</w:t>
            </w:r>
          </w:p>
        </w:tc>
        <w:tc>
          <w:tcPr>
            <w:tcW w:w="3828"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强化安全管理,非煤矿山必须依法设立安全管理机构或者配备专职安全生产管理人员</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《国家矿山安全监察局关于印发&lt;关于加强非煤矿山安全生产工作的指导意见&gt;》</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矿安【2022】4号文2.4.10条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矿山未设立安全管理机构并未配备专职安全生产管理人员</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89"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18</w:t>
            </w:r>
          </w:p>
        </w:tc>
        <w:tc>
          <w:tcPr>
            <w:tcW w:w="3828" w:type="dxa"/>
            <w:vAlign w:val="center"/>
          </w:tcPr>
          <w:p>
            <w:pPr>
              <w:wordWrap/>
              <w:spacing w:line="240" w:lineRule="auto"/>
              <w:ind w:firstLine="0" w:firstLineChars="0"/>
              <w:rPr>
                <w:rFonts w:ascii="宋体" w:hAnsi="宋体"/>
                <w:color w:val="auto"/>
                <w:sz w:val="21"/>
                <w:szCs w:val="21"/>
              </w:rPr>
            </w:pPr>
            <w:r>
              <w:rPr>
                <w:rFonts w:hint="eastAsia" w:ascii="宋体" w:hAnsi="宋体"/>
                <w:color w:val="auto"/>
                <w:sz w:val="21"/>
                <w:szCs w:val="21"/>
              </w:rPr>
              <w:t>严格安全生产费用提取和使用，非煤矿山企业应当按照规定足额提取和使用安全生产费用</w:t>
            </w:r>
          </w:p>
        </w:tc>
        <w:tc>
          <w:tcPr>
            <w:tcW w:w="2297"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《国家矿山安全监察局关于印发&lt;关于加强非煤矿山安全生产工作的指导意见&gt;》</w:t>
            </w:r>
          </w:p>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矿安【2022】4号文2.16条</w:t>
            </w:r>
          </w:p>
        </w:tc>
        <w:tc>
          <w:tcPr>
            <w:tcW w:w="1766"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矿山下步要按要求足额提取安全生产费用</w:t>
            </w:r>
          </w:p>
        </w:tc>
        <w:tc>
          <w:tcPr>
            <w:tcW w:w="1105" w:type="dxa"/>
            <w:vAlign w:val="center"/>
          </w:tcPr>
          <w:p>
            <w:pPr>
              <w:wordWrap/>
              <w:spacing w:line="240" w:lineRule="auto"/>
              <w:ind w:firstLine="0" w:firstLineChars="0"/>
              <w:jc w:val="center"/>
              <w:rPr>
                <w:rFonts w:ascii="宋体" w:hAnsi="宋体"/>
                <w:color w:val="auto"/>
                <w:sz w:val="21"/>
                <w:szCs w:val="21"/>
              </w:rPr>
            </w:pPr>
            <w:r>
              <w:rPr>
                <w:rFonts w:hint="eastAsia" w:ascii="宋体" w:hAnsi="宋体"/>
                <w:color w:val="auto"/>
                <w:sz w:val="21"/>
                <w:szCs w:val="21"/>
              </w:rPr>
              <w:t>不符合</w:t>
            </w:r>
          </w:p>
        </w:tc>
      </w:tr>
    </w:tbl>
    <w:p>
      <w:pPr>
        <w:keepNext/>
        <w:keepLines/>
        <w:spacing w:beforeLines="100" w:line="360" w:lineRule="auto"/>
        <w:ind w:firstLine="562"/>
        <w:outlineLvl w:val="2"/>
        <w:rPr>
          <w:rFonts w:ascii="宋体" w:hAnsi="宋体"/>
          <w:b/>
          <w:color w:val="auto"/>
          <w:kern w:val="0"/>
          <w:szCs w:val="32"/>
        </w:rPr>
      </w:pPr>
      <w:bookmarkStart w:id="196" w:name="_Toc5571"/>
      <w:r>
        <w:rPr>
          <w:rFonts w:ascii="宋体" w:hAnsi="宋体"/>
          <w:b/>
          <w:color w:val="auto"/>
          <w:kern w:val="0"/>
          <w:szCs w:val="32"/>
        </w:rPr>
        <w:t>3</w:t>
      </w:r>
      <w:r>
        <w:rPr>
          <w:rFonts w:hint="eastAsia" w:ascii="宋体" w:hAnsi="宋体"/>
          <w:b/>
          <w:color w:val="auto"/>
          <w:kern w:val="0"/>
          <w:szCs w:val="32"/>
        </w:rPr>
        <w:t>.7.2安全管理单元评价</w:t>
      </w:r>
      <w:bookmarkEnd w:id="194"/>
      <w:bookmarkEnd w:id="195"/>
      <w:r>
        <w:rPr>
          <w:rFonts w:hint="eastAsia" w:ascii="宋体" w:hAnsi="宋体"/>
          <w:b/>
          <w:color w:val="auto"/>
          <w:kern w:val="0"/>
          <w:szCs w:val="32"/>
        </w:rPr>
        <w:t>结论</w:t>
      </w:r>
      <w:bookmarkEnd w:id="196"/>
    </w:p>
    <w:p>
      <w:pPr>
        <w:wordWrap/>
        <w:autoSpaceDE w:val="0"/>
        <w:autoSpaceDN w:val="0"/>
        <w:adjustRightInd w:val="0"/>
        <w:spacing w:line="360" w:lineRule="auto"/>
        <w:ind w:firstLine="560"/>
        <w:jc w:val="left"/>
        <w:rPr>
          <w:rFonts w:ascii="宋体" w:hAnsi="宋体" w:cs="宋体"/>
          <w:color w:val="auto"/>
          <w:kern w:val="0"/>
          <w:szCs w:val="28"/>
        </w:rPr>
      </w:pPr>
      <w:r>
        <w:rPr>
          <w:rFonts w:hint="eastAsia" w:ascii="宋体" w:hAnsi="宋体" w:cs="宋体"/>
          <w:color w:val="auto"/>
          <w:kern w:val="0"/>
          <w:szCs w:val="28"/>
        </w:rPr>
        <w:t>该矿于2019年4月委托江西省核工业地质局二六三大队编制了《江西省万安县大坪矿区瓷土矿资源储量分割报告》，于2019年5月委托江西省核工业地质局二六三大队编制了《万安县大坪瓷土矿矿产资源开发利用、地质环境恢复治理与土地复垦方案》，符合法律法规要求</w:t>
      </w:r>
      <w:r>
        <w:rPr>
          <w:rFonts w:ascii="宋体" w:hAnsi="宋体" w:cs="宋体"/>
          <w:color w:val="auto"/>
          <w:kern w:val="0"/>
          <w:szCs w:val="28"/>
        </w:rPr>
        <w:t>。</w:t>
      </w:r>
    </w:p>
    <w:p>
      <w:pPr>
        <w:numPr>
          <w:ilvl w:val="0"/>
          <w:numId w:val="14"/>
        </w:numPr>
        <w:wordWrap/>
        <w:spacing w:line="360" w:lineRule="auto"/>
        <w:ind w:firstLine="560"/>
        <w:rPr>
          <w:rFonts w:ascii="宋体" w:hAnsi="宋体" w:cs="宋体"/>
          <w:color w:val="auto"/>
          <w:szCs w:val="28"/>
        </w:rPr>
      </w:pPr>
      <w:r>
        <w:rPr>
          <w:rFonts w:hint="eastAsia" w:ascii="宋体" w:hAnsi="宋体" w:cs="宋体"/>
          <w:color w:val="auto"/>
          <w:szCs w:val="28"/>
        </w:rPr>
        <w:t>应按要求对企业从业人员进行安全教育培训并记录。</w:t>
      </w:r>
    </w:p>
    <w:p>
      <w:pPr>
        <w:numPr>
          <w:ilvl w:val="0"/>
          <w:numId w:val="14"/>
        </w:numPr>
        <w:wordWrap/>
        <w:spacing w:line="360" w:lineRule="auto"/>
        <w:ind w:firstLine="560"/>
        <w:rPr>
          <w:rFonts w:ascii="宋体" w:hAnsi="宋体" w:cs="宋体"/>
          <w:color w:val="auto"/>
          <w:szCs w:val="28"/>
        </w:rPr>
      </w:pPr>
      <w:r>
        <w:rPr>
          <w:rFonts w:hint="eastAsia" w:ascii="宋体" w:hAnsi="宋体" w:cs="宋体"/>
          <w:color w:val="auto"/>
          <w:szCs w:val="28"/>
        </w:rPr>
        <w:t>企业应</w:t>
      </w:r>
      <w:r>
        <w:rPr>
          <w:rFonts w:hint="eastAsia" w:ascii="宋体" w:hAnsi="宋体" w:cs="宋体"/>
          <w:bCs/>
          <w:color w:val="auto"/>
          <w:szCs w:val="28"/>
        </w:rPr>
        <w:t>依法设立安全管理机构、配备专职安全生产管理人员，</w:t>
      </w:r>
      <w:r>
        <w:rPr>
          <w:rFonts w:hint="eastAsia" w:ascii="宋体" w:hAnsi="宋体" w:cs="宋体"/>
          <w:color w:val="auto"/>
          <w:szCs w:val="28"/>
        </w:rPr>
        <w:t>主要负责人、安全管理人员及特种作业人员应参加培训并经考核通过后持证上岗作业。</w:t>
      </w:r>
    </w:p>
    <w:p>
      <w:pPr>
        <w:numPr>
          <w:ilvl w:val="0"/>
          <w:numId w:val="14"/>
        </w:numPr>
        <w:wordWrap/>
        <w:spacing w:line="360" w:lineRule="auto"/>
        <w:ind w:firstLine="560"/>
        <w:rPr>
          <w:rFonts w:ascii="宋体" w:hAnsi="宋体" w:cs="宋体"/>
          <w:color w:val="auto"/>
          <w:szCs w:val="28"/>
        </w:rPr>
      </w:pPr>
      <w:r>
        <w:rPr>
          <w:rFonts w:hint="eastAsia" w:ascii="宋体" w:hAnsi="宋体" w:cs="宋体"/>
          <w:color w:val="auto"/>
          <w:szCs w:val="28"/>
        </w:rPr>
        <w:t>企业应与附近救护队签订矿山救护协议。</w:t>
      </w:r>
    </w:p>
    <w:p>
      <w:pPr>
        <w:numPr>
          <w:ilvl w:val="0"/>
          <w:numId w:val="14"/>
        </w:numPr>
        <w:wordWrap/>
        <w:spacing w:line="360" w:lineRule="auto"/>
        <w:ind w:firstLine="560"/>
        <w:rPr>
          <w:rFonts w:ascii="宋体" w:hAnsi="宋体" w:cs="宋体"/>
          <w:color w:val="auto"/>
          <w:szCs w:val="28"/>
        </w:rPr>
      </w:pPr>
      <w:r>
        <w:rPr>
          <w:rFonts w:hint="eastAsia" w:ascii="宋体" w:hAnsi="宋体" w:cs="宋体"/>
          <w:color w:val="auto"/>
          <w:szCs w:val="28"/>
        </w:rPr>
        <w:t>企业应配备救援装备及物资。</w:t>
      </w:r>
    </w:p>
    <w:p>
      <w:pPr>
        <w:pStyle w:val="2"/>
        <w:ind w:left="0" w:leftChars="0" w:firstLine="0" w:firstLineChars="0"/>
        <w:rPr>
          <w:rFonts w:ascii="宋体" w:hAnsi="宋体" w:cs="宋体"/>
          <w:color w:val="auto"/>
          <w:sz w:val="28"/>
          <w:szCs w:val="28"/>
        </w:rPr>
      </w:pPr>
      <w:r>
        <w:rPr>
          <w:rFonts w:hint="eastAsia"/>
          <w:color w:val="auto"/>
        </w:rPr>
        <w:t xml:space="preserve">     </w:t>
      </w:r>
      <w:r>
        <w:rPr>
          <w:rFonts w:hint="eastAsia" w:ascii="宋体" w:hAnsi="宋体" w:cs="宋体"/>
          <w:color w:val="auto"/>
          <w:sz w:val="28"/>
          <w:szCs w:val="28"/>
        </w:rPr>
        <w:t>5、矿山应按要求足额提取</w:t>
      </w:r>
      <w:r>
        <w:rPr>
          <w:rFonts w:hint="eastAsia" w:ascii="宋体" w:hAnsi="宋体" w:cs="宋体"/>
          <w:b/>
          <w:bCs/>
          <w:color w:val="auto"/>
          <w:sz w:val="28"/>
          <w:szCs w:val="28"/>
        </w:rPr>
        <w:t>安全生产费用。</w:t>
      </w:r>
    </w:p>
    <w:p>
      <w:pPr>
        <w:keepNext/>
        <w:keepLines/>
        <w:spacing w:line="360" w:lineRule="auto"/>
        <w:ind w:firstLine="643"/>
        <w:outlineLvl w:val="1"/>
        <w:rPr>
          <w:rFonts w:ascii="宋体" w:hAnsi="宋体" w:cs="宋体"/>
          <w:b/>
          <w:bCs/>
          <w:color w:val="auto"/>
          <w:sz w:val="32"/>
          <w:szCs w:val="32"/>
        </w:rPr>
      </w:pPr>
      <w:bookmarkStart w:id="197" w:name="_Toc4884"/>
      <w:bookmarkStart w:id="198" w:name="_Toc494189652"/>
      <w:bookmarkStart w:id="199" w:name="_Toc25334375"/>
      <w:r>
        <w:rPr>
          <w:rFonts w:hint="eastAsia" w:ascii="宋体" w:hAnsi="宋体" w:cs="宋体"/>
          <w:b/>
          <w:bCs/>
          <w:color w:val="auto"/>
          <w:sz w:val="32"/>
          <w:szCs w:val="32"/>
        </w:rPr>
        <w:t>3.8重大危险源辨识单元</w:t>
      </w:r>
      <w:bookmarkEnd w:id="197"/>
      <w:bookmarkEnd w:id="198"/>
      <w:bookmarkEnd w:id="199"/>
    </w:p>
    <w:p>
      <w:pPr>
        <w:wordWrap/>
        <w:spacing w:line="360" w:lineRule="auto"/>
        <w:ind w:firstLine="560"/>
        <w:rPr>
          <w:rFonts w:ascii="宋体" w:hAnsi="宋体"/>
          <w:bCs/>
          <w:color w:val="auto"/>
          <w:szCs w:val="22"/>
        </w:rPr>
      </w:pPr>
      <w:r>
        <w:rPr>
          <w:rFonts w:hint="eastAsia" w:ascii="宋体" w:hAnsi="宋体"/>
          <w:bCs/>
          <w:color w:val="auto"/>
          <w:szCs w:val="22"/>
        </w:rPr>
        <w:t>根据《危险化学品重大危险源辨识》GB18218-2018，重大危险源是指长期地或者临时地生产、搬运、使用或储存危险物品，且危险物品的数量等于或超过临界量的单元(包括场所和设施)。</w:t>
      </w:r>
    </w:p>
    <w:p>
      <w:pPr>
        <w:spacing w:line="360" w:lineRule="auto"/>
        <w:ind w:firstLine="560" w:firstLineChars="0"/>
        <w:jc w:val="left"/>
        <w:rPr>
          <w:color w:val="auto"/>
          <w:szCs w:val="22"/>
        </w:rPr>
      </w:pPr>
      <w:r>
        <w:rPr>
          <w:bCs/>
          <w:color w:val="auto"/>
          <w:szCs w:val="22"/>
        </w:rPr>
        <w:t>矿山日常开采中不涉及重大危险源辨识范围内的</w:t>
      </w:r>
      <w:r>
        <w:rPr>
          <w:rFonts w:hint="eastAsia"/>
          <w:bCs/>
          <w:color w:val="auto"/>
          <w:szCs w:val="22"/>
        </w:rPr>
        <w:t>储油罐、炸药、雷管等</w:t>
      </w:r>
      <w:r>
        <w:rPr>
          <w:bCs/>
          <w:color w:val="auto"/>
          <w:szCs w:val="22"/>
        </w:rPr>
        <w:t>危险化学品，所以不构成重大危险源。</w:t>
      </w:r>
    </w:p>
    <w:p>
      <w:pPr>
        <w:wordWrap/>
        <w:spacing w:line="360" w:lineRule="auto"/>
        <w:ind w:firstLine="560"/>
        <w:rPr>
          <w:rFonts w:ascii="宋体" w:hAnsi="宋体"/>
          <w:color w:val="auto"/>
          <w:szCs w:val="22"/>
        </w:rPr>
      </w:pPr>
    </w:p>
    <w:p>
      <w:pPr>
        <w:spacing w:line="360" w:lineRule="auto"/>
        <w:ind w:firstLine="0" w:firstLineChars="0"/>
        <w:rPr>
          <w:rFonts w:ascii="宋体" w:hAnsi="宋体"/>
          <w:color w:val="auto"/>
        </w:rPr>
        <w:sectPr>
          <w:footerReference r:id="rId16" w:type="default"/>
          <w:headerReference r:id="rId15" w:type="even"/>
          <w:pgSz w:w="11905" w:h="16838"/>
          <w:pgMar w:top="1417" w:right="1417" w:bottom="1417" w:left="1417" w:header="850" w:footer="850" w:gutter="0"/>
          <w:cols w:space="720" w:num="1"/>
          <w:docGrid w:linePitch="312" w:charSpace="0"/>
        </w:sectPr>
      </w:pPr>
    </w:p>
    <w:p>
      <w:pPr>
        <w:keepNext/>
        <w:keepLines/>
        <w:spacing w:line="360" w:lineRule="auto"/>
        <w:ind w:firstLine="0" w:firstLineChars="0"/>
        <w:outlineLvl w:val="0"/>
        <w:rPr>
          <w:rFonts w:ascii="宋体" w:hAnsi="宋体"/>
          <w:b/>
          <w:bCs/>
          <w:color w:val="auto"/>
          <w:kern w:val="44"/>
          <w:sz w:val="32"/>
          <w:szCs w:val="44"/>
        </w:rPr>
      </w:pPr>
      <w:bookmarkStart w:id="200" w:name="_Toc342327330"/>
      <w:bookmarkStart w:id="201" w:name="_Toc22629"/>
      <w:bookmarkStart w:id="202" w:name="_Toc217966306"/>
      <w:bookmarkStart w:id="203" w:name="_Toc483662336"/>
      <w:bookmarkStart w:id="204" w:name="_Toc327342253"/>
      <w:bookmarkStart w:id="205" w:name="_Toc25334376"/>
      <w:bookmarkStart w:id="206" w:name="_Toc100459172"/>
      <w:bookmarkStart w:id="207" w:name="_Toc244664962"/>
      <w:bookmarkStart w:id="208" w:name="_Toc199306088"/>
      <w:bookmarkStart w:id="209" w:name="_Toc318732680"/>
      <w:r>
        <w:rPr>
          <w:rFonts w:hint="eastAsia" w:ascii="宋体" w:hAnsi="宋体"/>
          <w:b/>
          <w:bCs/>
          <w:color w:val="auto"/>
          <w:kern w:val="44"/>
          <w:sz w:val="32"/>
          <w:szCs w:val="44"/>
        </w:rPr>
        <w:t>4</w:t>
      </w:r>
      <w:r>
        <w:rPr>
          <w:rFonts w:ascii="宋体" w:hAnsi="宋体"/>
          <w:b/>
          <w:bCs/>
          <w:color w:val="auto"/>
          <w:kern w:val="44"/>
          <w:sz w:val="32"/>
          <w:szCs w:val="44"/>
        </w:rPr>
        <w:t xml:space="preserve"> 安全生产对策措施及建议</w:t>
      </w:r>
      <w:bookmarkEnd w:id="200"/>
      <w:bookmarkEnd w:id="201"/>
      <w:bookmarkEnd w:id="202"/>
      <w:bookmarkEnd w:id="203"/>
      <w:bookmarkEnd w:id="204"/>
      <w:bookmarkEnd w:id="205"/>
    </w:p>
    <w:p>
      <w:pPr>
        <w:keepNext/>
        <w:keepLines/>
        <w:spacing w:line="360" w:lineRule="auto"/>
        <w:ind w:firstLine="0" w:firstLineChars="0"/>
        <w:outlineLvl w:val="2"/>
        <w:rPr>
          <w:rFonts w:ascii="宋体" w:hAnsi="宋体"/>
          <w:b/>
          <w:color w:val="auto"/>
          <w:kern w:val="0"/>
          <w:sz w:val="32"/>
          <w:szCs w:val="32"/>
        </w:rPr>
      </w:pPr>
      <w:bookmarkStart w:id="210" w:name="_Toc136506152"/>
      <w:bookmarkStart w:id="211" w:name="_Toc240278610"/>
      <w:bookmarkStart w:id="212" w:name="_Toc240279574"/>
      <w:bookmarkStart w:id="213" w:name="_Toc342327331"/>
      <w:bookmarkStart w:id="214" w:name="_Toc331012718"/>
      <w:bookmarkStart w:id="215" w:name="_Toc483662337"/>
      <w:bookmarkStart w:id="216" w:name="_Toc15381"/>
      <w:bookmarkStart w:id="217" w:name="_Toc25334377"/>
      <w:r>
        <w:rPr>
          <w:rFonts w:hint="eastAsia" w:ascii="宋体" w:hAnsi="宋体"/>
          <w:b/>
          <w:color w:val="auto"/>
          <w:kern w:val="0"/>
          <w:sz w:val="32"/>
          <w:szCs w:val="32"/>
        </w:rPr>
        <w:t>4.1总平面布置</w:t>
      </w:r>
      <w:bookmarkEnd w:id="210"/>
      <w:bookmarkEnd w:id="211"/>
      <w:bookmarkEnd w:id="212"/>
      <w:r>
        <w:rPr>
          <w:rFonts w:hint="eastAsia" w:ascii="宋体" w:hAnsi="宋体"/>
          <w:b/>
          <w:color w:val="auto"/>
          <w:kern w:val="0"/>
          <w:sz w:val="32"/>
          <w:szCs w:val="32"/>
        </w:rPr>
        <w:t>、周边环境安全对策措施</w:t>
      </w:r>
      <w:bookmarkEnd w:id="213"/>
      <w:bookmarkEnd w:id="214"/>
      <w:r>
        <w:rPr>
          <w:rFonts w:hint="eastAsia" w:ascii="宋体" w:hAnsi="宋体"/>
          <w:b/>
          <w:color w:val="auto"/>
          <w:kern w:val="0"/>
          <w:sz w:val="32"/>
          <w:szCs w:val="32"/>
        </w:rPr>
        <w:t>及建议</w:t>
      </w:r>
      <w:bookmarkEnd w:id="215"/>
      <w:bookmarkEnd w:id="216"/>
      <w:bookmarkEnd w:id="217"/>
    </w:p>
    <w:p>
      <w:pPr>
        <w:numPr>
          <w:ilvl w:val="0"/>
          <w:numId w:val="15"/>
        </w:numPr>
        <w:wordWrap/>
        <w:spacing w:line="360" w:lineRule="auto"/>
        <w:ind w:firstLine="560"/>
        <w:rPr>
          <w:rFonts w:ascii="宋体" w:hAnsi="宋体"/>
          <w:bCs/>
          <w:color w:val="auto"/>
          <w:szCs w:val="22"/>
        </w:rPr>
      </w:pPr>
      <w:bookmarkStart w:id="218" w:name="_Toc240278567"/>
      <w:bookmarkStart w:id="219" w:name="_Toc240279531"/>
      <w:bookmarkStart w:id="220" w:name="_Toc342327334"/>
      <w:bookmarkStart w:id="221" w:name="_Toc331012719"/>
      <w:r>
        <w:rPr>
          <w:rFonts w:hint="eastAsia" w:ascii="宋体" w:hAnsi="宋体"/>
          <w:color w:val="auto"/>
          <w:szCs w:val="22"/>
        </w:rPr>
        <w:t>《三合一方案》未设计矿区生产、办公等辅助设施场地，未设计辅助设施消防系统，建议下一步设计中补充完善。</w:t>
      </w:r>
    </w:p>
    <w:p>
      <w:pPr>
        <w:widowControl/>
        <w:numPr>
          <w:ilvl w:val="0"/>
          <w:numId w:val="15"/>
        </w:numPr>
        <w:spacing w:line="360" w:lineRule="auto"/>
        <w:ind w:firstLine="560" w:firstLineChars="0"/>
        <w:jc w:val="left"/>
        <w:rPr>
          <w:rFonts w:ascii="宋体" w:hAnsi="宋体" w:cs="宋体"/>
          <w:color w:val="auto"/>
          <w:kern w:val="0"/>
          <w:szCs w:val="28"/>
        </w:rPr>
      </w:pPr>
      <w:r>
        <w:rPr>
          <w:rFonts w:hint="eastAsia" w:ascii="宋体" w:hAnsi="宋体" w:cs="宋体"/>
          <w:color w:val="auto"/>
          <w:kern w:val="0"/>
          <w:szCs w:val="28"/>
        </w:rPr>
        <w:t>由于该矿采用机械开采，虽然无爆破作业，但</w:t>
      </w:r>
      <w:r>
        <w:rPr>
          <w:rFonts w:ascii="宋体" w:hAnsi="宋体" w:cs="宋体"/>
          <w:color w:val="auto"/>
          <w:kern w:val="0"/>
          <w:szCs w:val="28"/>
        </w:rPr>
        <w:fldChar w:fldCharType="begin"/>
      </w:r>
      <w:r>
        <w:rPr>
          <w:rFonts w:hint="eastAsia" w:ascii="宋体" w:hAnsi="宋体" w:cs="宋体"/>
          <w:color w:val="auto"/>
          <w:kern w:val="0"/>
          <w:szCs w:val="28"/>
        </w:rPr>
        <w:instrText xml:space="preserve">= 2 \* ROMAN</w:instrText>
      </w:r>
      <w:r>
        <w:rPr>
          <w:rFonts w:ascii="宋体" w:hAnsi="宋体" w:cs="宋体"/>
          <w:color w:val="auto"/>
          <w:kern w:val="0"/>
          <w:szCs w:val="28"/>
        </w:rPr>
        <w:fldChar w:fldCharType="separate"/>
      </w:r>
      <w:r>
        <w:rPr>
          <w:rFonts w:ascii="宋体" w:hAnsi="宋体" w:cs="宋体"/>
          <w:color w:val="auto"/>
          <w:kern w:val="0"/>
          <w:szCs w:val="28"/>
        </w:rPr>
        <w:t>II</w:t>
      </w:r>
      <w:r>
        <w:rPr>
          <w:rFonts w:ascii="宋体" w:hAnsi="宋体" w:cs="宋体"/>
          <w:color w:val="auto"/>
          <w:kern w:val="0"/>
          <w:szCs w:val="28"/>
        </w:rPr>
        <w:fldChar w:fldCharType="end"/>
      </w:r>
      <w:r>
        <w:rPr>
          <w:rFonts w:hint="eastAsia" w:ascii="宋体" w:hAnsi="宋体" w:cs="宋体"/>
          <w:color w:val="auto"/>
          <w:kern w:val="0"/>
          <w:szCs w:val="28"/>
        </w:rPr>
        <w:t>号矿区北区、</w:t>
      </w:r>
      <w:r>
        <w:rPr>
          <w:rFonts w:ascii="宋体" w:hAnsi="宋体" w:cs="宋体"/>
          <w:color w:val="auto"/>
          <w:kern w:val="0"/>
          <w:szCs w:val="28"/>
        </w:rPr>
        <w:fldChar w:fldCharType="begin"/>
      </w:r>
      <w:r>
        <w:rPr>
          <w:rFonts w:hint="eastAsia" w:ascii="宋体" w:hAnsi="宋体" w:cs="宋体"/>
          <w:color w:val="auto"/>
          <w:kern w:val="0"/>
          <w:szCs w:val="28"/>
        </w:rPr>
        <w:instrText xml:space="preserve">= 2 \* ROMAN</w:instrText>
      </w:r>
      <w:r>
        <w:rPr>
          <w:rFonts w:ascii="宋体" w:hAnsi="宋体" w:cs="宋体"/>
          <w:color w:val="auto"/>
          <w:kern w:val="0"/>
          <w:szCs w:val="28"/>
        </w:rPr>
        <w:fldChar w:fldCharType="separate"/>
      </w:r>
      <w:r>
        <w:rPr>
          <w:rFonts w:ascii="宋体" w:hAnsi="宋体" w:cs="宋体"/>
          <w:color w:val="auto"/>
          <w:kern w:val="0"/>
          <w:szCs w:val="28"/>
        </w:rPr>
        <w:t>II</w:t>
      </w:r>
      <w:r>
        <w:rPr>
          <w:rFonts w:ascii="宋体" w:hAnsi="宋体" w:cs="宋体"/>
          <w:color w:val="auto"/>
          <w:kern w:val="0"/>
          <w:szCs w:val="28"/>
        </w:rPr>
        <w:fldChar w:fldCharType="end"/>
      </w:r>
      <w:r>
        <w:rPr>
          <w:rFonts w:hint="eastAsia" w:ascii="宋体" w:hAnsi="宋体" w:cs="宋体"/>
          <w:color w:val="auto"/>
          <w:kern w:val="0"/>
          <w:szCs w:val="28"/>
        </w:rPr>
        <w:t xml:space="preserve">号矿体南区矿区范围内均存在民房，矿山在开采过程中应对矿区内的房子及紧靠矿区范围边界线的房应划出保护隔离带，使矿山开采边坡距房屋有一定的安全距离。 </w:t>
      </w:r>
    </w:p>
    <w:p>
      <w:pPr>
        <w:wordWrap/>
        <w:spacing w:line="360" w:lineRule="auto"/>
        <w:ind w:firstLine="560"/>
        <w:rPr>
          <w:rFonts w:ascii="宋体" w:hAnsi="宋体"/>
          <w:bCs/>
          <w:color w:val="auto"/>
          <w:szCs w:val="22"/>
        </w:rPr>
      </w:pPr>
      <w:r>
        <w:rPr>
          <w:rFonts w:hint="eastAsia" w:ascii="宋体" w:hAnsi="宋体"/>
          <w:bCs/>
          <w:color w:val="auto"/>
          <w:szCs w:val="22"/>
        </w:rPr>
        <w:t>3、矿区总体布置的各工业场地与建筑物布局均应符合有关的消防规范要求，可确保一处发生火灾不会蔓延到另一处。矿区公路应满足作为消防道路的要求。消防水源水量应充足，有公路相通。</w:t>
      </w:r>
    </w:p>
    <w:p>
      <w:pPr>
        <w:wordWrap/>
        <w:spacing w:line="360" w:lineRule="auto"/>
        <w:ind w:firstLine="560"/>
        <w:rPr>
          <w:rFonts w:ascii="宋体" w:hAnsi="宋体"/>
          <w:bCs/>
          <w:color w:val="auto"/>
          <w:szCs w:val="22"/>
        </w:rPr>
      </w:pPr>
      <w:r>
        <w:rPr>
          <w:rFonts w:hint="eastAsia" w:ascii="宋体" w:hAnsi="宋体"/>
          <w:bCs/>
          <w:color w:val="auto"/>
          <w:szCs w:val="22"/>
        </w:rPr>
        <w:t>4、全矿生产设备按生产工艺流程顺序配置，生产线不交叉，采用短捷的运输路线、合理的运输方式；各生产设备点为操作人员留足够的操作场地。</w:t>
      </w:r>
    </w:p>
    <w:p>
      <w:pPr>
        <w:wordWrap/>
        <w:spacing w:line="360" w:lineRule="auto"/>
        <w:ind w:firstLine="560"/>
        <w:rPr>
          <w:rFonts w:ascii="宋体" w:hAnsi="宋体"/>
          <w:bCs/>
          <w:color w:val="auto"/>
          <w:szCs w:val="22"/>
        </w:rPr>
      </w:pPr>
      <w:r>
        <w:rPr>
          <w:rFonts w:hint="eastAsia" w:ascii="宋体" w:hAnsi="宋体"/>
          <w:bCs/>
          <w:color w:val="auto"/>
          <w:szCs w:val="22"/>
        </w:rPr>
        <w:t>5、建筑物及高架设备应按规定安装避雷针或设置避雷装置；雷雨时，应远离避雷针及其接地线，远离天线、电线杆、高塔、烟囱等孤独高耸物体；雷暴时，尽量离开电源线、电话线，暂时拔掉电源插头，不使用电器，不使用手机、电话。</w:t>
      </w:r>
    </w:p>
    <w:p>
      <w:pPr>
        <w:wordWrap/>
        <w:spacing w:line="360" w:lineRule="auto"/>
        <w:ind w:firstLine="560"/>
        <w:rPr>
          <w:rFonts w:ascii="宋体" w:hAnsi="宋体"/>
          <w:bCs/>
          <w:color w:val="auto"/>
          <w:szCs w:val="22"/>
        </w:rPr>
      </w:pPr>
      <w:r>
        <w:rPr>
          <w:rFonts w:hint="eastAsia" w:ascii="宋体" w:hAnsi="宋体"/>
          <w:bCs/>
          <w:color w:val="auto"/>
          <w:szCs w:val="22"/>
        </w:rPr>
        <w:t>6、矿山的建构筑物、危险场所和大型设备，建立防火制度采取防火措施，备足消防器材。</w:t>
      </w:r>
    </w:p>
    <w:p>
      <w:pPr>
        <w:keepNext/>
        <w:keepLines/>
        <w:spacing w:line="360" w:lineRule="auto"/>
        <w:ind w:firstLine="0" w:firstLineChars="0"/>
        <w:outlineLvl w:val="2"/>
        <w:rPr>
          <w:rFonts w:ascii="宋体" w:hAnsi="宋体"/>
          <w:b/>
          <w:color w:val="auto"/>
          <w:kern w:val="0"/>
          <w:sz w:val="32"/>
          <w:szCs w:val="32"/>
        </w:rPr>
      </w:pPr>
      <w:bookmarkStart w:id="222" w:name="_Toc483662338"/>
      <w:bookmarkStart w:id="223" w:name="_Toc29643"/>
      <w:bookmarkStart w:id="224" w:name="_Toc25334378"/>
      <w:r>
        <w:rPr>
          <w:rFonts w:hint="eastAsia" w:ascii="宋体" w:hAnsi="宋体"/>
          <w:b/>
          <w:color w:val="auto"/>
          <w:kern w:val="0"/>
          <w:sz w:val="32"/>
          <w:szCs w:val="32"/>
        </w:rPr>
        <w:t>4.2</w:t>
      </w:r>
      <w:bookmarkEnd w:id="218"/>
      <w:bookmarkEnd w:id="219"/>
      <w:r>
        <w:rPr>
          <w:rFonts w:hint="eastAsia" w:ascii="宋体" w:hAnsi="宋体"/>
          <w:b/>
          <w:color w:val="auto"/>
          <w:kern w:val="0"/>
          <w:sz w:val="32"/>
          <w:szCs w:val="32"/>
        </w:rPr>
        <w:t>开拓运输单元安全对策措施</w:t>
      </w:r>
      <w:bookmarkEnd w:id="220"/>
      <w:bookmarkEnd w:id="221"/>
      <w:r>
        <w:rPr>
          <w:rFonts w:hint="eastAsia" w:ascii="宋体" w:hAnsi="宋体"/>
          <w:b/>
          <w:color w:val="auto"/>
          <w:kern w:val="0"/>
          <w:sz w:val="32"/>
          <w:szCs w:val="32"/>
        </w:rPr>
        <w:t>及建议</w:t>
      </w:r>
      <w:bookmarkEnd w:id="222"/>
      <w:bookmarkEnd w:id="223"/>
      <w:bookmarkEnd w:id="224"/>
    </w:p>
    <w:p>
      <w:pPr>
        <w:wordWrap/>
        <w:spacing w:line="360" w:lineRule="auto"/>
        <w:ind w:firstLine="560"/>
        <w:rPr>
          <w:rFonts w:ascii="宋体" w:hAnsi="宋体"/>
          <w:color w:val="auto"/>
          <w:szCs w:val="22"/>
        </w:rPr>
      </w:pPr>
      <w:r>
        <w:rPr>
          <w:rFonts w:hint="eastAsia" w:ascii="宋体" w:hAnsi="宋体"/>
          <w:color w:val="auto"/>
          <w:szCs w:val="22"/>
        </w:rPr>
        <w:t>1、《三合一方案》未提出运输公路安全设施，建议矿山下一步设计在转弯、陡峻的运输公路外侧增设路挡设施，并完善安全警示标志、限速标志等。</w:t>
      </w:r>
    </w:p>
    <w:p>
      <w:pPr>
        <w:wordWrap/>
        <w:spacing w:line="360" w:lineRule="auto"/>
        <w:ind w:firstLine="560"/>
        <w:rPr>
          <w:rFonts w:ascii="宋体" w:hAnsi="宋体"/>
          <w:color w:val="auto"/>
          <w:szCs w:val="22"/>
        </w:rPr>
      </w:pPr>
      <w:r>
        <w:rPr>
          <w:rFonts w:hint="eastAsia" w:ascii="宋体" w:hAnsi="宋体"/>
          <w:color w:val="auto"/>
          <w:szCs w:val="22"/>
        </w:rPr>
        <w:t>2、</w:t>
      </w:r>
      <w:r>
        <w:rPr>
          <w:rFonts w:ascii="宋体" w:hAnsi="宋体"/>
          <w:color w:val="auto"/>
          <w:szCs w:val="22"/>
        </w:rPr>
        <w:t>《三合一方案》设计</w:t>
      </w:r>
      <w:r>
        <w:rPr>
          <w:rFonts w:hint="eastAsia" w:ascii="宋体" w:hAnsi="宋体"/>
          <w:color w:val="auto"/>
          <w:szCs w:val="22"/>
        </w:rPr>
        <w:t>矿区</w:t>
      </w:r>
      <w:r>
        <w:rPr>
          <w:rFonts w:ascii="宋体" w:hAnsi="宋体"/>
          <w:color w:val="auto"/>
          <w:szCs w:val="22"/>
        </w:rPr>
        <w:t>道路</w:t>
      </w:r>
      <w:r>
        <w:rPr>
          <w:rFonts w:hint="eastAsia" w:ascii="宋体" w:hAnsi="宋体"/>
          <w:color w:val="auto"/>
          <w:szCs w:val="22"/>
        </w:rPr>
        <w:t>路面宽度4m</w:t>
      </w:r>
      <w:r>
        <w:rPr>
          <w:rFonts w:hint="eastAsia" w:hAnsi="宋体"/>
          <w:color w:val="auto"/>
        </w:rPr>
        <w:t>，不符合《厂矿道路设计规范GBJ22-87》要求，</w:t>
      </w:r>
      <w:r>
        <w:rPr>
          <w:rFonts w:ascii="宋体" w:hAnsi="宋体"/>
          <w:color w:val="auto"/>
          <w:szCs w:val="22"/>
        </w:rPr>
        <w:t>建议下一步设计中</w:t>
      </w:r>
      <w:r>
        <w:rPr>
          <w:rFonts w:hint="eastAsia" w:ascii="宋体" w:hAnsi="宋体"/>
          <w:color w:val="auto"/>
          <w:szCs w:val="22"/>
        </w:rPr>
        <w:t>按要求完善</w:t>
      </w:r>
      <w:r>
        <w:rPr>
          <w:rFonts w:ascii="宋体" w:hAnsi="宋体"/>
          <w:color w:val="auto"/>
          <w:szCs w:val="22"/>
        </w:rPr>
        <w:t>。</w:t>
      </w:r>
    </w:p>
    <w:p>
      <w:pPr>
        <w:wordWrap/>
        <w:spacing w:line="360" w:lineRule="auto"/>
        <w:ind w:firstLine="560"/>
        <w:rPr>
          <w:rFonts w:ascii="宋体" w:hAnsi="宋体"/>
          <w:bCs/>
          <w:color w:val="auto"/>
          <w:szCs w:val="22"/>
        </w:rPr>
      </w:pPr>
      <w:r>
        <w:rPr>
          <w:rFonts w:hint="eastAsia" w:ascii="宋体" w:hAnsi="宋体"/>
          <w:bCs/>
          <w:color w:val="auto"/>
          <w:szCs w:val="22"/>
        </w:rPr>
        <w:t>3、矿山应按规程要求自上而下分台阶开采，并修建上山运输公路至上部铲装运输平台，严禁掏采。</w:t>
      </w:r>
    </w:p>
    <w:p>
      <w:pPr>
        <w:wordWrap/>
        <w:spacing w:line="360" w:lineRule="auto"/>
        <w:ind w:firstLine="560"/>
        <w:rPr>
          <w:rFonts w:ascii="宋体" w:hAnsi="宋体"/>
          <w:bCs/>
          <w:color w:val="auto"/>
          <w:szCs w:val="22"/>
        </w:rPr>
      </w:pPr>
      <w:r>
        <w:rPr>
          <w:rFonts w:hint="eastAsia" w:ascii="宋体" w:hAnsi="宋体"/>
          <w:bCs/>
          <w:color w:val="auto"/>
          <w:szCs w:val="22"/>
        </w:rPr>
        <w:t>4、矿区运输应严格遵守《金属非金属矿山安全规程》中“汽车运输”相关规定，矿区路面质量必须符合相关规定，行车速度、车距、路口设施、防滑措施等必须符合规定。</w:t>
      </w:r>
    </w:p>
    <w:p>
      <w:pPr>
        <w:wordWrap/>
        <w:spacing w:line="360" w:lineRule="auto"/>
        <w:ind w:firstLine="560"/>
        <w:rPr>
          <w:rFonts w:ascii="宋体" w:hAnsi="宋体"/>
          <w:bCs/>
          <w:color w:val="auto"/>
          <w:szCs w:val="22"/>
        </w:rPr>
      </w:pPr>
      <w:r>
        <w:rPr>
          <w:rFonts w:hint="eastAsia" w:ascii="宋体" w:hAnsi="宋体"/>
          <w:bCs/>
          <w:color w:val="auto"/>
          <w:szCs w:val="22"/>
        </w:rPr>
        <w:t>5、山坡填方的弯道、坡度较大的填方地段外侧应设置护拦、挡车墙等。</w:t>
      </w:r>
    </w:p>
    <w:p>
      <w:pPr>
        <w:wordWrap/>
        <w:spacing w:line="360" w:lineRule="auto"/>
        <w:ind w:firstLine="560"/>
        <w:rPr>
          <w:rFonts w:ascii="宋体" w:hAnsi="宋体"/>
          <w:bCs/>
          <w:color w:val="auto"/>
          <w:szCs w:val="22"/>
        </w:rPr>
      </w:pPr>
      <w:r>
        <w:rPr>
          <w:rFonts w:hint="eastAsia" w:ascii="宋体" w:hAnsi="宋体"/>
          <w:bCs/>
          <w:color w:val="auto"/>
          <w:szCs w:val="22"/>
        </w:rPr>
        <w:t>6、道路应设路标，停车视距不小于20m，会车视距不小于40m。</w:t>
      </w:r>
    </w:p>
    <w:p>
      <w:pPr>
        <w:wordWrap/>
        <w:spacing w:line="360" w:lineRule="auto"/>
        <w:ind w:firstLine="560"/>
        <w:rPr>
          <w:rFonts w:ascii="宋体" w:hAnsi="宋体"/>
          <w:bCs/>
          <w:color w:val="auto"/>
          <w:szCs w:val="22"/>
        </w:rPr>
      </w:pPr>
      <w:r>
        <w:rPr>
          <w:rFonts w:hint="eastAsia" w:ascii="宋体" w:hAnsi="宋体"/>
          <w:bCs/>
          <w:color w:val="auto"/>
          <w:szCs w:val="22"/>
        </w:rPr>
        <w:t>7、会车时，必须降低车速，并应随时准备停车避让。严禁在单车道、桥梁、隧道、急转弯等处会车。</w:t>
      </w:r>
    </w:p>
    <w:p>
      <w:pPr>
        <w:wordWrap/>
        <w:spacing w:line="360" w:lineRule="auto"/>
        <w:ind w:firstLine="560"/>
        <w:rPr>
          <w:rFonts w:ascii="宋体" w:hAnsi="宋体"/>
          <w:bCs/>
          <w:color w:val="auto"/>
          <w:szCs w:val="22"/>
        </w:rPr>
      </w:pPr>
      <w:r>
        <w:rPr>
          <w:rFonts w:hint="eastAsia" w:ascii="宋体" w:hAnsi="宋体"/>
          <w:bCs/>
          <w:color w:val="auto"/>
          <w:szCs w:val="22"/>
        </w:rPr>
        <w:t>8、不应采用溜车方式发动车辆，下坡行驶不应空档滑行。在坡道上停车时，司机不应离车辆，并采取安全措施。</w:t>
      </w:r>
    </w:p>
    <w:p>
      <w:pPr>
        <w:keepNext/>
        <w:keepLines/>
        <w:spacing w:line="360" w:lineRule="auto"/>
        <w:ind w:firstLine="0" w:firstLineChars="0"/>
        <w:outlineLvl w:val="2"/>
        <w:rPr>
          <w:rFonts w:ascii="宋体" w:hAnsi="宋体"/>
          <w:b/>
          <w:color w:val="auto"/>
          <w:kern w:val="0"/>
          <w:sz w:val="32"/>
          <w:szCs w:val="32"/>
        </w:rPr>
      </w:pPr>
      <w:bookmarkStart w:id="225" w:name="_Toc237001811"/>
      <w:bookmarkStart w:id="226" w:name="_Toc240278569"/>
      <w:bookmarkStart w:id="227" w:name="_Toc240279533"/>
      <w:bookmarkStart w:id="228" w:name="_Toc342327335"/>
      <w:bookmarkStart w:id="229" w:name="_Toc331012720"/>
      <w:bookmarkStart w:id="230" w:name="_Toc25334379"/>
      <w:bookmarkStart w:id="231" w:name="_Toc27465"/>
      <w:bookmarkStart w:id="232" w:name="_Toc483662339"/>
      <w:r>
        <w:rPr>
          <w:rFonts w:hint="eastAsia" w:ascii="宋体" w:hAnsi="宋体"/>
          <w:b/>
          <w:color w:val="auto"/>
          <w:kern w:val="0"/>
          <w:sz w:val="32"/>
          <w:szCs w:val="32"/>
        </w:rPr>
        <w:t>4.</w:t>
      </w:r>
      <w:bookmarkEnd w:id="225"/>
      <w:bookmarkEnd w:id="226"/>
      <w:bookmarkEnd w:id="227"/>
      <w:r>
        <w:rPr>
          <w:rFonts w:hint="eastAsia" w:ascii="宋体" w:hAnsi="宋体"/>
          <w:b/>
          <w:color w:val="auto"/>
          <w:kern w:val="0"/>
          <w:sz w:val="32"/>
          <w:szCs w:val="32"/>
        </w:rPr>
        <w:t>3</w:t>
      </w:r>
      <w:bookmarkEnd w:id="228"/>
      <w:bookmarkEnd w:id="229"/>
      <w:bookmarkStart w:id="233" w:name="_Toc342327338"/>
      <w:bookmarkStart w:id="234" w:name="_Toc331012724"/>
      <w:r>
        <w:rPr>
          <w:rFonts w:hint="eastAsia" w:ascii="宋体" w:hAnsi="宋体"/>
          <w:b/>
          <w:color w:val="auto"/>
          <w:kern w:val="0"/>
          <w:sz w:val="32"/>
          <w:szCs w:val="32"/>
        </w:rPr>
        <w:t>露天采剥单元安全对策措施</w:t>
      </w:r>
      <w:bookmarkEnd w:id="233"/>
      <w:bookmarkEnd w:id="234"/>
      <w:r>
        <w:rPr>
          <w:rFonts w:hint="eastAsia" w:ascii="宋体" w:hAnsi="宋体"/>
          <w:b/>
          <w:color w:val="auto"/>
          <w:kern w:val="0"/>
          <w:sz w:val="32"/>
          <w:szCs w:val="32"/>
        </w:rPr>
        <w:t>及建议</w:t>
      </w:r>
      <w:bookmarkEnd w:id="230"/>
      <w:bookmarkEnd w:id="231"/>
      <w:bookmarkEnd w:id="232"/>
      <w:bookmarkStart w:id="235" w:name="_Toc331012725"/>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1、《三合一方案》中图纸不完善，建议下步设计中补充完善露天矿防、排水系统图。</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2、《三合一方案》中未提出矿区外应设置边界护栏及矿山警示标志等要求，建议下一步设计中补充完善。</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3、《三合一方案》未制定相应边坡处理措施，建议下一步设计中补充完善。</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4、《三合一方案》设计在采场周边迎水坡面适当位置开挖截水沟，截断地表径流，截水沟拟采用挖掘机开挖，过水断面上宽1m、底宽1m、沟深1m，人工维护疏通，总长约1214m；建议下一步设计中应计算采场外汇水面积完善截水沟设计参数。</w:t>
      </w:r>
    </w:p>
    <w:p>
      <w:pPr>
        <w:wordWrap/>
        <w:spacing w:line="360" w:lineRule="auto"/>
        <w:ind w:firstLine="560"/>
        <w:rPr>
          <w:rFonts w:ascii="宋体" w:hAnsi="宋体"/>
          <w:bCs/>
          <w:color w:val="auto"/>
          <w:szCs w:val="22"/>
        </w:rPr>
      </w:pPr>
      <w:r>
        <w:rPr>
          <w:rFonts w:hint="eastAsia" w:ascii="宋体" w:hAnsi="宋体"/>
          <w:bCs/>
          <w:color w:val="auto"/>
          <w:szCs w:val="22"/>
        </w:rPr>
        <w:t>5、必</w:t>
      </w:r>
      <w:r>
        <w:rPr>
          <w:rFonts w:hint="eastAsia" w:ascii="宋体" w:hAnsi="宋体"/>
          <w:color w:val="auto"/>
          <w:szCs w:val="22"/>
        </w:rPr>
        <w:t>须修建上山公路至顶部台阶，采用自上而下逐层开采顺序，严禁陡帮开采。</w:t>
      </w:r>
    </w:p>
    <w:p>
      <w:pPr>
        <w:wordWrap/>
        <w:spacing w:line="360" w:lineRule="auto"/>
        <w:ind w:firstLine="560"/>
        <w:rPr>
          <w:rFonts w:ascii="宋体" w:hAnsi="宋体"/>
          <w:bCs/>
          <w:color w:val="auto"/>
          <w:szCs w:val="22"/>
        </w:rPr>
      </w:pPr>
      <w:r>
        <w:rPr>
          <w:rFonts w:hint="eastAsia" w:ascii="宋体" w:hAnsi="宋体"/>
          <w:bCs/>
          <w:color w:val="auto"/>
          <w:szCs w:val="22"/>
        </w:rPr>
        <w:t>6、按《金属非金属矿山安全规程》的规定，对有坍塌危险的地段，开采工作面有浮石或有坍塌危险的隐患时，必须立即排除妥善处理。未经处理，不得在浮石下危险区从事其它任何作业，并需制作醒目的危险标志，禁止任何人员在台阶（边坡）底部休息和停留。</w:t>
      </w:r>
    </w:p>
    <w:p>
      <w:pPr>
        <w:wordWrap/>
        <w:spacing w:line="360" w:lineRule="auto"/>
        <w:ind w:firstLine="560"/>
        <w:rPr>
          <w:rFonts w:ascii="宋体" w:hAnsi="宋体"/>
          <w:bCs/>
          <w:color w:val="auto"/>
          <w:szCs w:val="22"/>
        </w:rPr>
      </w:pPr>
      <w:r>
        <w:rPr>
          <w:rFonts w:hint="eastAsia" w:ascii="宋体" w:hAnsi="宋体"/>
          <w:bCs/>
          <w:color w:val="auto"/>
          <w:szCs w:val="22"/>
        </w:rPr>
        <w:t>7、采场必须有专人负责边帮（开采工作面、台阶坡面、边坡坡面）的管理，并应形成制度，有记录、建档案，边帮管理人员发现有坍滑征兆时，有权下令停止采剥作业，撤出人员和设备，事后及时向矿负责人报告，防止坍滑事故发生。</w:t>
      </w:r>
    </w:p>
    <w:p>
      <w:pPr>
        <w:wordWrap/>
        <w:spacing w:line="360" w:lineRule="auto"/>
        <w:ind w:firstLine="560"/>
        <w:rPr>
          <w:rFonts w:ascii="宋体" w:hAnsi="宋体"/>
          <w:bCs/>
          <w:color w:val="auto"/>
          <w:szCs w:val="22"/>
        </w:rPr>
      </w:pPr>
      <w:r>
        <w:rPr>
          <w:rFonts w:hint="eastAsia" w:ascii="宋体" w:hAnsi="宋体"/>
          <w:bCs/>
          <w:color w:val="auto"/>
          <w:szCs w:val="22"/>
        </w:rPr>
        <w:t>8、坍塌、滑坡事故，既有天然因素，更有人为原因。虽然露天矿山的矿床地质、水文地质为简单类型，工程地质</w:t>
      </w:r>
      <w:r>
        <w:rPr>
          <w:rFonts w:hint="eastAsia" w:ascii="宋体" w:hAnsi="宋体" w:cs="宋体"/>
          <w:color w:val="auto"/>
          <w:kern w:val="0"/>
          <w:szCs w:val="28"/>
        </w:rPr>
        <w:t>中等类型</w:t>
      </w:r>
      <w:r>
        <w:rPr>
          <w:rFonts w:hint="eastAsia" w:ascii="宋体" w:hAnsi="宋体"/>
          <w:bCs/>
          <w:color w:val="auto"/>
          <w:szCs w:val="22"/>
        </w:rPr>
        <w:t>，矿体相对稳定，岩石力学性质较好，但也要引起高度重视，尤其要加强管理，严格安全技术措施，认真执行有关规定、规程和规范，建立制度，注重观测，消除隐患，确保安全。</w:t>
      </w:r>
    </w:p>
    <w:p>
      <w:pPr>
        <w:wordWrap/>
        <w:spacing w:line="360" w:lineRule="auto"/>
        <w:ind w:firstLine="560"/>
        <w:rPr>
          <w:rFonts w:ascii="宋体" w:hAnsi="宋体"/>
          <w:bCs/>
          <w:color w:val="auto"/>
          <w:szCs w:val="22"/>
        </w:rPr>
      </w:pPr>
      <w:r>
        <w:rPr>
          <w:rFonts w:hint="eastAsia" w:ascii="宋体" w:hAnsi="宋体"/>
          <w:bCs/>
          <w:color w:val="auto"/>
          <w:szCs w:val="22"/>
        </w:rPr>
        <w:t>9、作业时，任何人不得在铲斗下面以及工作面底帮附近停留。</w:t>
      </w:r>
    </w:p>
    <w:p>
      <w:pPr>
        <w:wordWrap/>
        <w:spacing w:line="360" w:lineRule="auto"/>
        <w:ind w:firstLine="560"/>
        <w:rPr>
          <w:rFonts w:ascii="宋体" w:hAnsi="宋体"/>
          <w:color w:val="auto"/>
          <w:sz w:val="21"/>
          <w:szCs w:val="22"/>
        </w:rPr>
      </w:pPr>
      <w:r>
        <w:rPr>
          <w:rFonts w:hint="eastAsia" w:ascii="宋体" w:hAnsi="宋体"/>
          <w:bCs/>
          <w:color w:val="auto"/>
          <w:szCs w:val="22"/>
        </w:rPr>
        <w:t>10、铲车汽笛或警报器应完好，进行各种操作时，均应发出警告信号。</w:t>
      </w:r>
      <w:bookmarkEnd w:id="235"/>
      <w:bookmarkStart w:id="236" w:name="_Toc331012726"/>
      <w:bookmarkStart w:id="237" w:name="_Toc342327346"/>
      <w:bookmarkStart w:id="238" w:name="_Toc483662341"/>
    </w:p>
    <w:bookmarkEnd w:id="236"/>
    <w:bookmarkEnd w:id="237"/>
    <w:bookmarkEnd w:id="238"/>
    <w:p>
      <w:pPr>
        <w:keepNext/>
        <w:keepLines/>
        <w:spacing w:line="360" w:lineRule="auto"/>
        <w:ind w:firstLine="0" w:firstLineChars="0"/>
        <w:outlineLvl w:val="2"/>
        <w:rPr>
          <w:rFonts w:ascii="宋体" w:hAnsi="宋体"/>
          <w:b/>
          <w:color w:val="auto"/>
          <w:kern w:val="0"/>
          <w:sz w:val="32"/>
          <w:szCs w:val="32"/>
        </w:rPr>
      </w:pPr>
      <w:bookmarkStart w:id="239" w:name="_Toc342327347"/>
      <w:bookmarkStart w:id="240" w:name="_Toc331012727"/>
      <w:bookmarkStart w:id="241" w:name="_Toc25334381"/>
      <w:bookmarkStart w:id="242" w:name="_Toc5147"/>
      <w:bookmarkStart w:id="243" w:name="_Toc483662342"/>
      <w:r>
        <w:rPr>
          <w:rFonts w:hint="eastAsia" w:ascii="宋体" w:hAnsi="宋体"/>
          <w:b/>
          <w:color w:val="auto"/>
          <w:kern w:val="0"/>
          <w:sz w:val="32"/>
          <w:szCs w:val="32"/>
        </w:rPr>
        <w:t>4.4防排水单元安全对策措施</w:t>
      </w:r>
      <w:bookmarkEnd w:id="239"/>
      <w:bookmarkEnd w:id="240"/>
      <w:r>
        <w:rPr>
          <w:rFonts w:hint="eastAsia" w:ascii="宋体" w:hAnsi="宋体"/>
          <w:b/>
          <w:color w:val="auto"/>
          <w:kern w:val="0"/>
          <w:sz w:val="32"/>
          <w:szCs w:val="32"/>
        </w:rPr>
        <w:t>及建议</w:t>
      </w:r>
      <w:bookmarkEnd w:id="241"/>
      <w:bookmarkEnd w:id="242"/>
      <w:bookmarkEnd w:id="243"/>
      <w:r>
        <w:rPr>
          <w:rFonts w:hint="eastAsia" w:ascii="宋体" w:hAnsi="宋体"/>
          <w:b/>
          <w:color w:val="auto"/>
          <w:kern w:val="0"/>
          <w:sz w:val="32"/>
          <w:szCs w:val="32"/>
        </w:rPr>
        <w:tab/>
      </w:r>
    </w:p>
    <w:p>
      <w:pPr>
        <w:numPr>
          <w:ilvl w:val="0"/>
          <w:numId w:val="16"/>
        </w:numPr>
        <w:wordWrap/>
        <w:spacing w:line="360" w:lineRule="auto"/>
        <w:ind w:firstLine="560"/>
        <w:rPr>
          <w:rFonts w:ascii="宋体" w:hAnsi="宋体"/>
          <w:color w:val="auto"/>
          <w:szCs w:val="28"/>
        </w:rPr>
      </w:pPr>
      <w:r>
        <w:rPr>
          <w:rFonts w:hint="eastAsia" w:ascii="宋体" w:hAnsi="宋体"/>
          <w:color w:val="auto"/>
          <w:szCs w:val="28"/>
        </w:rPr>
        <w:t>《三合一方案》未设计凹陷机械排水设施，建议下一步设计中计算采场汇水面积，完善采场排水系统补充凹陷排水设施并提出相关安全对策措施。</w:t>
      </w:r>
    </w:p>
    <w:p>
      <w:pPr>
        <w:wordWrap/>
        <w:spacing w:line="360" w:lineRule="auto"/>
        <w:ind w:firstLine="560"/>
        <w:rPr>
          <w:rFonts w:ascii="宋体" w:hAnsi="宋体"/>
          <w:bCs/>
          <w:color w:val="auto"/>
          <w:szCs w:val="22"/>
        </w:rPr>
      </w:pPr>
      <w:bookmarkStart w:id="244" w:name="_Toc342327348"/>
      <w:bookmarkStart w:id="245" w:name="_Toc331012728"/>
      <w:r>
        <w:rPr>
          <w:rFonts w:hint="eastAsia" w:ascii="宋体" w:hAnsi="宋体"/>
          <w:bCs/>
          <w:color w:val="auto"/>
          <w:szCs w:val="22"/>
        </w:rPr>
        <w:t>2、认真执行防治水方案，做好采场内排水和预防周围向采场汇水等工作。</w:t>
      </w:r>
    </w:p>
    <w:p>
      <w:pPr>
        <w:wordWrap/>
        <w:spacing w:line="360" w:lineRule="auto"/>
        <w:ind w:firstLine="560"/>
        <w:rPr>
          <w:rFonts w:ascii="宋体" w:hAnsi="宋体"/>
          <w:bCs/>
          <w:color w:val="auto"/>
          <w:szCs w:val="22"/>
        </w:rPr>
      </w:pPr>
      <w:r>
        <w:rPr>
          <w:rFonts w:hint="eastAsia" w:ascii="宋体" w:hAnsi="宋体"/>
          <w:bCs/>
          <w:color w:val="auto"/>
          <w:szCs w:val="22"/>
        </w:rPr>
        <w:t>3、结合采场周边地形情况，布置好截水沟、排水沟，确保水沟材质，断面符合设计要求。</w:t>
      </w:r>
    </w:p>
    <w:p>
      <w:pPr>
        <w:wordWrap/>
        <w:spacing w:line="360" w:lineRule="auto"/>
        <w:ind w:firstLine="560"/>
        <w:rPr>
          <w:rFonts w:ascii="宋体" w:hAnsi="宋体"/>
          <w:bCs/>
          <w:color w:val="auto"/>
          <w:szCs w:val="22"/>
        </w:rPr>
      </w:pPr>
      <w:r>
        <w:rPr>
          <w:rFonts w:hint="eastAsia" w:ascii="宋体" w:hAnsi="宋体"/>
          <w:bCs/>
          <w:color w:val="auto"/>
          <w:szCs w:val="22"/>
        </w:rPr>
        <w:t>4、水沟应经常检查、清淤，不应出现渗漏或漫流，保持畅通。</w:t>
      </w:r>
    </w:p>
    <w:bookmarkEnd w:id="244"/>
    <w:bookmarkEnd w:id="245"/>
    <w:p>
      <w:pPr>
        <w:keepNext/>
        <w:keepLines/>
        <w:spacing w:line="360" w:lineRule="auto"/>
        <w:ind w:firstLine="0" w:firstLineChars="0"/>
        <w:outlineLvl w:val="2"/>
        <w:rPr>
          <w:color w:val="auto"/>
          <w:sz w:val="32"/>
          <w:szCs w:val="32"/>
        </w:rPr>
      </w:pPr>
      <w:bookmarkStart w:id="246" w:name="_Toc27183"/>
      <w:r>
        <w:rPr>
          <w:rFonts w:hint="eastAsia" w:ascii="宋体" w:hAnsi="宋体"/>
          <w:b/>
          <w:color w:val="auto"/>
          <w:kern w:val="0"/>
          <w:sz w:val="32"/>
          <w:szCs w:val="32"/>
        </w:rPr>
        <w:t>4.5安全管理单元安全对策措施及建议</w:t>
      </w:r>
      <w:bookmarkEnd w:id="246"/>
    </w:p>
    <w:p>
      <w:pPr>
        <w:wordWrap/>
        <w:spacing w:line="360" w:lineRule="auto"/>
        <w:ind w:firstLine="840" w:firstLineChars="300"/>
        <w:rPr>
          <w:rFonts w:ascii="宋体" w:hAnsi="宋体"/>
          <w:color w:val="auto"/>
          <w:szCs w:val="22"/>
        </w:rPr>
      </w:pPr>
      <w:bookmarkStart w:id="247" w:name="_Toc240279536"/>
      <w:bookmarkStart w:id="248" w:name="_Toc136506120"/>
      <w:bookmarkStart w:id="249" w:name="_Toc331012739"/>
      <w:bookmarkStart w:id="250" w:name="_Toc240278572"/>
      <w:bookmarkStart w:id="251" w:name="_Toc342327354"/>
      <w:r>
        <w:rPr>
          <w:rFonts w:hint="eastAsia" w:ascii="宋体" w:hAnsi="宋体"/>
          <w:color w:val="auto"/>
          <w:szCs w:val="22"/>
        </w:rPr>
        <w:t>1、安全管理</w:t>
      </w:r>
      <w:bookmarkEnd w:id="247"/>
      <w:bookmarkEnd w:id="248"/>
      <w:bookmarkEnd w:id="249"/>
      <w:bookmarkEnd w:id="250"/>
      <w:bookmarkEnd w:id="251"/>
    </w:p>
    <w:p>
      <w:pPr>
        <w:wordWrap/>
        <w:spacing w:line="360" w:lineRule="auto"/>
        <w:ind w:firstLine="560"/>
        <w:rPr>
          <w:rFonts w:ascii="宋体" w:hAnsi="宋体"/>
          <w:color w:val="auto"/>
        </w:rPr>
      </w:pPr>
      <w:bookmarkStart w:id="252" w:name="_Toc342327355"/>
      <w:bookmarkStart w:id="253" w:name="_Toc136506121"/>
      <w:bookmarkStart w:id="254" w:name="_Toc240279537"/>
      <w:bookmarkStart w:id="255" w:name="_Toc331012740"/>
      <w:bookmarkStart w:id="256" w:name="_Toc240278573"/>
      <w:bookmarkStart w:id="257" w:name="_Toc240278574"/>
      <w:bookmarkStart w:id="258" w:name="_Toc240279538"/>
      <w:bookmarkStart w:id="259" w:name="_Toc136506122"/>
      <w:bookmarkStart w:id="260" w:name="_Toc331012741"/>
      <w:bookmarkStart w:id="261" w:name="_Toc342327356"/>
      <w:r>
        <w:rPr>
          <w:rFonts w:hint="eastAsia" w:ascii="宋体" w:hAnsi="宋体"/>
          <w:color w:val="auto"/>
          <w:szCs w:val="28"/>
        </w:rPr>
        <w:t>（1）该矿山需要尽快制订安全管理制度和安全操作规程及应急预案等。</w:t>
      </w:r>
    </w:p>
    <w:p>
      <w:pPr>
        <w:wordWrap/>
        <w:spacing w:line="360" w:lineRule="auto"/>
        <w:ind w:firstLine="560"/>
        <w:rPr>
          <w:rFonts w:ascii="宋体" w:hAnsi="宋体" w:cs="宋体"/>
          <w:color w:val="auto"/>
          <w:szCs w:val="28"/>
        </w:rPr>
      </w:pPr>
      <w:r>
        <w:rPr>
          <w:rFonts w:hint="eastAsia" w:ascii="宋体" w:hAnsi="宋体"/>
          <w:color w:val="auto"/>
          <w:szCs w:val="28"/>
        </w:rPr>
        <w:t>（2）</w:t>
      </w:r>
      <w:r>
        <w:rPr>
          <w:rFonts w:hint="eastAsia" w:ascii="宋体" w:hAnsi="宋体" w:cs="宋体"/>
          <w:color w:val="auto"/>
          <w:szCs w:val="28"/>
        </w:rPr>
        <w:t>应按要求对企业从业人员进行安全教育培训并记录。</w:t>
      </w:r>
    </w:p>
    <w:p>
      <w:pPr>
        <w:wordWrap/>
        <w:spacing w:line="360" w:lineRule="auto"/>
        <w:ind w:firstLine="560"/>
        <w:rPr>
          <w:rFonts w:ascii="宋体" w:hAnsi="宋体" w:cs="宋体"/>
          <w:color w:val="auto"/>
          <w:szCs w:val="28"/>
        </w:rPr>
      </w:pPr>
      <w:r>
        <w:rPr>
          <w:rFonts w:hint="eastAsia" w:ascii="宋体" w:hAnsi="宋体"/>
          <w:color w:val="auto"/>
          <w:szCs w:val="28"/>
        </w:rPr>
        <w:t>（3）</w:t>
      </w:r>
      <w:r>
        <w:rPr>
          <w:rFonts w:hint="eastAsia" w:ascii="宋体" w:hAnsi="宋体" w:cs="宋体"/>
          <w:color w:val="auto"/>
          <w:szCs w:val="28"/>
        </w:rPr>
        <w:t>企业特种作业人员应参加培训并经考核通过后持证上岗作业。</w:t>
      </w:r>
    </w:p>
    <w:p>
      <w:pPr>
        <w:wordWrap/>
        <w:spacing w:line="360" w:lineRule="auto"/>
        <w:ind w:firstLine="560"/>
        <w:rPr>
          <w:rFonts w:ascii="宋体" w:hAnsi="宋体" w:cs="宋体"/>
          <w:color w:val="auto"/>
          <w:szCs w:val="28"/>
        </w:rPr>
      </w:pPr>
      <w:r>
        <w:rPr>
          <w:rFonts w:hint="eastAsia" w:ascii="宋体" w:hAnsi="宋体"/>
          <w:color w:val="auto"/>
          <w:szCs w:val="28"/>
        </w:rPr>
        <w:t>（4）</w:t>
      </w:r>
      <w:r>
        <w:rPr>
          <w:rFonts w:hint="eastAsia" w:ascii="宋体" w:hAnsi="宋体" w:cs="宋体"/>
          <w:color w:val="auto"/>
          <w:szCs w:val="28"/>
        </w:rPr>
        <w:t>企业应与附近救护队签订矿山救护协议。</w:t>
      </w:r>
    </w:p>
    <w:p>
      <w:pPr>
        <w:wordWrap/>
        <w:spacing w:line="360" w:lineRule="auto"/>
        <w:ind w:firstLine="560"/>
        <w:rPr>
          <w:rFonts w:ascii="宋体" w:hAnsi="宋体" w:cs="宋体"/>
          <w:color w:val="auto"/>
          <w:szCs w:val="28"/>
        </w:rPr>
      </w:pPr>
      <w:r>
        <w:rPr>
          <w:rFonts w:hint="eastAsia" w:ascii="宋体" w:hAnsi="宋体"/>
          <w:color w:val="auto"/>
          <w:szCs w:val="28"/>
        </w:rPr>
        <w:t>（5）</w:t>
      </w:r>
      <w:r>
        <w:rPr>
          <w:rFonts w:hint="eastAsia" w:ascii="宋体" w:hAnsi="宋体" w:cs="宋体"/>
          <w:color w:val="auto"/>
          <w:szCs w:val="28"/>
        </w:rPr>
        <w:t>企业应配备救援装备及物资。</w:t>
      </w:r>
    </w:p>
    <w:p>
      <w:pPr>
        <w:wordWrap/>
        <w:spacing w:line="360" w:lineRule="auto"/>
        <w:ind w:firstLine="560"/>
        <w:rPr>
          <w:rFonts w:ascii="宋体" w:hAnsi="宋体"/>
          <w:color w:val="auto"/>
          <w:szCs w:val="22"/>
        </w:rPr>
      </w:pPr>
      <w:r>
        <w:rPr>
          <w:rFonts w:hint="eastAsia" w:ascii="宋体" w:hAnsi="宋体"/>
          <w:color w:val="auto"/>
          <w:szCs w:val="22"/>
        </w:rPr>
        <w:t>2、安全教育培训</w:t>
      </w:r>
      <w:bookmarkEnd w:id="252"/>
      <w:bookmarkEnd w:id="253"/>
      <w:bookmarkEnd w:id="254"/>
      <w:bookmarkEnd w:id="255"/>
      <w:bookmarkEnd w:id="256"/>
    </w:p>
    <w:p>
      <w:pPr>
        <w:wordWrap/>
        <w:spacing w:line="360" w:lineRule="auto"/>
        <w:ind w:firstLine="280" w:firstLineChars="100"/>
        <w:rPr>
          <w:rFonts w:ascii="宋体" w:hAnsi="宋体"/>
          <w:bCs/>
          <w:color w:val="auto"/>
          <w:szCs w:val="22"/>
        </w:rPr>
      </w:pPr>
      <w:r>
        <w:rPr>
          <w:rFonts w:hint="eastAsia" w:ascii="宋体" w:hAnsi="宋体"/>
          <w:color w:val="auto"/>
          <w:szCs w:val="28"/>
        </w:rPr>
        <w:t>（1）</w:t>
      </w:r>
      <w:r>
        <w:rPr>
          <w:rFonts w:hint="eastAsia" w:ascii="宋体" w:hAnsi="宋体"/>
          <w:bCs/>
          <w:color w:val="auto"/>
          <w:szCs w:val="22"/>
        </w:rPr>
        <w:t>矿山在组织设计施工、投入生产（试运行）前，应组织相关从业人员参加安全教育培训，取证后方可上岗作业。</w:t>
      </w:r>
    </w:p>
    <w:p>
      <w:pPr>
        <w:wordWrap/>
        <w:spacing w:line="360" w:lineRule="auto"/>
        <w:ind w:firstLine="280" w:firstLineChars="100"/>
        <w:rPr>
          <w:rFonts w:ascii="宋体" w:hAnsi="宋体"/>
          <w:bCs/>
          <w:color w:val="auto"/>
          <w:szCs w:val="22"/>
        </w:rPr>
      </w:pPr>
      <w:r>
        <w:rPr>
          <w:rFonts w:hint="eastAsia" w:ascii="宋体" w:hAnsi="宋体"/>
          <w:color w:val="auto"/>
          <w:szCs w:val="28"/>
        </w:rPr>
        <w:t>（2）</w:t>
      </w:r>
      <w:r>
        <w:rPr>
          <w:rFonts w:hint="eastAsia" w:ascii="宋体" w:hAnsi="宋体"/>
          <w:bCs/>
          <w:color w:val="auto"/>
          <w:szCs w:val="22"/>
        </w:rPr>
        <w:t>矿山必须对新上岗的临时工、合同工、劳务工、轮换工、协议工等进行强制性安全培训，保证其具备本岗位安全操作、自救互救以及应急处置所需的知识和技能后，方能安排上岗作业。</w:t>
      </w:r>
    </w:p>
    <w:bookmarkEnd w:id="257"/>
    <w:bookmarkEnd w:id="258"/>
    <w:bookmarkEnd w:id="259"/>
    <w:bookmarkEnd w:id="260"/>
    <w:bookmarkEnd w:id="261"/>
    <w:p>
      <w:pPr>
        <w:wordWrap/>
        <w:spacing w:line="360" w:lineRule="auto"/>
        <w:ind w:firstLine="560"/>
        <w:rPr>
          <w:rFonts w:ascii="宋体" w:hAnsi="宋体"/>
          <w:color w:val="auto"/>
          <w:szCs w:val="22"/>
        </w:rPr>
      </w:pPr>
      <w:bookmarkStart w:id="262" w:name="_Toc136506123"/>
      <w:bookmarkStart w:id="263" w:name="_Toc240279539"/>
      <w:bookmarkStart w:id="264" w:name="_Toc331012742"/>
      <w:bookmarkStart w:id="265" w:name="_Toc240278575"/>
      <w:bookmarkStart w:id="266" w:name="_Toc342327357"/>
      <w:r>
        <w:rPr>
          <w:rFonts w:hint="eastAsia" w:ascii="宋体" w:hAnsi="宋体"/>
          <w:color w:val="auto"/>
          <w:szCs w:val="22"/>
        </w:rPr>
        <w:t>3、安全生产检查</w:t>
      </w:r>
      <w:bookmarkEnd w:id="262"/>
      <w:bookmarkEnd w:id="263"/>
      <w:bookmarkEnd w:id="264"/>
      <w:bookmarkEnd w:id="265"/>
      <w:bookmarkEnd w:id="266"/>
    </w:p>
    <w:p>
      <w:pPr>
        <w:wordWrap/>
        <w:spacing w:line="360" w:lineRule="auto"/>
        <w:ind w:firstLine="560"/>
        <w:rPr>
          <w:rFonts w:ascii="宋体" w:hAnsi="宋体"/>
          <w:color w:val="auto"/>
          <w:szCs w:val="22"/>
        </w:rPr>
      </w:pPr>
      <w:r>
        <w:rPr>
          <w:rFonts w:ascii="宋体" w:hAnsi="宋体"/>
          <w:color w:val="auto"/>
          <w:szCs w:val="22"/>
        </w:rPr>
        <w:t>安全检查是安全生产管理工作的一项重要内容，它是安全生产工作中运用群众路线的方法，发现不安全状态和不安全行为的有效途径，是消除事故隐患、落实整改措施、防止事故、改善劳动安全生产条件的重要手段。矿区应按规程要求正常开展矿级、班组级安全检查工作，并做好矿级、班组级安全检查情况及隐患整改情况记录。</w:t>
      </w:r>
    </w:p>
    <w:p>
      <w:pPr>
        <w:wordWrap/>
        <w:spacing w:line="360" w:lineRule="auto"/>
        <w:ind w:firstLine="560"/>
        <w:rPr>
          <w:rFonts w:ascii="宋体" w:hAnsi="宋体"/>
          <w:color w:val="auto"/>
          <w:szCs w:val="22"/>
        </w:rPr>
      </w:pPr>
      <w:bookmarkStart w:id="267" w:name="_Toc240279540"/>
      <w:bookmarkStart w:id="268" w:name="_Toc240278576"/>
      <w:bookmarkStart w:id="269" w:name="_Toc342327358"/>
      <w:bookmarkStart w:id="270" w:name="_Toc136506124"/>
      <w:bookmarkStart w:id="271" w:name="_Toc331012743"/>
      <w:r>
        <w:rPr>
          <w:rFonts w:hint="eastAsia" w:ascii="宋体" w:hAnsi="宋体"/>
          <w:color w:val="auto"/>
          <w:szCs w:val="22"/>
        </w:rPr>
        <w:t>4、生产安全费用及工伤保险</w:t>
      </w:r>
      <w:bookmarkEnd w:id="267"/>
      <w:bookmarkEnd w:id="268"/>
      <w:bookmarkEnd w:id="269"/>
      <w:bookmarkEnd w:id="270"/>
      <w:bookmarkEnd w:id="271"/>
    </w:p>
    <w:p>
      <w:pPr>
        <w:wordWrap/>
        <w:spacing w:line="360" w:lineRule="auto"/>
        <w:ind w:firstLine="280" w:firstLineChars="100"/>
        <w:rPr>
          <w:rFonts w:ascii="宋体" w:hAnsi="宋体"/>
          <w:color w:val="auto"/>
          <w:szCs w:val="22"/>
        </w:rPr>
      </w:pPr>
      <w:r>
        <w:rPr>
          <w:rFonts w:hint="eastAsia" w:ascii="宋体" w:hAnsi="宋体"/>
          <w:color w:val="auto"/>
          <w:szCs w:val="22"/>
        </w:rPr>
        <w:t>（1）</w:t>
      </w:r>
      <w:r>
        <w:rPr>
          <w:rFonts w:ascii="宋体" w:hAnsi="宋体"/>
          <w:color w:val="auto"/>
          <w:szCs w:val="22"/>
        </w:rPr>
        <w:t>矿山</w:t>
      </w:r>
      <w:r>
        <w:rPr>
          <w:rFonts w:hint="eastAsia" w:ascii="宋体" w:hAnsi="宋体"/>
          <w:color w:val="auto"/>
          <w:szCs w:val="22"/>
        </w:rPr>
        <w:t>新建</w:t>
      </w:r>
      <w:r>
        <w:rPr>
          <w:rFonts w:ascii="宋体" w:hAnsi="宋体"/>
          <w:color w:val="auto"/>
          <w:szCs w:val="22"/>
        </w:rPr>
        <w:t>项目提取的安全费用应专款专用。</w:t>
      </w:r>
    </w:p>
    <w:p>
      <w:pPr>
        <w:wordWrap/>
        <w:spacing w:line="360" w:lineRule="auto"/>
        <w:ind w:firstLine="280" w:firstLineChars="100"/>
        <w:rPr>
          <w:rFonts w:ascii="宋体" w:hAnsi="宋体"/>
          <w:color w:val="auto"/>
          <w:szCs w:val="22"/>
        </w:rPr>
      </w:pPr>
      <w:r>
        <w:rPr>
          <w:rFonts w:hint="eastAsia" w:ascii="宋体" w:hAnsi="宋体"/>
          <w:color w:val="auto"/>
          <w:szCs w:val="22"/>
        </w:rPr>
        <w:t>（2）</w:t>
      </w:r>
      <w:r>
        <w:rPr>
          <w:rFonts w:ascii="宋体" w:hAnsi="宋体"/>
          <w:color w:val="auto"/>
          <w:szCs w:val="22"/>
        </w:rPr>
        <w:t>矿山必须参加</w:t>
      </w:r>
      <w:r>
        <w:rPr>
          <w:rFonts w:hint="eastAsia" w:ascii="宋体" w:hAnsi="宋体"/>
          <w:color w:val="auto"/>
          <w:szCs w:val="22"/>
        </w:rPr>
        <w:t>安全生产责任</w:t>
      </w:r>
      <w:r>
        <w:rPr>
          <w:rFonts w:ascii="宋体" w:hAnsi="宋体"/>
          <w:color w:val="auto"/>
          <w:szCs w:val="22"/>
        </w:rPr>
        <w:t>保险，为从业人员缴纳保险费用。</w:t>
      </w:r>
    </w:p>
    <w:p>
      <w:pPr>
        <w:wordWrap/>
        <w:spacing w:line="360" w:lineRule="auto"/>
        <w:ind w:firstLine="560"/>
        <w:rPr>
          <w:rFonts w:ascii="宋体" w:hAnsi="宋体"/>
          <w:color w:val="auto"/>
          <w:szCs w:val="22"/>
        </w:rPr>
      </w:pPr>
      <w:bookmarkStart w:id="272" w:name="_Toc342327359"/>
      <w:bookmarkStart w:id="273" w:name="_Toc330881925"/>
      <w:bookmarkStart w:id="274" w:name="_Toc331012744"/>
      <w:r>
        <w:rPr>
          <w:rFonts w:hint="eastAsia" w:ascii="宋体" w:hAnsi="宋体"/>
          <w:color w:val="auto"/>
          <w:szCs w:val="22"/>
        </w:rPr>
        <w:t>5、事故应急救援预案的编制</w:t>
      </w:r>
      <w:bookmarkEnd w:id="272"/>
      <w:bookmarkEnd w:id="273"/>
      <w:bookmarkEnd w:id="274"/>
    </w:p>
    <w:p>
      <w:pPr>
        <w:wordWrap/>
        <w:spacing w:line="360" w:lineRule="auto"/>
        <w:ind w:firstLine="280" w:firstLineChars="100"/>
        <w:rPr>
          <w:rFonts w:ascii="宋体" w:hAnsi="宋体"/>
          <w:color w:val="auto"/>
          <w:szCs w:val="22"/>
        </w:rPr>
      </w:pPr>
      <w:r>
        <w:rPr>
          <w:rFonts w:hint="eastAsia" w:ascii="宋体" w:hAnsi="宋体"/>
          <w:color w:val="auto"/>
          <w:szCs w:val="22"/>
        </w:rPr>
        <w:t>（1）矿山应</w:t>
      </w:r>
      <w:r>
        <w:rPr>
          <w:rFonts w:ascii="宋体" w:hAnsi="宋体"/>
          <w:color w:val="auto"/>
          <w:szCs w:val="22"/>
        </w:rPr>
        <w:t>结合生产工艺的特点，</w:t>
      </w:r>
      <w:r>
        <w:rPr>
          <w:rFonts w:hint="eastAsia" w:ascii="宋体" w:hAnsi="宋体"/>
          <w:color w:val="auto"/>
          <w:szCs w:val="22"/>
        </w:rPr>
        <w:t>按</w:t>
      </w:r>
      <w:r>
        <w:rPr>
          <w:rFonts w:ascii="宋体" w:hAnsi="宋体"/>
          <w:color w:val="auto"/>
          <w:szCs w:val="22"/>
        </w:rPr>
        <w:t>事故应急救援预案的编写</w:t>
      </w:r>
      <w:r>
        <w:rPr>
          <w:rFonts w:hint="eastAsia" w:ascii="宋体" w:hAnsi="宋体"/>
          <w:color w:val="auto"/>
          <w:szCs w:val="22"/>
        </w:rPr>
        <w:t>导则进行编写，并按要求报市应急管理局评审备案，再按预案要求定期组织演练，不断完善应急预案，并保存相关记录</w:t>
      </w:r>
      <w:r>
        <w:rPr>
          <w:rFonts w:ascii="宋体" w:hAnsi="宋体"/>
          <w:color w:val="auto"/>
          <w:szCs w:val="22"/>
        </w:rPr>
        <w:t>。</w:t>
      </w:r>
    </w:p>
    <w:p>
      <w:pPr>
        <w:wordWrap/>
        <w:spacing w:line="360" w:lineRule="auto"/>
        <w:ind w:firstLine="280" w:firstLineChars="100"/>
        <w:rPr>
          <w:rFonts w:ascii="宋体" w:hAnsi="宋体"/>
          <w:color w:val="auto"/>
          <w:szCs w:val="22"/>
        </w:rPr>
      </w:pPr>
      <w:r>
        <w:rPr>
          <w:rFonts w:hint="eastAsia" w:ascii="宋体" w:hAnsi="宋体"/>
          <w:color w:val="auto"/>
          <w:szCs w:val="22"/>
        </w:rPr>
        <w:t>（2）</w:t>
      </w:r>
      <w:r>
        <w:rPr>
          <w:rFonts w:ascii="宋体" w:hAnsi="宋体"/>
          <w:color w:val="auto"/>
          <w:szCs w:val="22"/>
        </w:rPr>
        <w:t>该工程建设方结合工程的具体情况，在该工程竣工验收前，编制切实可行</w:t>
      </w:r>
      <w:r>
        <w:rPr>
          <w:rFonts w:hint="eastAsia" w:ascii="宋体" w:hAnsi="宋体"/>
          <w:color w:val="auto"/>
          <w:szCs w:val="22"/>
        </w:rPr>
        <w:t>的</w:t>
      </w:r>
      <w:r>
        <w:rPr>
          <w:rFonts w:ascii="宋体" w:hAnsi="宋体"/>
          <w:color w:val="auto"/>
          <w:szCs w:val="22"/>
        </w:rPr>
        <w:t>事故应急预案，以起到事先对可能发生事故后的状态和后果进行预测，并制定救援措施，一旦发生异常情况，能根据事故应急救援预案，及时进行救援处理，最大限度地避免突发性重大事故发生和减轻事故所造成的损失。同时，又能及时地恢复生产。制定事故应急救援预案的步骤和过程如下：</w:t>
      </w:r>
    </w:p>
    <w:p>
      <w:pPr>
        <w:wordWrap/>
        <w:spacing w:line="360" w:lineRule="auto"/>
        <w:ind w:firstLine="560"/>
        <w:rPr>
          <w:rFonts w:ascii="宋体" w:hAnsi="宋体"/>
          <w:color w:val="auto"/>
          <w:szCs w:val="22"/>
        </w:rPr>
      </w:pPr>
      <w:r>
        <w:rPr>
          <w:rFonts w:hint="eastAsia" w:ascii="宋体" w:hAnsi="宋体"/>
          <w:color w:val="auto"/>
          <w:szCs w:val="22"/>
        </w:rPr>
        <w:t>1）</w:t>
      </w:r>
      <w:r>
        <w:rPr>
          <w:rFonts w:ascii="宋体" w:hAnsi="宋体"/>
          <w:color w:val="auto"/>
          <w:szCs w:val="22"/>
        </w:rPr>
        <w:t>应对已初步认定的危险场所和部位进行重大事故危险源的评估；</w:t>
      </w:r>
    </w:p>
    <w:p>
      <w:pPr>
        <w:wordWrap/>
        <w:spacing w:line="360" w:lineRule="auto"/>
        <w:ind w:firstLine="560"/>
        <w:rPr>
          <w:rFonts w:ascii="宋体" w:hAnsi="宋体"/>
          <w:color w:val="auto"/>
          <w:szCs w:val="22"/>
        </w:rPr>
      </w:pPr>
      <w:r>
        <w:rPr>
          <w:rFonts w:hint="eastAsia" w:ascii="宋体" w:hAnsi="宋体"/>
          <w:color w:val="auto"/>
          <w:szCs w:val="22"/>
        </w:rPr>
        <w:t>2）</w:t>
      </w:r>
      <w:r>
        <w:rPr>
          <w:rFonts w:ascii="宋体" w:hAnsi="宋体"/>
          <w:color w:val="auto"/>
          <w:szCs w:val="22"/>
        </w:rPr>
        <w:t>对所有被认定为重大危险源的部位或场所，应事先进行重大事故后定量预测；</w:t>
      </w:r>
    </w:p>
    <w:p>
      <w:pPr>
        <w:wordWrap/>
        <w:spacing w:line="360" w:lineRule="auto"/>
        <w:ind w:firstLine="560"/>
        <w:rPr>
          <w:rFonts w:ascii="宋体" w:hAnsi="宋体"/>
          <w:color w:val="auto"/>
          <w:szCs w:val="22"/>
        </w:rPr>
      </w:pPr>
      <w:r>
        <w:rPr>
          <w:rFonts w:hint="eastAsia" w:ascii="宋体" w:hAnsi="宋体"/>
          <w:color w:val="auto"/>
          <w:szCs w:val="22"/>
        </w:rPr>
        <w:t>3）</w:t>
      </w:r>
      <w:r>
        <w:rPr>
          <w:rFonts w:ascii="宋体" w:hAnsi="宋体"/>
          <w:color w:val="auto"/>
          <w:szCs w:val="22"/>
        </w:rPr>
        <w:t>依据分析预测，成立应急救援的组织机构和指导系统并建立联系网络；建立指挥系统和抢险分队责任制建立重大事故发生的报警信号系统。组织、培训抢险队伍和配备救助器材，以便在重大事故发生后，能及时按照提前制定重大事故应急救援预案进行救援，在短时间内使事故得到有效控制。此外，日常还要做好应急救援的各项准备工作，对全厂职工进行经常性的应急救援常识教育，落实岗位责任制和各项规章制度。同时还应建立以下相应制度：值班制度、检查制度、例会制度。</w:t>
      </w:r>
    </w:p>
    <w:p>
      <w:pPr>
        <w:keepNext/>
        <w:keepLines/>
        <w:spacing w:line="360" w:lineRule="auto"/>
        <w:ind w:firstLine="643"/>
        <w:outlineLvl w:val="0"/>
        <w:rPr>
          <w:rFonts w:ascii="宋体" w:hAnsi="宋体"/>
          <w:b/>
          <w:bCs/>
          <w:color w:val="auto"/>
          <w:kern w:val="44"/>
          <w:sz w:val="36"/>
          <w:szCs w:val="36"/>
        </w:rPr>
      </w:pPr>
      <w:bookmarkStart w:id="275" w:name="_Toc25334385"/>
      <w:r>
        <w:rPr>
          <w:rFonts w:ascii="宋体" w:hAnsi="宋体"/>
          <w:b/>
          <w:bCs/>
          <w:color w:val="auto"/>
          <w:kern w:val="44"/>
          <w:sz w:val="32"/>
          <w:szCs w:val="44"/>
        </w:rPr>
        <w:br w:type="page"/>
      </w:r>
      <w:bookmarkStart w:id="276" w:name="_Toc15111"/>
      <w:r>
        <w:rPr>
          <w:rFonts w:ascii="宋体" w:hAnsi="宋体"/>
          <w:b/>
          <w:bCs/>
          <w:color w:val="auto"/>
          <w:kern w:val="44"/>
          <w:sz w:val="36"/>
          <w:szCs w:val="36"/>
        </w:rPr>
        <w:t>5</w:t>
      </w:r>
      <w:r>
        <w:rPr>
          <w:rFonts w:hint="eastAsia" w:ascii="宋体" w:hAnsi="宋体"/>
          <w:b/>
          <w:bCs/>
          <w:color w:val="auto"/>
          <w:kern w:val="44"/>
          <w:sz w:val="36"/>
          <w:szCs w:val="36"/>
        </w:rPr>
        <w:t xml:space="preserve"> 安全预评价结</w:t>
      </w:r>
      <w:bookmarkEnd w:id="206"/>
      <w:r>
        <w:rPr>
          <w:rFonts w:hint="eastAsia" w:ascii="宋体" w:hAnsi="宋体"/>
          <w:b/>
          <w:bCs/>
          <w:color w:val="auto"/>
          <w:kern w:val="44"/>
          <w:sz w:val="36"/>
          <w:szCs w:val="36"/>
        </w:rPr>
        <w:t>论</w:t>
      </w:r>
      <w:bookmarkEnd w:id="207"/>
      <w:bookmarkEnd w:id="208"/>
      <w:bookmarkEnd w:id="209"/>
      <w:bookmarkEnd w:id="275"/>
      <w:bookmarkEnd w:id="276"/>
    </w:p>
    <w:p>
      <w:pPr>
        <w:spacing w:line="360" w:lineRule="auto"/>
        <w:ind w:firstLine="560"/>
        <w:rPr>
          <w:rFonts w:ascii="宋体" w:hAnsi="宋体" w:cs="宋体"/>
          <w:color w:val="auto"/>
          <w:szCs w:val="28"/>
        </w:rPr>
      </w:pPr>
      <w:r>
        <w:rPr>
          <w:rFonts w:hint="eastAsia" w:ascii="宋体" w:hAnsi="宋体" w:cs="宋体"/>
          <w:color w:val="auto"/>
        </w:rPr>
        <w:t>江西省万安县大坪矿区瓷土矿</w:t>
      </w:r>
      <w:r>
        <w:rPr>
          <w:rFonts w:hint="eastAsia" w:ascii="宋体" w:hAnsi="宋体" w:cs="宋体"/>
          <w:color w:val="auto"/>
          <w:szCs w:val="28"/>
        </w:rPr>
        <w:t>为新建矿山为完，善矿山安全设施“三同时”程序而编制本安全预评价报告。《三合一方案》拟建生产规模15万吨/年。该矿认真贯彻“安全第一、预防为主、综合治理”的方针，严格执行“三同时”的规定。在矿山开建前期，委托有资质的单位提交了“地质报告”和“三合一方案”及有关图纸。</w:t>
      </w:r>
    </w:p>
    <w:p>
      <w:pPr>
        <w:wordWrap/>
        <w:spacing w:line="360" w:lineRule="auto"/>
        <w:ind w:firstLine="560"/>
        <w:rPr>
          <w:rFonts w:ascii="宋体" w:hAnsi="宋体" w:cs="宋体"/>
          <w:color w:val="auto"/>
          <w:szCs w:val="28"/>
        </w:rPr>
      </w:pPr>
      <w:r>
        <w:rPr>
          <w:rFonts w:hint="eastAsia" w:ascii="宋体" w:hAnsi="宋体" w:cs="宋体"/>
          <w:color w:val="auto"/>
          <w:szCs w:val="28"/>
        </w:rPr>
        <w:t>1、主要危险有害因素</w:t>
      </w:r>
    </w:p>
    <w:p>
      <w:pPr>
        <w:wordWrap/>
        <w:spacing w:line="360" w:lineRule="auto"/>
        <w:ind w:firstLine="560"/>
        <w:rPr>
          <w:rFonts w:ascii="宋体" w:hAnsi="宋体" w:cs="宋体"/>
          <w:color w:val="auto"/>
          <w:szCs w:val="28"/>
        </w:rPr>
      </w:pPr>
      <w:r>
        <w:rPr>
          <w:rFonts w:hint="eastAsia" w:ascii="宋体" w:hAnsi="宋体" w:cs="宋体"/>
          <w:color w:val="auto"/>
          <w:szCs w:val="28"/>
        </w:rPr>
        <w:t>（1）按照事故分类的原则和类型，经识别分析，该项目可能存在的主要危险有害因素是：</w:t>
      </w:r>
      <w:r>
        <w:rPr>
          <w:rFonts w:hint="eastAsia" w:ascii="宋体" w:hAnsi="宋体" w:cs="宋体"/>
          <w:color w:val="auto"/>
        </w:rPr>
        <w:t>淹溺、火灾、</w:t>
      </w:r>
      <w:r>
        <w:rPr>
          <w:rFonts w:hint="eastAsia" w:ascii="宋体" w:hAnsi="宋体" w:cs="宋体"/>
          <w:color w:val="auto"/>
          <w:szCs w:val="28"/>
        </w:rPr>
        <w:t>滑坡、坍塌、机械伤害、高处坠落、物体打击、车辆伤害、粉尘、噪声与振动等11类。主要危险存在地点为：开采平台、运输道路及排土场。其中：坍塌、滑坡等为可能导致重大事故的危险、有害因素，是今后工作中重点防范的危险、有害因素。</w:t>
      </w:r>
    </w:p>
    <w:p>
      <w:pPr>
        <w:wordWrap/>
        <w:spacing w:line="360" w:lineRule="auto"/>
        <w:ind w:firstLine="560"/>
        <w:rPr>
          <w:rFonts w:ascii="宋体" w:hAnsi="宋体" w:cs="宋体"/>
          <w:color w:val="auto"/>
          <w:szCs w:val="28"/>
        </w:rPr>
      </w:pPr>
      <w:r>
        <w:rPr>
          <w:rFonts w:hint="eastAsia" w:ascii="宋体" w:hAnsi="宋体" w:cs="宋体"/>
          <w:color w:val="auto"/>
          <w:szCs w:val="28"/>
        </w:rPr>
        <w:t>（2）经辩识，新建项目尚不构成重大危险源申报条件。</w:t>
      </w:r>
    </w:p>
    <w:p>
      <w:pPr>
        <w:wordWrap/>
        <w:spacing w:line="360" w:lineRule="auto"/>
        <w:ind w:firstLine="560"/>
        <w:rPr>
          <w:rFonts w:ascii="宋体" w:hAnsi="宋体" w:cs="宋体"/>
          <w:color w:val="auto"/>
          <w:szCs w:val="28"/>
        </w:rPr>
      </w:pPr>
      <w:bookmarkStart w:id="277" w:name="_Toc29606"/>
      <w:bookmarkStart w:id="278" w:name="_Toc462673848"/>
      <w:r>
        <w:rPr>
          <w:rFonts w:hint="eastAsia" w:ascii="宋体" w:hAnsi="宋体" w:cs="宋体"/>
          <w:color w:val="auto"/>
          <w:szCs w:val="28"/>
        </w:rPr>
        <w:t>2、应重视的安全对策措施建议</w:t>
      </w:r>
    </w:p>
    <w:bookmarkEnd w:id="277"/>
    <w:bookmarkEnd w:id="278"/>
    <w:p>
      <w:pPr>
        <w:wordWrap/>
        <w:spacing w:line="360" w:lineRule="auto"/>
        <w:ind w:firstLine="560"/>
        <w:rPr>
          <w:rFonts w:ascii="宋体" w:hAnsi="宋体" w:cs="宋体"/>
          <w:color w:val="auto"/>
          <w:szCs w:val="22"/>
        </w:rPr>
      </w:pPr>
      <w:r>
        <w:rPr>
          <w:rFonts w:hint="eastAsia" w:ascii="宋体" w:hAnsi="宋体" w:cs="宋体"/>
          <w:color w:val="auto"/>
          <w:szCs w:val="28"/>
        </w:rPr>
        <w:t>（1）</w:t>
      </w:r>
      <w:r>
        <w:rPr>
          <w:rFonts w:hint="eastAsia" w:ascii="宋体" w:hAnsi="宋体" w:cs="宋体"/>
          <w:color w:val="auto"/>
          <w:szCs w:val="22"/>
        </w:rPr>
        <w:t>《三合一方案》未设计矿区生产、办公等辅助设施场地，未设计辅助设施消防系统，建议下一步设计中补充完善。</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（2）《三合一方案》未提出运输公设路安全设施，建议矿山下一步设计在转弯、陡峻的运输公路外侧增设路挡施，并完善安全警示标志、限速标志等。</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（3）《三合一方案》设计矿区道路路面宽度4m，不符合《厂矿道路设计规范GBJ22-87》要求，建议下一步设计中按要求完善。</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4）《三合一方案》设计生产规模15万吨/年，年工作日300天，每天1班，每班8小时，采矿许可证批复年生产规模为15万吨/年，建议下一步设计中应按采矿许可证批复的生产规模进行设计并根据年生产规模对铲装运输等设备进行选型，且考虑节假日、不良天气等因素，重新设计年工作天数。</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（5）《三合一方案》中图纸不完善，建议下步设计中补充完善露天矿防、排水系统图。</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（6）《三合一方案》中未提出矿区外应设置边界护栏及矿山警示标志等要求，建议下一步设计中补充完善。</w:t>
      </w:r>
    </w:p>
    <w:p>
      <w:pPr>
        <w:pStyle w:val="2"/>
        <w:spacing w:after="0" w:line="360" w:lineRule="auto"/>
        <w:ind w:left="0" w:leftChars="0" w:firstLine="560"/>
        <w:rPr>
          <w:rFonts w:ascii="宋体" w:hAnsi="宋体" w:cs="宋体"/>
          <w:color w:val="auto"/>
          <w:sz w:val="28"/>
          <w:szCs w:val="28"/>
        </w:rPr>
      </w:pPr>
      <w:r>
        <w:rPr>
          <w:rFonts w:hint="eastAsia" w:ascii="宋体" w:hAnsi="宋体" w:cs="宋体"/>
          <w:color w:val="auto"/>
          <w:sz w:val="28"/>
          <w:szCs w:val="28"/>
        </w:rPr>
        <w:t>（7）《三合一方案》未制定相应边坡处理措施，建议下一步设计中补充完善。</w:t>
      </w:r>
    </w:p>
    <w:p>
      <w:pPr>
        <w:pStyle w:val="20"/>
        <w:rPr>
          <w:rFonts w:cs="宋体"/>
          <w:color w:val="auto"/>
        </w:rPr>
      </w:pPr>
      <w:r>
        <w:rPr>
          <w:rFonts w:hint="eastAsia" w:cs="宋体"/>
          <w:color w:val="auto"/>
        </w:rPr>
        <w:t>（8）（三合一方案）未对供配电系统进行设计及未对相应的安全设施进行设计，建议下一步在设计中补充完善。</w:t>
      </w:r>
    </w:p>
    <w:p>
      <w:pPr>
        <w:wordWrap/>
        <w:spacing w:line="360" w:lineRule="auto"/>
        <w:ind w:firstLine="560"/>
        <w:rPr>
          <w:rFonts w:ascii="宋体" w:hAnsi="宋体" w:cs="宋体"/>
          <w:color w:val="auto"/>
          <w:szCs w:val="28"/>
        </w:rPr>
      </w:pPr>
      <w:r>
        <w:rPr>
          <w:rFonts w:hint="eastAsia" w:ascii="宋体" w:hAnsi="宋体" w:cs="宋体"/>
          <w:color w:val="auto"/>
          <w:szCs w:val="28"/>
        </w:rPr>
        <w:t>（9）《三合一方案》凹陷采区未设计机械排水设施，建议下一步设计中计算采场汇水面积，完善采场排水系统补充凹陷排水设施并提出相关安全对策措施。</w:t>
      </w:r>
    </w:p>
    <w:p>
      <w:pPr>
        <w:wordWrap/>
        <w:spacing w:line="360" w:lineRule="auto"/>
        <w:ind w:firstLine="560"/>
        <w:rPr>
          <w:rFonts w:ascii="宋体" w:hAnsi="宋体" w:cs="宋体"/>
          <w:color w:val="auto"/>
          <w:szCs w:val="28"/>
        </w:rPr>
      </w:pPr>
      <w:r>
        <w:rPr>
          <w:rFonts w:hint="eastAsia" w:ascii="宋体" w:hAnsi="宋体" w:cs="宋体"/>
          <w:color w:val="auto"/>
          <w:szCs w:val="28"/>
        </w:rPr>
        <w:t>本项目潜在的危险有害因素在采纳《三合一方案》和本评价报告提出的安全对策措施及建议后，可以得到有效控制，风险在可控范围内。</w:t>
      </w:r>
    </w:p>
    <w:p>
      <w:pPr>
        <w:wordWrap/>
        <w:spacing w:line="360" w:lineRule="auto"/>
        <w:ind w:firstLine="560"/>
        <w:rPr>
          <w:rFonts w:ascii="宋体" w:hAnsi="宋体" w:cs="宋体"/>
          <w:b/>
          <w:color w:val="auto"/>
          <w:szCs w:val="28"/>
        </w:rPr>
      </w:pPr>
      <w:bookmarkStart w:id="279" w:name="_Toc542"/>
      <w:bookmarkStart w:id="280" w:name="_Toc462673849"/>
      <w:r>
        <w:rPr>
          <w:rFonts w:hint="eastAsia" w:ascii="宋体" w:hAnsi="宋体" w:cs="宋体"/>
          <w:color w:val="auto"/>
          <w:szCs w:val="28"/>
        </w:rPr>
        <w:t>3、</w:t>
      </w:r>
      <w:bookmarkEnd w:id="279"/>
      <w:bookmarkEnd w:id="280"/>
      <w:r>
        <w:rPr>
          <w:rFonts w:hint="eastAsia" w:ascii="宋体" w:hAnsi="宋体" w:cs="宋体"/>
          <w:color w:val="auto"/>
          <w:szCs w:val="28"/>
        </w:rPr>
        <w:t>建项目符合国家安全生产法律、法规和行业安全、技术规程要求。新建项目投资少，产出快，技术可行，安全可靠。建项目中的各单元在采取安全措施的情况下，符合国家安全生产法律、法规和行业安全、技术规程要求。</w:t>
      </w:r>
    </w:p>
    <w:p>
      <w:pPr>
        <w:tabs>
          <w:tab w:val="left" w:pos="734"/>
        </w:tabs>
        <w:spacing w:line="360" w:lineRule="auto"/>
        <w:ind w:firstLine="562"/>
        <w:rPr>
          <w:rFonts w:ascii="宋体" w:hAnsi="宋体" w:cs="宋体"/>
          <w:b/>
          <w:color w:val="auto"/>
          <w:szCs w:val="28"/>
        </w:rPr>
      </w:pPr>
      <w:r>
        <w:rPr>
          <w:rFonts w:hint="eastAsia" w:ascii="宋体" w:hAnsi="宋体" w:cs="宋体"/>
          <w:b/>
          <w:color w:val="auto"/>
          <w:szCs w:val="28"/>
        </w:rPr>
        <w:t>综上所述：针对该项目在今后生产中存在的危险、危害因素，在下一步进行的《安全设施设计》中应充分采纳《三合一方案》及《安全预评价报告》中提出的安全对策措施，严格遵守《金属非金属矿山安全规程》的要求，则江西省万安县大坪矿区瓷土矿露天开采新建项目可以满足安全生产法律、法规和技术规程、标准和规范的要求，风险处在可控范围。</w:t>
      </w:r>
    </w:p>
    <w:p>
      <w:pPr>
        <w:pStyle w:val="2"/>
        <w:wordWrap/>
        <w:ind w:left="560"/>
        <w:rPr>
          <w:color w:val="auto"/>
          <w:szCs w:val="28"/>
        </w:rPr>
      </w:pPr>
    </w:p>
    <w:p>
      <w:pPr>
        <w:ind w:firstLine="560"/>
        <w:rPr>
          <w:color w:val="auto"/>
          <w:szCs w:val="28"/>
        </w:rPr>
      </w:pPr>
    </w:p>
    <w:p>
      <w:pPr>
        <w:pStyle w:val="2"/>
        <w:ind w:left="560"/>
        <w:rPr>
          <w:color w:val="auto"/>
          <w:szCs w:val="28"/>
        </w:rPr>
      </w:pPr>
    </w:p>
    <w:p>
      <w:pPr>
        <w:wordWrap/>
        <w:spacing w:line="360" w:lineRule="auto"/>
        <w:ind w:firstLine="0" w:firstLineChars="0"/>
        <w:outlineLvl w:val="0"/>
        <w:rPr>
          <w:b/>
          <w:color w:val="auto"/>
          <w:sz w:val="36"/>
          <w:szCs w:val="36"/>
        </w:rPr>
      </w:pPr>
      <w:bookmarkStart w:id="281" w:name="_Toc9153"/>
      <w:bookmarkStart w:id="282" w:name="_Toc16692"/>
      <w:r>
        <w:rPr>
          <w:rFonts w:hint="eastAsia"/>
          <w:b/>
          <w:color w:val="auto"/>
          <w:sz w:val="36"/>
          <w:szCs w:val="36"/>
        </w:rPr>
        <w:t>6附件</w:t>
      </w:r>
      <w:bookmarkEnd w:id="281"/>
      <w:bookmarkEnd w:id="282"/>
    </w:p>
    <w:p>
      <w:pPr>
        <w:spacing w:line="480" w:lineRule="exact"/>
        <w:ind w:firstLine="560"/>
        <w:rPr>
          <w:color w:val="auto"/>
          <w:szCs w:val="28"/>
        </w:rPr>
      </w:pPr>
      <w:r>
        <w:rPr>
          <w:rFonts w:hint="eastAsia"/>
          <w:color w:val="auto"/>
          <w:szCs w:val="28"/>
        </w:rPr>
        <w:t>1、营业执照</w:t>
      </w:r>
    </w:p>
    <w:p>
      <w:pPr>
        <w:spacing w:line="480" w:lineRule="exact"/>
        <w:ind w:firstLine="560"/>
        <w:rPr>
          <w:color w:val="auto"/>
          <w:szCs w:val="28"/>
        </w:rPr>
      </w:pPr>
      <w:r>
        <w:rPr>
          <w:rFonts w:hint="eastAsia"/>
          <w:color w:val="auto"/>
          <w:szCs w:val="28"/>
        </w:rPr>
        <w:t xml:space="preserve">2、采矿许可证  </w:t>
      </w:r>
    </w:p>
    <w:p>
      <w:pPr>
        <w:spacing w:line="480" w:lineRule="exact"/>
        <w:ind w:firstLine="560"/>
        <w:rPr>
          <w:color w:val="auto"/>
          <w:szCs w:val="28"/>
        </w:rPr>
      </w:pPr>
      <w:r>
        <w:rPr>
          <w:rFonts w:hint="eastAsia"/>
          <w:color w:val="auto"/>
          <w:szCs w:val="28"/>
        </w:rPr>
        <w:t>3、储量备案证明</w:t>
      </w:r>
    </w:p>
    <w:p>
      <w:pPr>
        <w:spacing w:line="480" w:lineRule="exact"/>
        <w:ind w:firstLine="560"/>
        <w:rPr>
          <w:color w:val="auto"/>
          <w:szCs w:val="28"/>
        </w:rPr>
      </w:pPr>
      <w:r>
        <w:rPr>
          <w:rFonts w:hint="eastAsia"/>
          <w:color w:val="auto"/>
          <w:szCs w:val="28"/>
        </w:rPr>
        <w:t>4、立项批复</w:t>
      </w:r>
      <w:bookmarkStart w:id="283" w:name="_Toc25424"/>
    </w:p>
    <w:p>
      <w:pPr>
        <w:spacing w:line="480" w:lineRule="exact"/>
        <w:ind w:firstLine="0" w:firstLineChars="0"/>
        <w:outlineLvl w:val="0"/>
        <w:rPr>
          <w:b/>
          <w:color w:val="auto"/>
          <w:sz w:val="36"/>
          <w:szCs w:val="36"/>
        </w:rPr>
      </w:pPr>
      <w:bookmarkStart w:id="284" w:name="_Toc11968"/>
      <w:r>
        <w:rPr>
          <w:rFonts w:hint="eastAsia"/>
          <w:b/>
          <w:color w:val="auto"/>
          <w:sz w:val="36"/>
          <w:szCs w:val="36"/>
        </w:rPr>
        <w:t>7附图</w:t>
      </w:r>
      <w:bookmarkEnd w:id="283"/>
      <w:bookmarkEnd w:id="284"/>
    </w:p>
    <w:p>
      <w:pPr>
        <w:spacing w:line="480" w:lineRule="exact"/>
        <w:ind w:firstLine="560"/>
        <w:rPr>
          <w:color w:val="auto"/>
          <w:szCs w:val="28"/>
        </w:rPr>
      </w:pPr>
      <w:r>
        <w:rPr>
          <w:rFonts w:hint="eastAsia"/>
          <w:color w:val="auto"/>
          <w:szCs w:val="28"/>
        </w:rPr>
        <w:t>1、地形地质图。</w:t>
      </w:r>
    </w:p>
    <w:p>
      <w:pPr>
        <w:spacing w:line="480" w:lineRule="exact"/>
        <w:ind w:firstLine="560"/>
        <w:rPr>
          <w:color w:val="auto"/>
          <w:szCs w:val="28"/>
        </w:rPr>
      </w:pPr>
      <w:r>
        <w:rPr>
          <w:rFonts w:hint="eastAsia"/>
          <w:color w:val="auto"/>
          <w:szCs w:val="28"/>
        </w:rPr>
        <w:t>2、最终境界及总平面布置图。</w:t>
      </w:r>
    </w:p>
    <w:p>
      <w:pPr>
        <w:spacing w:line="480" w:lineRule="exact"/>
        <w:ind w:firstLine="560"/>
        <w:rPr>
          <w:color w:val="auto"/>
        </w:rPr>
      </w:pPr>
      <w:r>
        <w:rPr>
          <w:rFonts w:hint="eastAsia"/>
          <w:color w:val="auto"/>
          <w:szCs w:val="28"/>
        </w:rPr>
        <w:t>3、最终剖面图。</w:t>
      </w:r>
    </w:p>
    <w:sectPr>
      <w:headerReference r:id="rId17" w:type="default"/>
      <w:footerReference r:id="rId18" w:type="default"/>
      <w:pgSz w:w="11905" w:h="16838"/>
      <w:pgMar w:top="1417" w:right="1417" w:bottom="1417" w:left="1417" w:header="850" w:footer="85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方正小标宋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ind w:firstLine="2730" w:firstLineChars="1300"/>
      <w:rPr>
        <w:rFonts w:ascii="宋体" w:hAnsi="宋体" w:cs="宋体"/>
        <w:sz w:val="21"/>
        <w:szCs w:val="21"/>
      </w:rPr>
    </w:pPr>
    <w:r>
      <w:rPr>
        <w:rFonts w:hint="eastAsia" w:ascii="宋体" w:hAnsi="宋体" w:cs="宋体"/>
        <w:sz w:val="21"/>
        <w:szCs w:val="21"/>
      </w:rPr>
      <w:t>江西赣安安全生产科学技术咨询服务中心               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tabs>
        <w:tab w:val="clear" w:pos="4153"/>
      </w:tabs>
      <w:spacing w:line="240" w:lineRule="auto"/>
      <w:ind w:firstLine="0" w:firstLineChars="0"/>
      <w:jc w:val="center"/>
      <w:rPr>
        <w:rFonts w:hAnsi="宋体"/>
        <w:sz w:val="21"/>
        <w:szCs w:val="21"/>
      </w:rPr>
    </w:pPr>
    <w:r>
      <w:rPr>
        <w:rFonts w:hint="eastAsia"/>
      </w:rPr>
      <w:t xml:space="preserve">江西赣安安全生产科学技术咨询服务中心                </w:t>
    </w:r>
    <w:r>
      <w:fldChar w:fldCharType="begin"/>
    </w:r>
    <w:r>
      <w:instrText xml:space="preserve"> PAGE   \* MERGEFORMAT </w:instrText>
    </w:r>
    <w:r>
      <w:fldChar w:fldCharType="separate"/>
    </w:r>
    <w:r>
      <w:rPr>
        <w:lang w:val="zh-CN"/>
      </w:rPr>
      <w:t>VIII</w:t>
    </w:r>
    <w:r>
      <w:rPr>
        <w:lang w:val="zh-CN"/>
      </w:rPr>
      <w:fldChar w:fldCharType="end"/>
    </w:r>
    <w:r>
      <w:rPr>
        <w:rFonts w:hint="eastAsia"/>
      </w:rPr>
      <w:t xml:space="preserve">                                APJ-（赣）-002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ind w:firstLine="360"/>
      <w:rPr>
        <w:rStyle w:val="39"/>
      </w:rPr>
    </w:pPr>
    <w:r>
      <w:fldChar w:fldCharType="begin"/>
    </w:r>
    <w:r>
      <w:rPr>
        <w:rStyle w:val="39"/>
      </w:rPr>
      <w:instrText xml:space="preserve">PAGE  </w:instrText>
    </w:r>
    <w:r>
      <w:fldChar w:fldCharType="end"/>
    </w:r>
  </w:p>
  <w:p>
    <w:pPr>
      <w:pStyle w:val="22"/>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tabs>
        <w:tab w:val="clear" w:pos="4153"/>
      </w:tabs>
      <w:spacing w:line="240" w:lineRule="auto"/>
      <w:ind w:firstLine="0" w:firstLineChars="0"/>
      <w:jc w:val="center"/>
      <w:rPr>
        <w:rFonts w:hAnsi="宋体"/>
        <w:sz w:val="21"/>
        <w:szCs w:val="21"/>
      </w:rPr>
    </w:pPr>
    <w:r>
      <w:rPr>
        <w:rFonts w:hint="eastAsia"/>
      </w:rPr>
      <w:t xml:space="preserve">江西赣安安全生产科学技术咨询服务中心                </w:t>
    </w:r>
    <w:r>
      <w:fldChar w:fldCharType="begin"/>
    </w:r>
    <w:r>
      <w:instrText xml:space="preserve"> PAGE   \* MERGEFORMAT </w:instrText>
    </w:r>
    <w:r>
      <w:fldChar w:fldCharType="separate"/>
    </w:r>
    <w:r>
      <w:rPr>
        <w:lang w:val="zh-CN"/>
      </w:rPr>
      <w:t>22</w:t>
    </w:r>
    <w:r>
      <w:rPr>
        <w:lang w:val="zh-CN"/>
      </w:rPr>
      <w:fldChar w:fldCharType="end"/>
    </w:r>
    <w:r>
      <w:rPr>
        <w:rFonts w:hint="eastAsia"/>
      </w:rPr>
      <w:t xml:space="preserve">                             APJ-（赣）-002</w:t>
    </w:r>
  </w:p>
  <w:p>
    <w:pPr>
      <w:spacing w:line="1" w:lineRule="exact"/>
      <w:ind w:firstLine="560"/>
    </w:pPr>
  </w:p>
  <w:p>
    <w:pPr>
      <w:spacing w:line="1" w:lineRule="exact"/>
      <w:ind w:firstLine="5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tabs>
        <w:tab w:val="clear" w:pos="4153"/>
      </w:tabs>
      <w:spacing w:line="240" w:lineRule="auto"/>
      <w:ind w:firstLine="0" w:firstLineChars="0"/>
      <w:jc w:val="center"/>
      <w:rPr>
        <w:rFonts w:hAnsi="宋体"/>
        <w:sz w:val="21"/>
        <w:szCs w:val="21"/>
      </w:rPr>
    </w:pPr>
    <w:r>
      <w:rPr>
        <w:rFonts w:hint="eastAsia"/>
      </w:rPr>
      <w:t xml:space="preserve">江西赣安安全生产科学技术咨询服务中心                </w:t>
    </w:r>
    <w:r>
      <w:fldChar w:fldCharType="begin"/>
    </w:r>
    <w:r>
      <w:instrText xml:space="preserve"> PAGE   \* MERGEFORMAT </w:instrText>
    </w:r>
    <w:r>
      <w:fldChar w:fldCharType="separate"/>
    </w:r>
    <w:r>
      <w:rPr>
        <w:lang w:val="zh-CN"/>
      </w:rPr>
      <w:t>1</w:t>
    </w:r>
    <w:r>
      <w:rPr>
        <w:lang w:val="zh-CN"/>
      </w:rPr>
      <w:fldChar w:fldCharType="end"/>
    </w:r>
    <w:r>
      <w:rPr>
        <w:rFonts w:hint="eastAsia"/>
      </w:rPr>
      <w:t xml:space="preserve">                              APJ-（赣）-002</w:t>
    </w:r>
  </w:p>
  <w:p>
    <w:pPr>
      <w:spacing w:line="1" w:lineRule="exact"/>
      <w:ind w:firstLine="5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tabs>
        <w:tab w:val="clear" w:pos="4153"/>
      </w:tabs>
      <w:spacing w:line="240" w:lineRule="auto"/>
      <w:ind w:firstLine="0" w:firstLineChars="0"/>
      <w:jc w:val="center"/>
      <w:rPr>
        <w:rFonts w:hAnsi="宋体"/>
        <w:sz w:val="21"/>
        <w:szCs w:val="21"/>
      </w:rPr>
    </w:pPr>
    <w:r>
      <w:rPr>
        <w:rFonts w:hint="eastAsia"/>
      </w:rPr>
      <w:t xml:space="preserve">江西赣安安全生产科学技术咨询服务中心                </w:t>
    </w:r>
    <w:r>
      <w:fldChar w:fldCharType="begin"/>
    </w:r>
    <w:r>
      <w:instrText xml:space="preserve"> PAGE   \* MERGEFORMAT </w:instrText>
    </w:r>
    <w:r>
      <w:fldChar w:fldCharType="separate"/>
    </w:r>
    <w:r>
      <w:rPr>
        <w:lang w:val="zh-CN"/>
      </w:rPr>
      <w:t>24</w:t>
    </w:r>
    <w:r>
      <w:rPr>
        <w:lang w:val="zh-CN"/>
      </w:rPr>
      <w:fldChar w:fldCharType="end"/>
    </w:r>
    <w:r>
      <w:rPr>
        <w:rFonts w:hint="eastAsia"/>
      </w:rPr>
      <w:t xml:space="preserve">                             APJ-（赣）-002</w:t>
    </w:r>
  </w:p>
  <w:p>
    <w:pPr>
      <w:spacing w:line="1" w:lineRule="exact"/>
      <w:ind w:firstLine="560"/>
    </w:pPr>
  </w:p>
  <w:p>
    <w:pPr>
      <w:spacing w:line="1" w:lineRule="exact"/>
      <w:ind w:firstLine="560"/>
    </w:pPr>
  </w:p>
  <w:p>
    <w:pPr>
      <w:spacing w:line="1" w:lineRule="exact"/>
      <w:ind w:firstLine="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tabs>
        <w:tab w:val="clear" w:pos="4153"/>
      </w:tabs>
      <w:spacing w:line="240" w:lineRule="auto"/>
      <w:ind w:firstLine="0" w:firstLineChars="0"/>
      <w:jc w:val="both"/>
      <w:rPr>
        <w:rFonts w:hAnsi="宋体"/>
        <w:sz w:val="21"/>
        <w:szCs w:val="21"/>
      </w:rPr>
    </w:pPr>
    <w:r>
      <w:rPr>
        <w:rFonts w:hint="eastAsia"/>
      </w:rPr>
      <w:t xml:space="preserve">江西赣安安全生产科学技术咨询服务中心                </w:t>
    </w:r>
    <w:r>
      <w:fldChar w:fldCharType="begin"/>
    </w:r>
    <w:r>
      <w:instrText xml:space="preserve"> PAGE   \* MERGEFORMAT </w:instrText>
    </w:r>
    <w:r>
      <w:fldChar w:fldCharType="separate"/>
    </w:r>
    <w:r>
      <w:rPr>
        <w:lang w:val="zh-CN"/>
      </w:rPr>
      <w:t>25</w:t>
    </w:r>
    <w:r>
      <w:rPr>
        <w:lang w:val="zh-CN"/>
      </w:rPr>
      <w:fldChar w:fldCharType="end"/>
    </w:r>
    <w:r>
      <w:rPr>
        <w:rFonts w:hint="eastAsia"/>
      </w:rPr>
      <w:t xml:space="preserve">                                 APJ-（赣）-002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0"/>
      </w:pBdr>
      <w:tabs>
        <w:tab w:val="clear" w:pos="4153"/>
      </w:tabs>
      <w:spacing w:line="240" w:lineRule="auto"/>
      <w:ind w:firstLine="0" w:firstLineChars="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ind w:firstLine="360"/>
                          </w:pPr>
                          <w:r>
                            <w:fldChar w:fldCharType="begin"/>
                          </w:r>
                          <w:r>
                            <w:instrText xml:space="preserve"> PAGE  \* MERGEFORMAT </w:instrText>
                          </w:r>
                          <w:r>
                            <w:fldChar w:fldCharType="separate"/>
                          </w:r>
                          <w:r>
                            <w:t>71</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LVrrEutAQAATAMA&#10;AA4AAAAAAAAAAQAgAAAAHgEAAGRycy9lMm9Eb2MueG1sUEsFBgAAAAAGAAYAWQEAAD0FAAAAAA==&#10;">
              <v:fill on="f" focussize="0,0"/>
              <v:stroke on="f"/>
              <v:imagedata o:title=""/>
              <o:lock v:ext="edit" aspectratio="f"/>
              <v:textbox inset="0mm,0mm,0mm,0mm" style="mso-fit-shape-to-text:t;">
                <w:txbxContent>
                  <w:p>
                    <w:pPr>
                      <w:pStyle w:val="22"/>
                      <w:ind w:firstLine="360"/>
                    </w:pPr>
                    <w:r>
                      <w:fldChar w:fldCharType="begin"/>
                    </w:r>
                    <w:r>
                      <w:instrText xml:space="preserve"> PAGE  \* MERGEFORMAT </w:instrText>
                    </w:r>
                    <w:r>
                      <w:fldChar w:fldCharType="separate"/>
                    </w:r>
                    <w:r>
                      <w:t>71</w:t>
                    </w:r>
                    <w:r>
                      <w:fldChar w:fldCharType="end"/>
                    </w:r>
                  </w:p>
                </w:txbxContent>
              </v:textbox>
            </v:shape>
          </w:pict>
        </mc:Fallback>
      </mc:AlternateContent>
    </w:r>
    <w:r>
      <w:rPr>
        <w:rFonts w:hint="eastAsia"/>
      </w:rPr>
      <w:t xml:space="preserve">江西赣安安全生产科学技术咨询服务中心                                               APJ-（赣）-002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rPr>
        <w:rFonts w:hint="eastAsia" w:eastAsia="宋体"/>
        <w:sz w:val="13"/>
        <w:szCs w:val="13"/>
        <w:u w:val="single"/>
        <w:lang w:val="en-US" w:eastAsia="zh-CN"/>
      </w:rPr>
    </w:pPr>
    <w:r>
      <w:rPr>
        <w:rFonts w:hint="eastAsia" w:ascii="宋体" w:hAnsi="宋体"/>
        <w:color w:val="000000"/>
        <w:sz w:val="18"/>
        <w:szCs w:val="18"/>
        <w:u w:val="single"/>
      </w:rPr>
      <w:t>万安县顺祥矿业有限公司江西省万安县大坪矿区瓷土矿15万吨/年露天开采新建项目安全预评价报告</w:t>
    </w:r>
    <w:r>
      <w:rPr>
        <w:rFonts w:hint="eastAsia" w:ascii="宋体" w:hAnsi="宋体"/>
        <w:color w:val="000000"/>
        <w:sz w:val="13"/>
        <w:szCs w:val="13"/>
        <w:u w:val="single"/>
        <w:lang w:val="en-US" w:eastAsia="zh-CN"/>
      </w:rPr>
      <w:t>GAAP[2023]0213号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rPr>
        <w:szCs w:val="21"/>
      </w:rPr>
    </w:pPr>
  </w:p>
  <w:p>
    <w:pPr>
      <w:pStyle w:val="25"/>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rPr>
        <w:rFonts w:hint="eastAsia" w:ascii="宋体" w:hAnsi="宋体"/>
        <w:color w:val="000000"/>
        <w:sz w:val="18"/>
        <w:szCs w:val="18"/>
        <w:u w:val="single"/>
      </w:rPr>
      <w:t>万安县顺祥矿业有限公司江西省万安县大坪矿区瓷土矿15万吨/年露天开采新建项目安全预评价报告</w:t>
    </w:r>
    <w:r>
      <w:rPr>
        <w:rFonts w:hint="eastAsia" w:ascii="宋体" w:hAnsi="宋体"/>
        <w:color w:val="000000"/>
        <w:sz w:val="13"/>
        <w:szCs w:val="13"/>
        <w:u w:val="single"/>
        <w:lang w:val="en-US" w:eastAsia="zh-CN"/>
      </w:rPr>
      <w:t>GAAP[2023]0213号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rPr>
        <w:sz w:val="13"/>
        <w:szCs w:val="13"/>
      </w:rPr>
    </w:pPr>
    <w:r>
      <w:rPr>
        <w:rFonts w:hint="eastAsia" w:ascii="宋体" w:hAnsi="宋体"/>
        <w:color w:val="000000"/>
        <w:sz w:val="18"/>
        <w:szCs w:val="18"/>
        <w:u w:val="single"/>
      </w:rPr>
      <w:t>万安县顺祥矿业有限公司江西省万安县大坪矿区瓷土矿15万吨/年露天开采新建项目安全预评价报告</w:t>
    </w:r>
    <w:r>
      <w:rPr>
        <w:rFonts w:hint="eastAsia" w:ascii="宋体" w:hAnsi="宋体"/>
        <w:color w:val="000000"/>
        <w:sz w:val="13"/>
        <w:szCs w:val="13"/>
        <w:u w:val="single"/>
      </w:rPr>
      <w:t>GAAP[2023]0213号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ind w:firstLine="360"/>
      <w:rPr>
        <w:rFonts w:ascii="等线" w:hAnsi="等线" w:eastAsia="等线"/>
        <w:sz w:val="18"/>
        <w:szCs w:val="18"/>
      </w:rPr>
    </w:pPr>
    <w:r>
      <w:rPr>
        <w:rFonts w:hint="eastAsia" w:ascii="等线" w:hAnsi="宋体" w:eastAsia="等线"/>
        <w:sz w:val="18"/>
        <w:szCs w:val="18"/>
      </w:rPr>
      <w:t>乐平市众埠牛栏窝瓷土矿II号矿体露天开采工程安全预评价报告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rPr>
        <w:sz w:val="13"/>
        <w:szCs w:val="13"/>
      </w:rPr>
    </w:pPr>
    <w:r>
      <w:rPr>
        <w:rFonts w:hint="eastAsia" w:ascii="宋体" w:hAnsi="宋体"/>
        <w:color w:val="000000"/>
        <w:sz w:val="18"/>
        <w:szCs w:val="18"/>
        <w:u w:val="single"/>
      </w:rPr>
      <w:t>万安县顺祥矿业有限公司江西省万安县大坪矿区瓷土矿15万吨/年露天开采新建项目安全预评价报告</w:t>
    </w:r>
    <w:r>
      <w:rPr>
        <w:rFonts w:hint="eastAsia" w:ascii="宋体" w:hAnsi="宋体"/>
        <w:color w:val="000000"/>
        <w:sz w:val="13"/>
        <w:szCs w:val="13"/>
        <w:u w:val="single"/>
      </w:rPr>
      <w:t>GAAP[2023]0213号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E"/>
    <w:multiLevelType w:val="multilevel"/>
    <w:tmpl w:val="0000000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15"/>
    <w:multiLevelType w:val="multilevel"/>
    <w:tmpl w:val="0000001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D"/>
    <w:multiLevelType w:val="multilevel"/>
    <w:tmpl w:val="0000001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20"/>
    <w:multiLevelType w:val="multilevel"/>
    <w:tmpl w:val="0000002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5DE0EB8"/>
    <w:multiLevelType w:val="multilevel"/>
    <w:tmpl w:val="15DE0EB8"/>
    <w:lvl w:ilvl="0" w:tentative="0">
      <w:start w:val="1"/>
      <w:numFmt w:val="decimal"/>
      <w:lvlText w:val="（%1）"/>
      <w:lvlJc w:val="right"/>
      <w:pPr>
        <w:ind w:left="155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3366363"/>
    <w:multiLevelType w:val="multilevel"/>
    <w:tmpl w:val="33366363"/>
    <w:lvl w:ilvl="0" w:tentative="0">
      <w:start w:val="1"/>
      <w:numFmt w:val="decimal"/>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AE35DAD"/>
    <w:multiLevelType w:val="multilevel"/>
    <w:tmpl w:val="3AE35DAD"/>
    <w:lvl w:ilvl="0" w:tentative="0">
      <w:start w:val="1"/>
      <w:numFmt w:val="decimal"/>
      <w:lvlText w:val="（%1）"/>
      <w:lvlJc w:val="right"/>
      <w:pPr>
        <w:ind w:left="126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B72D8FB"/>
    <w:multiLevelType w:val="singleLevel"/>
    <w:tmpl w:val="3B72D8FB"/>
    <w:lvl w:ilvl="0" w:tentative="0">
      <w:start w:val="1"/>
      <w:numFmt w:val="decimal"/>
      <w:suff w:val="nothing"/>
      <w:lvlText w:val="%1、"/>
      <w:lvlJc w:val="left"/>
    </w:lvl>
  </w:abstractNum>
  <w:abstractNum w:abstractNumId="9">
    <w:nsid w:val="4B374DE7"/>
    <w:multiLevelType w:val="multilevel"/>
    <w:tmpl w:val="4B374DE7"/>
    <w:lvl w:ilvl="0" w:tentative="0">
      <w:start w:val="1"/>
      <w:numFmt w:val="decimal"/>
      <w:lvlText w:val="（%1）"/>
      <w:lvlJc w:val="right"/>
      <w:pPr>
        <w:ind w:left="439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44CF038"/>
    <w:multiLevelType w:val="singleLevel"/>
    <w:tmpl w:val="544CF038"/>
    <w:lvl w:ilvl="0" w:tentative="0">
      <w:start w:val="1"/>
      <w:numFmt w:val="decimal"/>
      <w:suff w:val="nothing"/>
      <w:lvlText w:val="%1、"/>
      <w:lvlJc w:val="left"/>
    </w:lvl>
  </w:abstractNum>
  <w:abstractNum w:abstractNumId="11">
    <w:nsid w:val="544CF531"/>
    <w:multiLevelType w:val="singleLevel"/>
    <w:tmpl w:val="544CF531"/>
    <w:lvl w:ilvl="0" w:tentative="0">
      <w:start w:val="1"/>
      <w:numFmt w:val="decimal"/>
      <w:suff w:val="nothing"/>
      <w:lvlText w:val="%1、"/>
      <w:lvlJc w:val="left"/>
    </w:lvl>
  </w:abstractNum>
  <w:abstractNum w:abstractNumId="12">
    <w:nsid w:val="61FB32EB"/>
    <w:multiLevelType w:val="multilevel"/>
    <w:tmpl w:val="61FB32EB"/>
    <w:lvl w:ilvl="0" w:tentative="0">
      <w:start w:val="1"/>
      <w:numFmt w:val="decimal"/>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33EA133"/>
    <w:multiLevelType w:val="singleLevel"/>
    <w:tmpl w:val="633EA133"/>
    <w:lvl w:ilvl="0" w:tentative="0">
      <w:start w:val="1"/>
      <w:numFmt w:val="decimal"/>
      <w:suff w:val="nothing"/>
      <w:lvlText w:val="%1、"/>
      <w:lvlJc w:val="left"/>
    </w:lvl>
  </w:abstractNum>
  <w:abstractNum w:abstractNumId="14">
    <w:nsid w:val="64376A36"/>
    <w:multiLevelType w:val="multilevel"/>
    <w:tmpl w:val="64376A36"/>
    <w:lvl w:ilvl="0" w:tentative="0">
      <w:start w:val="1"/>
      <w:numFmt w:val="decimal"/>
      <w:lvlText w:val="（%1）"/>
      <w:lvlJc w:val="right"/>
      <w:pPr>
        <w:ind w:left="1260" w:hanging="420"/>
      </w:pPr>
      <w:rPr>
        <w:rFonts w:hint="eastAsia"/>
      </w:rPr>
    </w:lvl>
    <w:lvl w:ilvl="1" w:tentative="0">
      <w:start w:val="2"/>
      <w:numFmt w:val="decimalEnclosedCircle"/>
      <w:lvlText w:val="%2"/>
      <w:lvlJc w:val="left"/>
      <w:pPr>
        <w:ind w:left="780" w:hanging="360"/>
      </w:pPr>
      <w:rPr>
        <w:rFonts w:hint="default" w:ascii="Times New Roman" w:hAnsi="Times New Roman" w:eastAsia="仿宋"/>
        <w:color w:val="00000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90B17E6"/>
    <w:multiLevelType w:val="singleLevel"/>
    <w:tmpl w:val="790B17E6"/>
    <w:lvl w:ilvl="0" w:tentative="0">
      <w:start w:val="1"/>
      <w:numFmt w:val="decimal"/>
      <w:suff w:val="nothing"/>
      <w:lvlText w:val="%1、"/>
      <w:lvlJc w:val="left"/>
    </w:lvl>
  </w:abstractNum>
  <w:num w:numId="1">
    <w:abstractNumId w:val="5"/>
  </w:num>
  <w:num w:numId="2">
    <w:abstractNumId w:val="6"/>
  </w:num>
  <w:num w:numId="3">
    <w:abstractNumId w:val="12"/>
  </w:num>
  <w:num w:numId="4">
    <w:abstractNumId w:val="9"/>
  </w:num>
  <w:num w:numId="5">
    <w:abstractNumId w:val="7"/>
  </w:num>
  <w:num w:numId="6">
    <w:abstractNumId w:val="14"/>
  </w:num>
  <w:num w:numId="7">
    <w:abstractNumId w:val="2"/>
  </w:num>
  <w:num w:numId="8">
    <w:abstractNumId w:val="4"/>
  </w:num>
  <w:num w:numId="9">
    <w:abstractNumId w:val="15"/>
  </w:num>
  <w:num w:numId="10">
    <w:abstractNumId w:val="1"/>
  </w:num>
  <w:num w:numId="11">
    <w:abstractNumId w:val="3"/>
  </w:num>
  <w:num w:numId="12">
    <w:abstractNumId w:val="0"/>
  </w:num>
  <w:num w:numId="13">
    <w:abstractNumId w:val="10"/>
  </w:num>
  <w:num w:numId="14">
    <w:abstractNumId w:val="11"/>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40"/>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D01"/>
    <w:rsid w:val="00001DD5"/>
    <w:rsid w:val="00001EB1"/>
    <w:rsid w:val="00002337"/>
    <w:rsid w:val="00003938"/>
    <w:rsid w:val="00005AB3"/>
    <w:rsid w:val="000120E4"/>
    <w:rsid w:val="000141EA"/>
    <w:rsid w:val="00014C7C"/>
    <w:rsid w:val="00015B5D"/>
    <w:rsid w:val="00017F8E"/>
    <w:rsid w:val="00020635"/>
    <w:rsid w:val="000207BF"/>
    <w:rsid w:val="000211DE"/>
    <w:rsid w:val="00022702"/>
    <w:rsid w:val="00022E50"/>
    <w:rsid w:val="00022EEB"/>
    <w:rsid w:val="00024023"/>
    <w:rsid w:val="00024CC6"/>
    <w:rsid w:val="00024F9B"/>
    <w:rsid w:val="000254B5"/>
    <w:rsid w:val="0002569F"/>
    <w:rsid w:val="000265D9"/>
    <w:rsid w:val="0003156D"/>
    <w:rsid w:val="00032D3E"/>
    <w:rsid w:val="00036E3F"/>
    <w:rsid w:val="00036FCA"/>
    <w:rsid w:val="000371C9"/>
    <w:rsid w:val="00042C01"/>
    <w:rsid w:val="0004308C"/>
    <w:rsid w:val="00043E33"/>
    <w:rsid w:val="000453D5"/>
    <w:rsid w:val="00054C03"/>
    <w:rsid w:val="00055C31"/>
    <w:rsid w:val="00055D33"/>
    <w:rsid w:val="000608DC"/>
    <w:rsid w:val="000614ED"/>
    <w:rsid w:val="00061531"/>
    <w:rsid w:val="000619F6"/>
    <w:rsid w:val="00061ED4"/>
    <w:rsid w:val="00063769"/>
    <w:rsid w:val="000638E4"/>
    <w:rsid w:val="000662E9"/>
    <w:rsid w:val="00067074"/>
    <w:rsid w:val="00067CEC"/>
    <w:rsid w:val="00072D02"/>
    <w:rsid w:val="00072F60"/>
    <w:rsid w:val="0007469C"/>
    <w:rsid w:val="000756B2"/>
    <w:rsid w:val="00075EC1"/>
    <w:rsid w:val="00076A45"/>
    <w:rsid w:val="00077090"/>
    <w:rsid w:val="000801B4"/>
    <w:rsid w:val="0008196C"/>
    <w:rsid w:val="00081DCA"/>
    <w:rsid w:val="000820F5"/>
    <w:rsid w:val="00082137"/>
    <w:rsid w:val="000824B4"/>
    <w:rsid w:val="000827F4"/>
    <w:rsid w:val="00083629"/>
    <w:rsid w:val="000837B3"/>
    <w:rsid w:val="00084F0A"/>
    <w:rsid w:val="00085168"/>
    <w:rsid w:val="000853E7"/>
    <w:rsid w:val="00087974"/>
    <w:rsid w:val="0009112F"/>
    <w:rsid w:val="00092509"/>
    <w:rsid w:val="00092F89"/>
    <w:rsid w:val="00093161"/>
    <w:rsid w:val="00093395"/>
    <w:rsid w:val="00094234"/>
    <w:rsid w:val="000945BE"/>
    <w:rsid w:val="00096835"/>
    <w:rsid w:val="000A2304"/>
    <w:rsid w:val="000A2E89"/>
    <w:rsid w:val="000A4E56"/>
    <w:rsid w:val="000A6ACE"/>
    <w:rsid w:val="000A7B02"/>
    <w:rsid w:val="000A7DDF"/>
    <w:rsid w:val="000B0D0A"/>
    <w:rsid w:val="000B0F2C"/>
    <w:rsid w:val="000B5808"/>
    <w:rsid w:val="000B6A5B"/>
    <w:rsid w:val="000C04B3"/>
    <w:rsid w:val="000C1BAA"/>
    <w:rsid w:val="000C3587"/>
    <w:rsid w:val="000C36EE"/>
    <w:rsid w:val="000C3D72"/>
    <w:rsid w:val="000C4EDF"/>
    <w:rsid w:val="000C569B"/>
    <w:rsid w:val="000C6133"/>
    <w:rsid w:val="000C6732"/>
    <w:rsid w:val="000C6C90"/>
    <w:rsid w:val="000C7059"/>
    <w:rsid w:val="000C7A39"/>
    <w:rsid w:val="000C7BAA"/>
    <w:rsid w:val="000D02B8"/>
    <w:rsid w:val="000D0323"/>
    <w:rsid w:val="000D0767"/>
    <w:rsid w:val="000D46F5"/>
    <w:rsid w:val="000D55B9"/>
    <w:rsid w:val="000D5AB7"/>
    <w:rsid w:val="000D6206"/>
    <w:rsid w:val="000D7965"/>
    <w:rsid w:val="000E0156"/>
    <w:rsid w:val="000E0D50"/>
    <w:rsid w:val="000E22EA"/>
    <w:rsid w:val="000E231D"/>
    <w:rsid w:val="000E293F"/>
    <w:rsid w:val="000E3A81"/>
    <w:rsid w:val="000E5567"/>
    <w:rsid w:val="000E5F93"/>
    <w:rsid w:val="000E6FC3"/>
    <w:rsid w:val="000E74EF"/>
    <w:rsid w:val="000E796C"/>
    <w:rsid w:val="000F0573"/>
    <w:rsid w:val="000F066A"/>
    <w:rsid w:val="000F490E"/>
    <w:rsid w:val="000F49FB"/>
    <w:rsid w:val="000F5DE2"/>
    <w:rsid w:val="000F648F"/>
    <w:rsid w:val="000F64DA"/>
    <w:rsid w:val="000F6974"/>
    <w:rsid w:val="000F7DD4"/>
    <w:rsid w:val="000F7EA4"/>
    <w:rsid w:val="00100A7A"/>
    <w:rsid w:val="00101B98"/>
    <w:rsid w:val="0010385A"/>
    <w:rsid w:val="00104266"/>
    <w:rsid w:val="00105969"/>
    <w:rsid w:val="00105D20"/>
    <w:rsid w:val="00106220"/>
    <w:rsid w:val="00106C51"/>
    <w:rsid w:val="00107255"/>
    <w:rsid w:val="0011028F"/>
    <w:rsid w:val="00110474"/>
    <w:rsid w:val="00110978"/>
    <w:rsid w:val="0011247A"/>
    <w:rsid w:val="001146C8"/>
    <w:rsid w:val="00115179"/>
    <w:rsid w:val="00116A4D"/>
    <w:rsid w:val="00120517"/>
    <w:rsid w:val="001214C8"/>
    <w:rsid w:val="001216D7"/>
    <w:rsid w:val="00121BA9"/>
    <w:rsid w:val="001222C1"/>
    <w:rsid w:val="00122BFB"/>
    <w:rsid w:val="00126B5C"/>
    <w:rsid w:val="00127786"/>
    <w:rsid w:val="00131EED"/>
    <w:rsid w:val="001320BA"/>
    <w:rsid w:val="001328B0"/>
    <w:rsid w:val="00132A32"/>
    <w:rsid w:val="00132DA8"/>
    <w:rsid w:val="00133214"/>
    <w:rsid w:val="001340E6"/>
    <w:rsid w:val="00136B7F"/>
    <w:rsid w:val="001409E6"/>
    <w:rsid w:val="00140BB0"/>
    <w:rsid w:val="001425F1"/>
    <w:rsid w:val="001428F4"/>
    <w:rsid w:val="00143452"/>
    <w:rsid w:val="001434E2"/>
    <w:rsid w:val="001452C6"/>
    <w:rsid w:val="0014551B"/>
    <w:rsid w:val="001462BE"/>
    <w:rsid w:val="00147869"/>
    <w:rsid w:val="00150C76"/>
    <w:rsid w:val="0015165A"/>
    <w:rsid w:val="00152544"/>
    <w:rsid w:val="001530AE"/>
    <w:rsid w:val="001531B9"/>
    <w:rsid w:val="00153538"/>
    <w:rsid w:val="00154347"/>
    <w:rsid w:val="00154374"/>
    <w:rsid w:val="0015546E"/>
    <w:rsid w:val="00156375"/>
    <w:rsid w:val="001567BC"/>
    <w:rsid w:val="00157002"/>
    <w:rsid w:val="00160BED"/>
    <w:rsid w:val="00160E92"/>
    <w:rsid w:val="00160F36"/>
    <w:rsid w:val="001618C4"/>
    <w:rsid w:val="00161FA4"/>
    <w:rsid w:val="001623A3"/>
    <w:rsid w:val="00162898"/>
    <w:rsid w:val="00164D39"/>
    <w:rsid w:val="0016749D"/>
    <w:rsid w:val="00167C8B"/>
    <w:rsid w:val="0017145B"/>
    <w:rsid w:val="00172491"/>
    <w:rsid w:val="00172A27"/>
    <w:rsid w:val="00173D06"/>
    <w:rsid w:val="001747FF"/>
    <w:rsid w:val="00174BD3"/>
    <w:rsid w:val="00176650"/>
    <w:rsid w:val="00176B34"/>
    <w:rsid w:val="00177D4F"/>
    <w:rsid w:val="00177EC5"/>
    <w:rsid w:val="0018368B"/>
    <w:rsid w:val="001839EF"/>
    <w:rsid w:val="00185F22"/>
    <w:rsid w:val="00186093"/>
    <w:rsid w:val="00187F19"/>
    <w:rsid w:val="00192075"/>
    <w:rsid w:val="00192123"/>
    <w:rsid w:val="00193136"/>
    <w:rsid w:val="00193671"/>
    <w:rsid w:val="00193C6A"/>
    <w:rsid w:val="00194ED4"/>
    <w:rsid w:val="001951A4"/>
    <w:rsid w:val="001A0AD9"/>
    <w:rsid w:val="001A3FB4"/>
    <w:rsid w:val="001A4A3D"/>
    <w:rsid w:val="001A4B58"/>
    <w:rsid w:val="001A5217"/>
    <w:rsid w:val="001A54AE"/>
    <w:rsid w:val="001A6488"/>
    <w:rsid w:val="001A6A0B"/>
    <w:rsid w:val="001A6AC7"/>
    <w:rsid w:val="001A6F1F"/>
    <w:rsid w:val="001B026F"/>
    <w:rsid w:val="001B25CB"/>
    <w:rsid w:val="001B3C02"/>
    <w:rsid w:val="001B418A"/>
    <w:rsid w:val="001B4372"/>
    <w:rsid w:val="001B4D2B"/>
    <w:rsid w:val="001B582C"/>
    <w:rsid w:val="001B68AB"/>
    <w:rsid w:val="001B68FA"/>
    <w:rsid w:val="001B7584"/>
    <w:rsid w:val="001C15F4"/>
    <w:rsid w:val="001C27B7"/>
    <w:rsid w:val="001C2960"/>
    <w:rsid w:val="001C3EBD"/>
    <w:rsid w:val="001C5C05"/>
    <w:rsid w:val="001C6AB8"/>
    <w:rsid w:val="001D0E67"/>
    <w:rsid w:val="001D28C9"/>
    <w:rsid w:val="001D35A5"/>
    <w:rsid w:val="001D583E"/>
    <w:rsid w:val="001D6451"/>
    <w:rsid w:val="001D7305"/>
    <w:rsid w:val="001D7E24"/>
    <w:rsid w:val="001E074F"/>
    <w:rsid w:val="001E2609"/>
    <w:rsid w:val="001E4C2F"/>
    <w:rsid w:val="001E585C"/>
    <w:rsid w:val="001E6C63"/>
    <w:rsid w:val="001E757E"/>
    <w:rsid w:val="001E781B"/>
    <w:rsid w:val="001E7A89"/>
    <w:rsid w:val="001F03CD"/>
    <w:rsid w:val="001F0FE6"/>
    <w:rsid w:val="001F4379"/>
    <w:rsid w:val="001F4680"/>
    <w:rsid w:val="001F59E8"/>
    <w:rsid w:val="00200421"/>
    <w:rsid w:val="0020179E"/>
    <w:rsid w:val="00201C16"/>
    <w:rsid w:val="00202DDC"/>
    <w:rsid w:val="00203BE1"/>
    <w:rsid w:val="0020452B"/>
    <w:rsid w:val="0020552C"/>
    <w:rsid w:val="00205544"/>
    <w:rsid w:val="0021018D"/>
    <w:rsid w:val="00210FF7"/>
    <w:rsid w:val="00211475"/>
    <w:rsid w:val="002122C6"/>
    <w:rsid w:val="002133EC"/>
    <w:rsid w:val="00214750"/>
    <w:rsid w:val="00215E7C"/>
    <w:rsid w:val="0021738A"/>
    <w:rsid w:val="00221049"/>
    <w:rsid w:val="00223A19"/>
    <w:rsid w:val="00223F0C"/>
    <w:rsid w:val="00225898"/>
    <w:rsid w:val="00225A8C"/>
    <w:rsid w:val="00226002"/>
    <w:rsid w:val="00226FE9"/>
    <w:rsid w:val="00227662"/>
    <w:rsid w:val="002277D8"/>
    <w:rsid w:val="002279FA"/>
    <w:rsid w:val="00227CBF"/>
    <w:rsid w:val="002311BB"/>
    <w:rsid w:val="0023230D"/>
    <w:rsid w:val="00232407"/>
    <w:rsid w:val="00233410"/>
    <w:rsid w:val="0023377F"/>
    <w:rsid w:val="0023411B"/>
    <w:rsid w:val="00236B1A"/>
    <w:rsid w:val="00240726"/>
    <w:rsid w:val="002413A7"/>
    <w:rsid w:val="00242E55"/>
    <w:rsid w:val="002442C8"/>
    <w:rsid w:val="0024547B"/>
    <w:rsid w:val="00245616"/>
    <w:rsid w:val="002465E5"/>
    <w:rsid w:val="00246C93"/>
    <w:rsid w:val="00250AE2"/>
    <w:rsid w:val="002522A4"/>
    <w:rsid w:val="0025266B"/>
    <w:rsid w:val="00252685"/>
    <w:rsid w:val="00253E61"/>
    <w:rsid w:val="0025400B"/>
    <w:rsid w:val="0025478C"/>
    <w:rsid w:val="00254822"/>
    <w:rsid w:val="00256EF4"/>
    <w:rsid w:val="00256F0A"/>
    <w:rsid w:val="00257806"/>
    <w:rsid w:val="00257BD7"/>
    <w:rsid w:val="00257D6D"/>
    <w:rsid w:val="00261EE2"/>
    <w:rsid w:val="002630DD"/>
    <w:rsid w:val="002637B6"/>
    <w:rsid w:val="00263E9C"/>
    <w:rsid w:val="002651B0"/>
    <w:rsid w:val="00265550"/>
    <w:rsid w:val="00267141"/>
    <w:rsid w:val="002678EB"/>
    <w:rsid w:val="002703CD"/>
    <w:rsid w:val="0027379E"/>
    <w:rsid w:val="00274618"/>
    <w:rsid w:val="00277B78"/>
    <w:rsid w:val="0028174C"/>
    <w:rsid w:val="002826A6"/>
    <w:rsid w:val="002831F3"/>
    <w:rsid w:val="00285B3F"/>
    <w:rsid w:val="00286110"/>
    <w:rsid w:val="002865EA"/>
    <w:rsid w:val="002872A3"/>
    <w:rsid w:val="002873D8"/>
    <w:rsid w:val="0029111C"/>
    <w:rsid w:val="002913CD"/>
    <w:rsid w:val="00292A52"/>
    <w:rsid w:val="00292EEB"/>
    <w:rsid w:val="00293EB8"/>
    <w:rsid w:val="00295F78"/>
    <w:rsid w:val="00296EAE"/>
    <w:rsid w:val="002A0463"/>
    <w:rsid w:val="002A0CEA"/>
    <w:rsid w:val="002A1693"/>
    <w:rsid w:val="002A1708"/>
    <w:rsid w:val="002A1B78"/>
    <w:rsid w:val="002A239B"/>
    <w:rsid w:val="002A3204"/>
    <w:rsid w:val="002A33B5"/>
    <w:rsid w:val="002A543B"/>
    <w:rsid w:val="002A55B8"/>
    <w:rsid w:val="002A7323"/>
    <w:rsid w:val="002B0BC0"/>
    <w:rsid w:val="002B1BDE"/>
    <w:rsid w:val="002B264E"/>
    <w:rsid w:val="002B3D33"/>
    <w:rsid w:val="002B3E1C"/>
    <w:rsid w:val="002B3EBC"/>
    <w:rsid w:val="002B4204"/>
    <w:rsid w:val="002B4397"/>
    <w:rsid w:val="002B5C53"/>
    <w:rsid w:val="002B6875"/>
    <w:rsid w:val="002C03CE"/>
    <w:rsid w:val="002C0D6C"/>
    <w:rsid w:val="002C378A"/>
    <w:rsid w:val="002C49C2"/>
    <w:rsid w:val="002C6782"/>
    <w:rsid w:val="002C6F8C"/>
    <w:rsid w:val="002C735F"/>
    <w:rsid w:val="002C7D02"/>
    <w:rsid w:val="002C7D30"/>
    <w:rsid w:val="002D0618"/>
    <w:rsid w:val="002D1FCB"/>
    <w:rsid w:val="002D2998"/>
    <w:rsid w:val="002D3204"/>
    <w:rsid w:val="002D3A4B"/>
    <w:rsid w:val="002D428E"/>
    <w:rsid w:val="002D5075"/>
    <w:rsid w:val="002D5155"/>
    <w:rsid w:val="002D5AB4"/>
    <w:rsid w:val="002D6633"/>
    <w:rsid w:val="002D7334"/>
    <w:rsid w:val="002E08D1"/>
    <w:rsid w:val="002E5147"/>
    <w:rsid w:val="002E64BF"/>
    <w:rsid w:val="002E64F3"/>
    <w:rsid w:val="002E7F31"/>
    <w:rsid w:val="002F02C8"/>
    <w:rsid w:val="002F0D79"/>
    <w:rsid w:val="002F0FC5"/>
    <w:rsid w:val="002F204F"/>
    <w:rsid w:val="002F2536"/>
    <w:rsid w:val="002F52A3"/>
    <w:rsid w:val="002F5315"/>
    <w:rsid w:val="002F5552"/>
    <w:rsid w:val="002F6A80"/>
    <w:rsid w:val="002F7725"/>
    <w:rsid w:val="002F7F54"/>
    <w:rsid w:val="0030038D"/>
    <w:rsid w:val="00303F82"/>
    <w:rsid w:val="00304A80"/>
    <w:rsid w:val="00304EC5"/>
    <w:rsid w:val="0030653C"/>
    <w:rsid w:val="0030688B"/>
    <w:rsid w:val="00306E81"/>
    <w:rsid w:val="00307437"/>
    <w:rsid w:val="00312464"/>
    <w:rsid w:val="003137A7"/>
    <w:rsid w:val="00313A2B"/>
    <w:rsid w:val="003143BF"/>
    <w:rsid w:val="00314C89"/>
    <w:rsid w:val="0031552B"/>
    <w:rsid w:val="0032162A"/>
    <w:rsid w:val="00323960"/>
    <w:rsid w:val="00324166"/>
    <w:rsid w:val="00325F88"/>
    <w:rsid w:val="00330944"/>
    <w:rsid w:val="0033098B"/>
    <w:rsid w:val="00330D82"/>
    <w:rsid w:val="00330E66"/>
    <w:rsid w:val="003317F2"/>
    <w:rsid w:val="0033187B"/>
    <w:rsid w:val="0033242B"/>
    <w:rsid w:val="00332BAA"/>
    <w:rsid w:val="003331FD"/>
    <w:rsid w:val="003334FC"/>
    <w:rsid w:val="00334773"/>
    <w:rsid w:val="003350E3"/>
    <w:rsid w:val="0034283F"/>
    <w:rsid w:val="00342C79"/>
    <w:rsid w:val="003437F8"/>
    <w:rsid w:val="00343E98"/>
    <w:rsid w:val="0034452A"/>
    <w:rsid w:val="00345177"/>
    <w:rsid w:val="00350C9F"/>
    <w:rsid w:val="0035101B"/>
    <w:rsid w:val="00351426"/>
    <w:rsid w:val="00351A01"/>
    <w:rsid w:val="00352494"/>
    <w:rsid w:val="003539BA"/>
    <w:rsid w:val="0035419C"/>
    <w:rsid w:val="003543AC"/>
    <w:rsid w:val="003550B6"/>
    <w:rsid w:val="003570E1"/>
    <w:rsid w:val="0036090F"/>
    <w:rsid w:val="003613C1"/>
    <w:rsid w:val="00362894"/>
    <w:rsid w:val="0036313A"/>
    <w:rsid w:val="00364CEB"/>
    <w:rsid w:val="003661B2"/>
    <w:rsid w:val="003674CF"/>
    <w:rsid w:val="00367BD5"/>
    <w:rsid w:val="00370DBD"/>
    <w:rsid w:val="003717B9"/>
    <w:rsid w:val="003727C0"/>
    <w:rsid w:val="003734AB"/>
    <w:rsid w:val="00374E35"/>
    <w:rsid w:val="0037516F"/>
    <w:rsid w:val="003771F6"/>
    <w:rsid w:val="003800EA"/>
    <w:rsid w:val="0038156C"/>
    <w:rsid w:val="00382AEE"/>
    <w:rsid w:val="00384A6A"/>
    <w:rsid w:val="003856C3"/>
    <w:rsid w:val="00385AB7"/>
    <w:rsid w:val="003867C3"/>
    <w:rsid w:val="003869C4"/>
    <w:rsid w:val="003901F7"/>
    <w:rsid w:val="0039088D"/>
    <w:rsid w:val="00391E73"/>
    <w:rsid w:val="00392399"/>
    <w:rsid w:val="00394364"/>
    <w:rsid w:val="00394592"/>
    <w:rsid w:val="0039508B"/>
    <w:rsid w:val="00396497"/>
    <w:rsid w:val="0039678E"/>
    <w:rsid w:val="003967F9"/>
    <w:rsid w:val="00396F61"/>
    <w:rsid w:val="003970F2"/>
    <w:rsid w:val="00397CB6"/>
    <w:rsid w:val="003A1931"/>
    <w:rsid w:val="003A291A"/>
    <w:rsid w:val="003A2C6D"/>
    <w:rsid w:val="003A2EAA"/>
    <w:rsid w:val="003A6D1A"/>
    <w:rsid w:val="003A7023"/>
    <w:rsid w:val="003A7EB1"/>
    <w:rsid w:val="003B01E1"/>
    <w:rsid w:val="003B13D1"/>
    <w:rsid w:val="003B1EFB"/>
    <w:rsid w:val="003B20BA"/>
    <w:rsid w:val="003B26B5"/>
    <w:rsid w:val="003B29A1"/>
    <w:rsid w:val="003B3C80"/>
    <w:rsid w:val="003B53E7"/>
    <w:rsid w:val="003B5FD3"/>
    <w:rsid w:val="003C0896"/>
    <w:rsid w:val="003C0BD2"/>
    <w:rsid w:val="003C1AF2"/>
    <w:rsid w:val="003C2CF8"/>
    <w:rsid w:val="003C3121"/>
    <w:rsid w:val="003C32CE"/>
    <w:rsid w:val="003C358C"/>
    <w:rsid w:val="003C391C"/>
    <w:rsid w:val="003C3EA6"/>
    <w:rsid w:val="003C4A87"/>
    <w:rsid w:val="003C4D68"/>
    <w:rsid w:val="003C50B6"/>
    <w:rsid w:val="003D09D4"/>
    <w:rsid w:val="003D1300"/>
    <w:rsid w:val="003D362F"/>
    <w:rsid w:val="003D454F"/>
    <w:rsid w:val="003D488B"/>
    <w:rsid w:val="003D58C3"/>
    <w:rsid w:val="003D76FC"/>
    <w:rsid w:val="003D77D4"/>
    <w:rsid w:val="003D78BC"/>
    <w:rsid w:val="003E2A04"/>
    <w:rsid w:val="003E3202"/>
    <w:rsid w:val="003E380C"/>
    <w:rsid w:val="003E3AC2"/>
    <w:rsid w:val="003E3B24"/>
    <w:rsid w:val="003E40EB"/>
    <w:rsid w:val="003E447D"/>
    <w:rsid w:val="003E46FA"/>
    <w:rsid w:val="003E48DD"/>
    <w:rsid w:val="003E4B1F"/>
    <w:rsid w:val="003F0077"/>
    <w:rsid w:val="003F0740"/>
    <w:rsid w:val="003F1071"/>
    <w:rsid w:val="003F4042"/>
    <w:rsid w:val="003F4461"/>
    <w:rsid w:val="003F4E9A"/>
    <w:rsid w:val="003F5DAD"/>
    <w:rsid w:val="003F6C9F"/>
    <w:rsid w:val="003F751C"/>
    <w:rsid w:val="003F7B82"/>
    <w:rsid w:val="00400F4D"/>
    <w:rsid w:val="00401B2C"/>
    <w:rsid w:val="00402091"/>
    <w:rsid w:val="00404D65"/>
    <w:rsid w:val="004053FE"/>
    <w:rsid w:val="004054A4"/>
    <w:rsid w:val="00405787"/>
    <w:rsid w:val="00405800"/>
    <w:rsid w:val="00407590"/>
    <w:rsid w:val="00411AD4"/>
    <w:rsid w:val="004124BA"/>
    <w:rsid w:val="004131D4"/>
    <w:rsid w:val="00414429"/>
    <w:rsid w:val="00416990"/>
    <w:rsid w:val="0041760B"/>
    <w:rsid w:val="004211E4"/>
    <w:rsid w:val="00422AAF"/>
    <w:rsid w:val="00423114"/>
    <w:rsid w:val="00423A33"/>
    <w:rsid w:val="004269DE"/>
    <w:rsid w:val="00426C88"/>
    <w:rsid w:val="0042739F"/>
    <w:rsid w:val="00427B7A"/>
    <w:rsid w:val="0043026C"/>
    <w:rsid w:val="00430566"/>
    <w:rsid w:val="004314F3"/>
    <w:rsid w:val="00431F30"/>
    <w:rsid w:val="0043217D"/>
    <w:rsid w:val="00433EEA"/>
    <w:rsid w:val="00434098"/>
    <w:rsid w:val="00435BC4"/>
    <w:rsid w:val="00436981"/>
    <w:rsid w:val="004417CE"/>
    <w:rsid w:val="00442601"/>
    <w:rsid w:val="004426D2"/>
    <w:rsid w:val="00442A62"/>
    <w:rsid w:val="004453EB"/>
    <w:rsid w:val="004468E1"/>
    <w:rsid w:val="004473AE"/>
    <w:rsid w:val="00447DDD"/>
    <w:rsid w:val="00450004"/>
    <w:rsid w:val="004504B2"/>
    <w:rsid w:val="0045289E"/>
    <w:rsid w:val="004541CA"/>
    <w:rsid w:val="00455481"/>
    <w:rsid w:val="00455EDC"/>
    <w:rsid w:val="00457C09"/>
    <w:rsid w:val="00460555"/>
    <w:rsid w:val="00461FB6"/>
    <w:rsid w:val="004623DC"/>
    <w:rsid w:val="00462686"/>
    <w:rsid w:val="004642F9"/>
    <w:rsid w:val="00464B45"/>
    <w:rsid w:val="00466672"/>
    <w:rsid w:val="00466ADC"/>
    <w:rsid w:val="00467B35"/>
    <w:rsid w:val="00467D03"/>
    <w:rsid w:val="00467DA3"/>
    <w:rsid w:val="00470931"/>
    <w:rsid w:val="0047177A"/>
    <w:rsid w:val="00472645"/>
    <w:rsid w:val="00472653"/>
    <w:rsid w:val="0047526D"/>
    <w:rsid w:val="004778C1"/>
    <w:rsid w:val="00477FE7"/>
    <w:rsid w:val="0048027D"/>
    <w:rsid w:val="00480C7A"/>
    <w:rsid w:val="00480E4D"/>
    <w:rsid w:val="004826C8"/>
    <w:rsid w:val="00485563"/>
    <w:rsid w:val="00485BC5"/>
    <w:rsid w:val="004872E7"/>
    <w:rsid w:val="00490914"/>
    <w:rsid w:val="00493691"/>
    <w:rsid w:val="004947B4"/>
    <w:rsid w:val="004947FD"/>
    <w:rsid w:val="00495822"/>
    <w:rsid w:val="00497341"/>
    <w:rsid w:val="004A0551"/>
    <w:rsid w:val="004A1204"/>
    <w:rsid w:val="004A268D"/>
    <w:rsid w:val="004A45BA"/>
    <w:rsid w:val="004A46E2"/>
    <w:rsid w:val="004A6F38"/>
    <w:rsid w:val="004B01AA"/>
    <w:rsid w:val="004B0D1D"/>
    <w:rsid w:val="004B1258"/>
    <w:rsid w:val="004B1DC9"/>
    <w:rsid w:val="004B4D27"/>
    <w:rsid w:val="004B5D7F"/>
    <w:rsid w:val="004B642B"/>
    <w:rsid w:val="004B6736"/>
    <w:rsid w:val="004B6DB0"/>
    <w:rsid w:val="004C164F"/>
    <w:rsid w:val="004C1734"/>
    <w:rsid w:val="004C1B0E"/>
    <w:rsid w:val="004C216D"/>
    <w:rsid w:val="004C2AFD"/>
    <w:rsid w:val="004C3069"/>
    <w:rsid w:val="004C3544"/>
    <w:rsid w:val="004C3E6B"/>
    <w:rsid w:val="004C4CBF"/>
    <w:rsid w:val="004C6910"/>
    <w:rsid w:val="004C7AFF"/>
    <w:rsid w:val="004D143B"/>
    <w:rsid w:val="004D3083"/>
    <w:rsid w:val="004D4943"/>
    <w:rsid w:val="004D5770"/>
    <w:rsid w:val="004D619C"/>
    <w:rsid w:val="004D7230"/>
    <w:rsid w:val="004E002E"/>
    <w:rsid w:val="004E0255"/>
    <w:rsid w:val="004E2015"/>
    <w:rsid w:val="004E213F"/>
    <w:rsid w:val="004E2199"/>
    <w:rsid w:val="004E4CE8"/>
    <w:rsid w:val="004E6065"/>
    <w:rsid w:val="004E72A5"/>
    <w:rsid w:val="004E72E5"/>
    <w:rsid w:val="004E74A9"/>
    <w:rsid w:val="004E78C2"/>
    <w:rsid w:val="004F09BE"/>
    <w:rsid w:val="004F0A84"/>
    <w:rsid w:val="004F1C21"/>
    <w:rsid w:val="004F2162"/>
    <w:rsid w:val="004F3CFC"/>
    <w:rsid w:val="004F51E6"/>
    <w:rsid w:val="004F59EF"/>
    <w:rsid w:val="004F6D5D"/>
    <w:rsid w:val="004F6E5B"/>
    <w:rsid w:val="004F729C"/>
    <w:rsid w:val="004F7B5F"/>
    <w:rsid w:val="004F7EED"/>
    <w:rsid w:val="00500D4A"/>
    <w:rsid w:val="005028B4"/>
    <w:rsid w:val="00502D37"/>
    <w:rsid w:val="00507855"/>
    <w:rsid w:val="00507C18"/>
    <w:rsid w:val="00512253"/>
    <w:rsid w:val="0051230B"/>
    <w:rsid w:val="00512731"/>
    <w:rsid w:val="00513C0A"/>
    <w:rsid w:val="0051466B"/>
    <w:rsid w:val="00514B39"/>
    <w:rsid w:val="00515F17"/>
    <w:rsid w:val="00520523"/>
    <w:rsid w:val="005208DB"/>
    <w:rsid w:val="0052107A"/>
    <w:rsid w:val="00523730"/>
    <w:rsid w:val="0052458C"/>
    <w:rsid w:val="005247F9"/>
    <w:rsid w:val="00524AF7"/>
    <w:rsid w:val="00526B20"/>
    <w:rsid w:val="00527685"/>
    <w:rsid w:val="00527A09"/>
    <w:rsid w:val="0053031D"/>
    <w:rsid w:val="005313DB"/>
    <w:rsid w:val="0053153C"/>
    <w:rsid w:val="00532458"/>
    <w:rsid w:val="00532B6C"/>
    <w:rsid w:val="00532D2E"/>
    <w:rsid w:val="00536F75"/>
    <w:rsid w:val="005374E1"/>
    <w:rsid w:val="00537A5B"/>
    <w:rsid w:val="005401C2"/>
    <w:rsid w:val="00540BDB"/>
    <w:rsid w:val="00540E27"/>
    <w:rsid w:val="005441D5"/>
    <w:rsid w:val="005453CC"/>
    <w:rsid w:val="00547858"/>
    <w:rsid w:val="00547B68"/>
    <w:rsid w:val="00550A7F"/>
    <w:rsid w:val="00550AA2"/>
    <w:rsid w:val="00550C25"/>
    <w:rsid w:val="00550C68"/>
    <w:rsid w:val="0055138B"/>
    <w:rsid w:val="0055400C"/>
    <w:rsid w:val="005558C9"/>
    <w:rsid w:val="00556E5A"/>
    <w:rsid w:val="00557B00"/>
    <w:rsid w:val="005610C4"/>
    <w:rsid w:val="0056280A"/>
    <w:rsid w:val="00562983"/>
    <w:rsid w:val="005637CA"/>
    <w:rsid w:val="005647C4"/>
    <w:rsid w:val="00564A69"/>
    <w:rsid w:val="00565B94"/>
    <w:rsid w:val="005708B1"/>
    <w:rsid w:val="0057133A"/>
    <w:rsid w:val="00572622"/>
    <w:rsid w:val="00572DFC"/>
    <w:rsid w:val="00575761"/>
    <w:rsid w:val="00575CF2"/>
    <w:rsid w:val="00576C1D"/>
    <w:rsid w:val="00576D94"/>
    <w:rsid w:val="00577B20"/>
    <w:rsid w:val="005822B1"/>
    <w:rsid w:val="00583D75"/>
    <w:rsid w:val="00584651"/>
    <w:rsid w:val="00585C35"/>
    <w:rsid w:val="005866FA"/>
    <w:rsid w:val="00591777"/>
    <w:rsid w:val="00592678"/>
    <w:rsid w:val="00593C80"/>
    <w:rsid w:val="00594861"/>
    <w:rsid w:val="005977F6"/>
    <w:rsid w:val="005A057D"/>
    <w:rsid w:val="005A181C"/>
    <w:rsid w:val="005A253E"/>
    <w:rsid w:val="005A2A60"/>
    <w:rsid w:val="005A3C94"/>
    <w:rsid w:val="005A51F6"/>
    <w:rsid w:val="005A6DB8"/>
    <w:rsid w:val="005A78B4"/>
    <w:rsid w:val="005B0025"/>
    <w:rsid w:val="005B0C2C"/>
    <w:rsid w:val="005B0F1F"/>
    <w:rsid w:val="005B17B0"/>
    <w:rsid w:val="005B1E79"/>
    <w:rsid w:val="005B2BFB"/>
    <w:rsid w:val="005B314D"/>
    <w:rsid w:val="005B3634"/>
    <w:rsid w:val="005B4665"/>
    <w:rsid w:val="005B528A"/>
    <w:rsid w:val="005B6733"/>
    <w:rsid w:val="005B6C00"/>
    <w:rsid w:val="005B6F63"/>
    <w:rsid w:val="005B714B"/>
    <w:rsid w:val="005B77DA"/>
    <w:rsid w:val="005C2CFF"/>
    <w:rsid w:val="005C5DF4"/>
    <w:rsid w:val="005C6293"/>
    <w:rsid w:val="005C6B81"/>
    <w:rsid w:val="005D0A16"/>
    <w:rsid w:val="005D277C"/>
    <w:rsid w:val="005D2A77"/>
    <w:rsid w:val="005D2DDF"/>
    <w:rsid w:val="005D32A0"/>
    <w:rsid w:val="005D4A0F"/>
    <w:rsid w:val="005D4D9D"/>
    <w:rsid w:val="005D53F2"/>
    <w:rsid w:val="005D5939"/>
    <w:rsid w:val="005D6ED4"/>
    <w:rsid w:val="005D7FD8"/>
    <w:rsid w:val="005E402F"/>
    <w:rsid w:val="005E413A"/>
    <w:rsid w:val="005E417E"/>
    <w:rsid w:val="005E78F5"/>
    <w:rsid w:val="005E7ED6"/>
    <w:rsid w:val="005F0182"/>
    <w:rsid w:val="005F074B"/>
    <w:rsid w:val="005F1484"/>
    <w:rsid w:val="005F15F0"/>
    <w:rsid w:val="005F1C04"/>
    <w:rsid w:val="005F1CFD"/>
    <w:rsid w:val="005F1D51"/>
    <w:rsid w:val="005F6B16"/>
    <w:rsid w:val="005F7706"/>
    <w:rsid w:val="00600A22"/>
    <w:rsid w:val="00601097"/>
    <w:rsid w:val="00601A28"/>
    <w:rsid w:val="006034ED"/>
    <w:rsid w:val="0060550F"/>
    <w:rsid w:val="00606872"/>
    <w:rsid w:val="006077DD"/>
    <w:rsid w:val="0061416B"/>
    <w:rsid w:val="00614E07"/>
    <w:rsid w:val="00615422"/>
    <w:rsid w:val="00616568"/>
    <w:rsid w:val="006176C1"/>
    <w:rsid w:val="00617C8A"/>
    <w:rsid w:val="00617F70"/>
    <w:rsid w:val="00620C97"/>
    <w:rsid w:val="00621BE6"/>
    <w:rsid w:val="00623E6B"/>
    <w:rsid w:val="00627305"/>
    <w:rsid w:val="00630442"/>
    <w:rsid w:val="0063357F"/>
    <w:rsid w:val="006341FF"/>
    <w:rsid w:val="00635E95"/>
    <w:rsid w:val="00640F9D"/>
    <w:rsid w:val="00641E9F"/>
    <w:rsid w:val="00643AB3"/>
    <w:rsid w:val="00643B69"/>
    <w:rsid w:val="00644D6D"/>
    <w:rsid w:val="006454FC"/>
    <w:rsid w:val="00645B1F"/>
    <w:rsid w:val="00646D61"/>
    <w:rsid w:val="00647DA5"/>
    <w:rsid w:val="00650DE1"/>
    <w:rsid w:val="0065106C"/>
    <w:rsid w:val="006558FD"/>
    <w:rsid w:val="00656F7A"/>
    <w:rsid w:val="006612D3"/>
    <w:rsid w:val="0066156D"/>
    <w:rsid w:val="00661F44"/>
    <w:rsid w:val="0066424F"/>
    <w:rsid w:val="006647B4"/>
    <w:rsid w:val="0066482A"/>
    <w:rsid w:val="0066518F"/>
    <w:rsid w:val="006706AB"/>
    <w:rsid w:val="00670941"/>
    <w:rsid w:val="0067096A"/>
    <w:rsid w:val="00673618"/>
    <w:rsid w:val="00673D84"/>
    <w:rsid w:val="006753D2"/>
    <w:rsid w:val="0067598C"/>
    <w:rsid w:val="00677AEF"/>
    <w:rsid w:val="006805E0"/>
    <w:rsid w:val="00680612"/>
    <w:rsid w:val="00680773"/>
    <w:rsid w:val="00680AE9"/>
    <w:rsid w:val="00680DC1"/>
    <w:rsid w:val="00682910"/>
    <w:rsid w:val="006829E5"/>
    <w:rsid w:val="0068352C"/>
    <w:rsid w:val="00686047"/>
    <w:rsid w:val="006870D6"/>
    <w:rsid w:val="00687A49"/>
    <w:rsid w:val="006900CC"/>
    <w:rsid w:val="006923AF"/>
    <w:rsid w:val="00693927"/>
    <w:rsid w:val="0069451F"/>
    <w:rsid w:val="00696D2F"/>
    <w:rsid w:val="006A3A71"/>
    <w:rsid w:val="006A4521"/>
    <w:rsid w:val="006A5522"/>
    <w:rsid w:val="006A7B73"/>
    <w:rsid w:val="006A7F34"/>
    <w:rsid w:val="006B1FFE"/>
    <w:rsid w:val="006B2D21"/>
    <w:rsid w:val="006B4BCC"/>
    <w:rsid w:val="006B52E9"/>
    <w:rsid w:val="006B718E"/>
    <w:rsid w:val="006B7C81"/>
    <w:rsid w:val="006C0347"/>
    <w:rsid w:val="006C0402"/>
    <w:rsid w:val="006C058C"/>
    <w:rsid w:val="006C18F6"/>
    <w:rsid w:val="006C1B33"/>
    <w:rsid w:val="006C5652"/>
    <w:rsid w:val="006C6B7B"/>
    <w:rsid w:val="006C6CC1"/>
    <w:rsid w:val="006D137D"/>
    <w:rsid w:val="006D2DBC"/>
    <w:rsid w:val="006D2E51"/>
    <w:rsid w:val="006D3E13"/>
    <w:rsid w:val="006D45AA"/>
    <w:rsid w:val="006E0169"/>
    <w:rsid w:val="006E0F0F"/>
    <w:rsid w:val="006E1071"/>
    <w:rsid w:val="006E2C52"/>
    <w:rsid w:val="006E379A"/>
    <w:rsid w:val="006E4372"/>
    <w:rsid w:val="006E4C98"/>
    <w:rsid w:val="006E66D4"/>
    <w:rsid w:val="006F0BE8"/>
    <w:rsid w:val="006F288A"/>
    <w:rsid w:val="006F3216"/>
    <w:rsid w:val="006F37DF"/>
    <w:rsid w:val="006F4A4F"/>
    <w:rsid w:val="006F4F55"/>
    <w:rsid w:val="006F6185"/>
    <w:rsid w:val="006F6ED8"/>
    <w:rsid w:val="007034E8"/>
    <w:rsid w:val="00704A9D"/>
    <w:rsid w:val="0070514D"/>
    <w:rsid w:val="00705235"/>
    <w:rsid w:val="0070555E"/>
    <w:rsid w:val="0070587A"/>
    <w:rsid w:val="00706129"/>
    <w:rsid w:val="007069BE"/>
    <w:rsid w:val="00706B98"/>
    <w:rsid w:val="00707950"/>
    <w:rsid w:val="00710D1E"/>
    <w:rsid w:val="00712747"/>
    <w:rsid w:val="00712B4D"/>
    <w:rsid w:val="007153B6"/>
    <w:rsid w:val="00716847"/>
    <w:rsid w:val="00717FB8"/>
    <w:rsid w:val="00721C19"/>
    <w:rsid w:val="00722437"/>
    <w:rsid w:val="00722C2B"/>
    <w:rsid w:val="0072543D"/>
    <w:rsid w:val="0072635B"/>
    <w:rsid w:val="007278C4"/>
    <w:rsid w:val="00730179"/>
    <w:rsid w:val="00730F41"/>
    <w:rsid w:val="00731390"/>
    <w:rsid w:val="00732792"/>
    <w:rsid w:val="00732B79"/>
    <w:rsid w:val="00733B3E"/>
    <w:rsid w:val="00734E81"/>
    <w:rsid w:val="00735D94"/>
    <w:rsid w:val="00736D5A"/>
    <w:rsid w:val="00736D77"/>
    <w:rsid w:val="007371C7"/>
    <w:rsid w:val="00740EEA"/>
    <w:rsid w:val="007420D8"/>
    <w:rsid w:val="007435C2"/>
    <w:rsid w:val="00744241"/>
    <w:rsid w:val="00745798"/>
    <w:rsid w:val="00746A0D"/>
    <w:rsid w:val="00746E61"/>
    <w:rsid w:val="00747425"/>
    <w:rsid w:val="0075068D"/>
    <w:rsid w:val="00752A81"/>
    <w:rsid w:val="00753680"/>
    <w:rsid w:val="00753BC9"/>
    <w:rsid w:val="00753D7A"/>
    <w:rsid w:val="00753FE7"/>
    <w:rsid w:val="007550D1"/>
    <w:rsid w:val="00761509"/>
    <w:rsid w:val="00761A3D"/>
    <w:rsid w:val="007623F8"/>
    <w:rsid w:val="00764A75"/>
    <w:rsid w:val="00765F99"/>
    <w:rsid w:val="00767F1A"/>
    <w:rsid w:val="007721FA"/>
    <w:rsid w:val="0077282F"/>
    <w:rsid w:val="00772FBE"/>
    <w:rsid w:val="007730E7"/>
    <w:rsid w:val="007735E7"/>
    <w:rsid w:val="007742A7"/>
    <w:rsid w:val="007742AF"/>
    <w:rsid w:val="007750AA"/>
    <w:rsid w:val="0077667A"/>
    <w:rsid w:val="00776F4E"/>
    <w:rsid w:val="00781F4E"/>
    <w:rsid w:val="0078296D"/>
    <w:rsid w:val="00784772"/>
    <w:rsid w:val="00785256"/>
    <w:rsid w:val="00785781"/>
    <w:rsid w:val="00786EBE"/>
    <w:rsid w:val="0079014E"/>
    <w:rsid w:val="0079092F"/>
    <w:rsid w:val="007910C8"/>
    <w:rsid w:val="00791387"/>
    <w:rsid w:val="00791953"/>
    <w:rsid w:val="00792586"/>
    <w:rsid w:val="00792D9B"/>
    <w:rsid w:val="007930AE"/>
    <w:rsid w:val="00793955"/>
    <w:rsid w:val="00793E96"/>
    <w:rsid w:val="0079475C"/>
    <w:rsid w:val="00795439"/>
    <w:rsid w:val="00796E0E"/>
    <w:rsid w:val="007A1EF8"/>
    <w:rsid w:val="007A3353"/>
    <w:rsid w:val="007A4479"/>
    <w:rsid w:val="007A52D5"/>
    <w:rsid w:val="007A52E6"/>
    <w:rsid w:val="007A63C7"/>
    <w:rsid w:val="007A6C7F"/>
    <w:rsid w:val="007A7DF0"/>
    <w:rsid w:val="007B0DFD"/>
    <w:rsid w:val="007B1479"/>
    <w:rsid w:val="007B16E9"/>
    <w:rsid w:val="007B1E5E"/>
    <w:rsid w:val="007B4C6A"/>
    <w:rsid w:val="007B5641"/>
    <w:rsid w:val="007C1A46"/>
    <w:rsid w:val="007C23F1"/>
    <w:rsid w:val="007C3944"/>
    <w:rsid w:val="007C57C5"/>
    <w:rsid w:val="007C6095"/>
    <w:rsid w:val="007D1D7E"/>
    <w:rsid w:val="007D1F14"/>
    <w:rsid w:val="007D31DE"/>
    <w:rsid w:val="007D40DF"/>
    <w:rsid w:val="007D55C5"/>
    <w:rsid w:val="007D677D"/>
    <w:rsid w:val="007D68F0"/>
    <w:rsid w:val="007D6F06"/>
    <w:rsid w:val="007D729A"/>
    <w:rsid w:val="007D75E8"/>
    <w:rsid w:val="007D77B9"/>
    <w:rsid w:val="007E005B"/>
    <w:rsid w:val="007E0DFE"/>
    <w:rsid w:val="007E115F"/>
    <w:rsid w:val="007E3F78"/>
    <w:rsid w:val="007E4355"/>
    <w:rsid w:val="007E67D7"/>
    <w:rsid w:val="007E7BF3"/>
    <w:rsid w:val="007F16BA"/>
    <w:rsid w:val="007F2A14"/>
    <w:rsid w:val="007F32E8"/>
    <w:rsid w:val="007F6074"/>
    <w:rsid w:val="007F7A41"/>
    <w:rsid w:val="0080035B"/>
    <w:rsid w:val="008007BD"/>
    <w:rsid w:val="0080093C"/>
    <w:rsid w:val="008014A2"/>
    <w:rsid w:val="00801B66"/>
    <w:rsid w:val="008020AD"/>
    <w:rsid w:val="00802B00"/>
    <w:rsid w:val="00803C87"/>
    <w:rsid w:val="0080699D"/>
    <w:rsid w:val="008117AE"/>
    <w:rsid w:val="00811E99"/>
    <w:rsid w:val="00813596"/>
    <w:rsid w:val="008140EF"/>
    <w:rsid w:val="00814920"/>
    <w:rsid w:val="008149EC"/>
    <w:rsid w:val="008161E3"/>
    <w:rsid w:val="00816563"/>
    <w:rsid w:val="00817A90"/>
    <w:rsid w:val="00822261"/>
    <w:rsid w:val="00822548"/>
    <w:rsid w:val="00823D94"/>
    <w:rsid w:val="008240C0"/>
    <w:rsid w:val="008269A9"/>
    <w:rsid w:val="00827C4E"/>
    <w:rsid w:val="00827CD5"/>
    <w:rsid w:val="00830797"/>
    <w:rsid w:val="00830B71"/>
    <w:rsid w:val="00833745"/>
    <w:rsid w:val="00834043"/>
    <w:rsid w:val="0083498E"/>
    <w:rsid w:val="00835584"/>
    <w:rsid w:val="00835DD4"/>
    <w:rsid w:val="00840D91"/>
    <w:rsid w:val="00841250"/>
    <w:rsid w:val="008413C0"/>
    <w:rsid w:val="00843A3A"/>
    <w:rsid w:val="00843FB4"/>
    <w:rsid w:val="00844826"/>
    <w:rsid w:val="00845C42"/>
    <w:rsid w:val="008462C4"/>
    <w:rsid w:val="008466EC"/>
    <w:rsid w:val="008467F2"/>
    <w:rsid w:val="00847138"/>
    <w:rsid w:val="00847437"/>
    <w:rsid w:val="00850ACC"/>
    <w:rsid w:val="0085129D"/>
    <w:rsid w:val="0085170A"/>
    <w:rsid w:val="00852289"/>
    <w:rsid w:val="008527D3"/>
    <w:rsid w:val="00852D8C"/>
    <w:rsid w:val="008536BE"/>
    <w:rsid w:val="00854B17"/>
    <w:rsid w:val="008577F6"/>
    <w:rsid w:val="00857DA2"/>
    <w:rsid w:val="008602F8"/>
    <w:rsid w:val="00860615"/>
    <w:rsid w:val="0086138E"/>
    <w:rsid w:val="008646FE"/>
    <w:rsid w:val="008647E7"/>
    <w:rsid w:val="00865294"/>
    <w:rsid w:val="0086739A"/>
    <w:rsid w:val="0087234F"/>
    <w:rsid w:val="00873E72"/>
    <w:rsid w:val="00875C14"/>
    <w:rsid w:val="00875DAA"/>
    <w:rsid w:val="00876282"/>
    <w:rsid w:val="008774E7"/>
    <w:rsid w:val="0088011E"/>
    <w:rsid w:val="00882BD6"/>
    <w:rsid w:val="00883A45"/>
    <w:rsid w:val="00884B58"/>
    <w:rsid w:val="0088731A"/>
    <w:rsid w:val="008910CD"/>
    <w:rsid w:val="008919A5"/>
    <w:rsid w:val="0089542C"/>
    <w:rsid w:val="00897011"/>
    <w:rsid w:val="0089749C"/>
    <w:rsid w:val="00897C60"/>
    <w:rsid w:val="008A0178"/>
    <w:rsid w:val="008A0829"/>
    <w:rsid w:val="008A0830"/>
    <w:rsid w:val="008A17D1"/>
    <w:rsid w:val="008A319A"/>
    <w:rsid w:val="008A7DDC"/>
    <w:rsid w:val="008B0653"/>
    <w:rsid w:val="008B11E4"/>
    <w:rsid w:val="008B13C4"/>
    <w:rsid w:val="008B69ED"/>
    <w:rsid w:val="008B70A1"/>
    <w:rsid w:val="008B7DBD"/>
    <w:rsid w:val="008C1669"/>
    <w:rsid w:val="008C1B79"/>
    <w:rsid w:val="008C1C05"/>
    <w:rsid w:val="008C4421"/>
    <w:rsid w:val="008C50A5"/>
    <w:rsid w:val="008C745A"/>
    <w:rsid w:val="008C7A3B"/>
    <w:rsid w:val="008D090E"/>
    <w:rsid w:val="008D1669"/>
    <w:rsid w:val="008D21E0"/>
    <w:rsid w:val="008D30D0"/>
    <w:rsid w:val="008D42B9"/>
    <w:rsid w:val="008D44A9"/>
    <w:rsid w:val="008D45AB"/>
    <w:rsid w:val="008D547A"/>
    <w:rsid w:val="008D5AE3"/>
    <w:rsid w:val="008E05AB"/>
    <w:rsid w:val="008E2CF4"/>
    <w:rsid w:val="008E31B4"/>
    <w:rsid w:val="008E36F0"/>
    <w:rsid w:val="008E5105"/>
    <w:rsid w:val="008E7972"/>
    <w:rsid w:val="008F176A"/>
    <w:rsid w:val="008F40CD"/>
    <w:rsid w:val="008F57E2"/>
    <w:rsid w:val="00900A27"/>
    <w:rsid w:val="0090405E"/>
    <w:rsid w:val="00904B05"/>
    <w:rsid w:val="0090500F"/>
    <w:rsid w:val="0090555D"/>
    <w:rsid w:val="00905B54"/>
    <w:rsid w:val="00910655"/>
    <w:rsid w:val="0091087E"/>
    <w:rsid w:val="00911EE1"/>
    <w:rsid w:val="00913025"/>
    <w:rsid w:val="00913447"/>
    <w:rsid w:val="00913DA3"/>
    <w:rsid w:val="009152EC"/>
    <w:rsid w:val="00915F67"/>
    <w:rsid w:val="00917944"/>
    <w:rsid w:val="00922DA5"/>
    <w:rsid w:val="009245F9"/>
    <w:rsid w:val="009255F5"/>
    <w:rsid w:val="00925CB3"/>
    <w:rsid w:val="00927274"/>
    <w:rsid w:val="009276EA"/>
    <w:rsid w:val="009278DC"/>
    <w:rsid w:val="00927D7A"/>
    <w:rsid w:val="00927D9D"/>
    <w:rsid w:val="00930234"/>
    <w:rsid w:val="0093180E"/>
    <w:rsid w:val="009335BD"/>
    <w:rsid w:val="00933FF8"/>
    <w:rsid w:val="00934542"/>
    <w:rsid w:val="00934571"/>
    <w:rsid w:val="00936DF0"/>
    <w:rsid w:val="00941FDF"/>
    <w:rsid w:val="0094267A"/>
    <w:rsid w:val="00943FB6"/>
    <w:rsid w:val="009456BF"/>
    <w:rsid w:val="0094583A"/>
    <w:rsid w:val="00951C8B"/>
    <w:rsid w:val="00951FCA"/>
    <w:rsid w:val="00953554"/>
    <w:rsid w:val="0095579D"/>
    <w:rsid w:val="00955E08"/>
    <w:rsid w:val="00955EB1"/>
    <w:rsid w:val="00956212"/>
    <w:rsid w:val="00956FC8"/>
    <w:rsid w:val="00957858"/>
    <w:rsid w:val="00960DEC"/>
    <w:rsid w:val="009610E6"/>
    <w:rsid w:val="00961BCD"/>
    <w:rsid w:val="00961E34"/>
    <w:rsid w:val="009627FC"/>
    <w:rsid w:val="009634C0"/>
    <w:rsid w:val="00963BC4"/>
    <w:rsid w:val="0096428A"/>
    <w:rsid w:val="009655B3"/>
    <w:rsid w:val="00966DF1"/>
    <w:rsid w:val="00970169"/>
    <w:rsid w:val="00972843"/>
    <w:rsid w:val="0097351F"/>
    <w:rsid w:val="009738BC"/>
    <w:rsid w:val="009739FE"/>
    <w:rsid w:val="00973A19"/>
    <w:rsid w:val="00974DCF"/>
    <w:rsid w:val="009759E8"/>
    <w:rsid w:val="00976B03"/>
    <w:rsid w:val="00976CA6"/>
    <w:rsid w:val="00976F01"/>
    <w:rsid w:val="00977C0A"/>
    <w:rsid w:val="00980C40"/>
    <w:rsid w:val="009833F1"/>
    <w:rsid w:val="00983CCE"/>
    <w:rsid w:val="009860C5"/>
    <w:rsid w:val="0099136D"/>
    <w:rsid w:val="0099230F"/>
    <w:rsid w:val="00993CAB"/>
    <w:rsid w:val="00995B88"/>
    <w:rsid w:val="00995C3E"/>
    <w:rsid w:val="00995F22"/>
    <w:rsid w:val="00996256"/>
    <w:rsid w:val="00996B16"/>
    <w:rsid w:val="00997289"/>
    <w:rsid w:val="009A2806"/>
    <w:rsid w:val="009A6261"/>
    <w:rsid w:val="009A670E"/>
    <w:rsid w:val="009A7880"/>
    <w:rsid w:val="009A7A7C"/>
    <w:rsid w:val="009A7EF4"/>
    <w:rsid w:val="009B0C7A"/>
    <w:rsid w:val="009B1AB0"/>
    <w:rsid w:val="009B26D3"/>
    <w:rsid w:val="009B4DA9"/>
    <w:rsid w:val="009B6E47"/>
    <w:rsid w:val="009B7A57"/>
    <w:rsid w:val="009C0028"/>
    <w:rsid w:val="009C25EF"/>
    <w:rsid w:val="009C2A6D"/>
    <w:rsid w:val="009C2A97"/>
    <w:rsid w:val="009C2AC7"/>
    <w:rsid w:val="009C3359"/>
    <w:rsid w:val="009C451C"/>
    <w:rsid w:val="009C57CD"/>
    <w:rsid w:val="009D0440"/>
    <w:rsid w:val="009D13B3"/>
    <w:rsid w:val="009D1429"/>
    <w:rsid w:val="009D1A1D"/>
    <w:rsid w:val="009D21C2"/>
    <w:rsid w:val="009D2A40"/>
    <w:rsid w:val="009D2C37"/>
    <w:rsid w:val="009D3108"/>
    <w:rsid w:val="009D3247"/>
    <w:rsid w:val="009D49A5"/>
    <w:rsid w:val="009D55AF"/>
    <w:rsid w:val="009D7C85"/>
    <w:rsid w:val="009E11C7"/>
    <w:rsid w:val="009E30F7"/>
    <w:rsid w:val="009E3409"/>
    <w:rsid w:val="009E52AF"/>
    <w:rsid w:val="009E6117"/>
    <w:rsid w:val="009F07A3"/>
    <w:rsid w:val="009F2945"/>
    <w:rsid w:val="009F2D38"/>
    <w:rsid w:val="009F4377"/>
    <w:rsid w:val="009F4608"/>
    <w:rsid w:val="009F7495"/>
    <w:rsid w:val="009F7ACE"/>
    <w:rsid w:val="009F7B34"/>
    <w:rsid w:val="009F7F41"/>
    <w:rsid w:val="00A00914"/>
    <w:rsid w:val="00A0232E"/>
    <w:rsid w:val="00A02DFB"/>
    <w:rsid w:val="00A05797"/>
    <w:rsid w:val="00A076DD"/>
    <w:rsid w:val="00A102C6"/>
    <w:rsid w:val="00A1061A"/>
    <w:rsid w:val="00A137B8"/>
    <w:rsid w:val="00A13D48"/>
    <w:rsid w:val="00A14940"/>
    <w:rsid w:val="00A15A57"/>
    <w:rsid w:val="00A21C2B"/>
    <w:rsid w:val="00A22336"/>
    <w:rsid w:val="00A226B7"/>
    <w:rsid w:val="00A25759"/>
    <w:rsid w:val="00A2583A"/>
    <w:rsid w:val="00A25B83"/>
    <w:rsid w:val="00A25C6A"/>
    <w:rsid w:val="00A25E52"/>
    <w:rsid w:val="00A27842"/>
    <w:rsid w:val="00A306E2"/>
    <w:rsid w:val="00A31065"/>
    <w:rsid w:val="00A31F86"/>
    <w:rsid w:val="00A3728B"/>
    <w:rsid w:val="00A378E3"/>
    <w:rsid w:val="00A4070B"/>
    <w:rsid w:val="00A40882"/>
    <w:rsid w:val="00A41FF0"/>
    <w:rsid w:val="00A436E2"/>
    <w:rsid w:val="00A45BFD"/>
    <w:rsid w:val="00A5049F"/>
    <w:rsid w:val="00A50B7C"/>
    <w:rsid w:val="00A52A6E"/>
    <w:rsid w:val="00A610CB"/>
    <w:rsid w:val="00A6113F"/>
    <w:rsid w:val="00A6131A"/>
    <w:rsid w:val="00A61AD2"/>
    <w:rsid w:val="00A638BA"/>
    <w:rsid w:val="00A64363"/>
    <w:rsid w:val="00A65ABF"/>
    <w:rsid w:val="00A65D31"/>
    <w:rsid w:val="00A670E2"/>
    <w:rsid w:val="00A67165"/>
    <w:rsid w:val="00A671C9"/>
    <w:rsid w:val="00A70916"/>
    <w:rsid w:val="00A724B2"/>
    <w:rsid w:val="00A72619"/>
    <w:rsid w:val="00A73AD8"/>
    <w:rsid w:val="00A7507C"/>
    <w:rsid w:val="00A7597C"/>
    <w:rsid w:val="00A75DDA"/>
    <w:rsid w:val="00A763A0"/>
    <w:rsid w:val="00A81D5F"/>
    <w:rsid w:val="00A82A5D"/>
    <w:rsid w:val="00A82C2C"/>
    <w:rsid w:val="00A83C66"/>
    <w:rsid w:val="00A8442B"/>
    <w:rsid w:val="00A85050"/>
    <w:rsid w:val="00A85094"/>
    <w:rsid w:val="00A857CF"/>
    <w:rsid w:val="00A873F4"/>
    <w:rsid w:val="00A92DD3"/>
    <w:rsid w:val="00A92E70"/>
    <w:rsid w:val="00A958F7"/>
    <w:rsid w:val="00A95DB5"/>
    <w:rsid w:val="00A96D0D"/>
    <w:rsid w:val="00A97058"/>
    <w:rsid w:val="00AA0668"/>
    <w:rsid w:val="00AA1517"/>
    <w:rsid w:val="00AA18B1"/>
    <w:rsid w:val="00AA1AB6"/>
    <w:rsid w:val="00AA3315"/>
    <w:rsid w:val="00AA3698"/>
    <w:rsid w:val="00AA37EA"/>
    <w:rsid w:val="00AA4326"/>
    <w:rsid w:val="00AA5F0C"/>
    <w:rsid w:val="00AA6052"/>
    <w:rsid w:val="00AA6EC6"/>
    <w:rsid w:val="00AA7123"/>
    <w:rsid w:val="00AA7EF0"/>
    <w:rsid w:val="00AB1358"/>
    <w:rsid w:val="00AB22EF"/>
    <w:rsid w:val="00AB23DA"/>
    <w:rsid w:val="00AB5AD1"/>
    <w:rsid w:val="00AB67A7"/>
    <w:rsid w:val="00AB69C6"/>
    <w:rsid w:val="00AB6AB9"/>
    <w:rsid w:val="00AB71F8"/>
    <w:rsid w:val="00AB7888"/>
    <w:rsid w:val="00AB7DF2"/>
    <w:rsid w:val="00AC0405"/>
    <w:rsid w:val="00AC08B8"/>
    <w:rsid w:val="00AC111D"/>
    <w:rsid w:val="00AC3054"/>
    <w:rsid w:val="00AC3F73"/>
    <w:rsid w:val="00AC5541"/>
    <w:rsid w:val="00AD23A0"/>
    <w:rsid w:val="00AD2BF1"/>
    <w:rsid w:val="00AD50DE"/>
    <w:rsid w:val="00AD579F"/>
    <w:rsid w:val="00AD58B5"/>
    <w:rsid w:val="00AE1218"/>
    <w:rsid w:val="00AE134B"/>
    <w:rsid w:val="00AE1469"/>
    <w:rsid w:val="00AE2B73"/>
    <w:rsid w:val="00AE367D"/>
    <w:rsid w:val="00AE4EC2"/>
    <w:rsid w:val="00AE5B81"/>
    <w:rsid w:val="00AE695D"/>
    <w:rsid w:val="00AE7A55"/>
    <w:rsid w:val="00AE7FDF"/>
    <w:rsid w:val="00AF3397"/>
    <w:rsid w:val="00AF35FB"/>
    <w:rsid w:val="00AF4031"/>
    <w:rsid w:val="00AF4152"/>
    <w:rsid w:val="00AF660D"/>
    <w:rsid w:val="00AF77DD"/>
    <w:rsid w:val="00AF7ADB"/>
    <w:rsid w:val="00B001B5"/>
    <w:rsid w:val="00B01950"/>
    <w:rsid w:val="00B0376D"/>
    <w:rsid w:val="00B03EB8"/>
    <w:rsid w:val="00B056CA"/>
    <w:rsid w:val="00B05E66"/>
    <w:rsid w:val="00B10944"/>
    <w:rsid w:val="00B127DE"/>
    <w:rsid w:val="00B12E06"/>
    <w:rsid w:val="00B135F0"/>
    <w:rsid w:val="00B140F8"/>
    <w:rsid w:val="00B16402"/>
    <w:rsid w:val="00B17048"/>
    <w:rsid w:val="00B17913"/>
    <w:rsid w:val="00B17C58"/>
    <w:rsid w:val="00B17D05"/>
    <w:rsid w:val="00B21058"/>
    <w:rsid w:val="00B222A0"/>
    <w:rsid w:val="00B24ECA"/>
    <w:rsid w:val="00B25246"/>
    <w:rsid w:val="00B2687A"/>
    <w:rsid w:val="00B27AEF"/>
    <w:rsid w:val="00B27F61"/>
    <w:rsid w:val="00B30785"/>
    <w:rsid w:val="00B309F6"/>
    <w:rsid w:val="00B32CD8"/>
    <w:rsid w:val="00B33659"/>
    <w:rsid w:val="00B343C2"/>
    <w:rsid w:val="00B34E00"/>
    <w:rsid w:val="00B358F5"/>
    <w:rsid w:val="00B368C6"/>
    <w:rsid w:val="00B36DF0"/>
    <w:rsid w:val="00B37203"/>
    <w:rsid w:val="00B407F1"/>
    <w:rsid w:val="00B41D41"/>
    <w:rsid w:val="00B41EB0"/>
    <w:rsid w:val="00B42E75"/>
    <w:rsid w:val="00B44AA3"/>
    <w:rsid w:val="00B46562"/>
    <w:rsid w:val="00B46A41"/>
    <w:rsid w:val="00B470B3"/>
    <w:rsid w:val="00B47265"/>
    <w:rsid w:val="00B501EE"/>
    <w:rsid w:val="00B502AD"/>
    <w:rsid w:val="00B50A28"/>
    <w:rsid w:val="00B50FD2"/>
    <w:rsid w:val="00B52329"/>
    <w:rsid w:val="00B52AF8"/>
    <w:rsid w:val="00B53508"/>
    <w:rsid w:val="00B53B68"/>
    <w:rsid w:val="00B54D2A"/>
    <w:rsid w:val="00B54DD1"/>
    <w:rsid w:val="00B5527B"/>
    <w:rsid w:val="00B55552"/>
    <w:rsid w:val="00B57352"/>
    <w:rsid w:val="00B60C20"/>
    <w:rsid w:val="00B6341D"/>
    <w:rsid w:val="00B66084"/>
    <w:rsid w:val="00B66FD5"/>
    <w:rsid w:val="00B729AC"/>
    <w:rsid w:val="00B745F9"/>
    <w:rsid w:val="00B7490E"/>
    <w:rsid w:val="00B756F6"/>
    <w:rsid w:val="00B75EE1"/>
    <w:rsid w:val="00B76848"/>
    <w:rsid w:val="00B80921"/>
    <w:rsid w:val="00B8106A"/>
    <w:rsid w:val="00B8238A"/>
    <w:rsid w:val="00B8467B"/>
    <w:rsid w:val="00B84DC1"/>
    <w:rsid w:val="00B90E83"/>
    <w:rsid w:val="00B91B55"/>
    <w:rsid w:val="00B91E4B"/>
    <w:rsid w:val="00B93940"/>
    <w:rsid w:val="00B942F3"/>
    <w:rsid w:val="00B94C17"/>
    <w:rsid w:val="00B950A6"/>
    <w:rsid w:val="00B9548E"/>
    <w:rsid w:val="00B962B6"/>
    <w:rsid w:val="00BA0080"/>
    <w:rsid w:val="00BA1658"/>
    <w:rsid w:val="00BA2C47"/>
    <w:rsid w:val="00BA34E2"/>
    <w:rsid w:val="00BA457A"/>
    <w:rsid w:val="00BA4A0D"/>
    <w:rsid w:val="00BA5721"/>
    <w:rsid w:val="00BB5F8F"/>
    <w:rsid w:val="00BB62BA"/>
    <w:rsid w:val="00BB643D"/>
    <w:rsid w:val="00BB6ABE"/>
    <w:rsid w:val="00BB7231"/>
    <w:rsid w:val="00BB766D"/>
    <w:rsid w:val="00BC007A"/>
    <w:rsid w:val="00BC0504"/>
    <w:rsid w:val="00BC0F57"/>
    <w:rsid w:val="00BC2ADA"/>
    <w:rsid w:val="00BC2BBD"/>
    <w:rsid w:val="00BC2F9E"/>
    <w:rsid w:val="00BC33A9"/>
    <w:rsid w:val="00BC43C4"/>
    <w:rsid w:val="00BC5928"/>
    <w:rsid w:val="00BC666D"/>
    <w:rsid w:val="00BC6D45"/>
    <w:rsid w:val="00BC726C"/>
    <w:rsid w:val="00BC73B2"/>
    <w:rsid w:val="00BD059F"/>
    <w:rsid w:val="00BD145D"/>
    <w:rsid w:val="00BD1DB9"/>
    <w:rsid w:val="00BD2088"/>
    <w:rsid w:val="00BD2366"/>
    <w:rsid w:val="00BD29E4"/>
    <w:rsid w:val="00BD2ED2"/>
    <w:rsid w:val="00BD37C9"/>
    <w:rsid w:val="00BD416A"/>
    <w:rsid w:val="00BD4FE7"/>
    <w:rsid w:val="00BD7ED3"/>
    <w:rsid w:val="00BE02D5"/>
    <w:rsid w:val="00BE136A"/>
    <w:rsid w:val="00BE2E41"/>
    <w:rsid w:val="00BE2EE9"/>
    <w:rsid w:val="00BE37FE"/>
    <w:rsid w:val="00BE4600"/>
    <w:rsid w:val="00BF0103"/>
    <w:rsid w:val="00BF081C"/>
    <w:rsid w:val="00BF0E7B"/>
    <w:rsid w:val="00BF1371"/>
    <w:rsid w:val="00BF4032"/>
    <w:rsid w:val="00BF6D81"/>
    <w:rsid w:val="00C0158B"/>
    <w:rsid w:val="00C01B82"/>
    <w:rsid w:val="00C04ACB"/>
    <w:rsid w:val="00C058CC"/>
    <w:rsid w:val="00C06DA2"/>
    <w:rsid w:val="00C078AA"/>
    <w:rsid w:val="00C07FD4"/>
    <w:rsid w:val="00C10CDA"/>
    <w:rsid w:val="00C11981"/>
    <w:rsid w:val="00C121AA"/>
    <w:rsid w:val="00C122EA"/>
    <w:rsid w:val="00C12EBB"/>
    <w:rsid w:val="00C138C0"/>
    <w:rsid w:val="00C1575F"/>
    <w:rsid w:val="00C15C03"/>
    <w:rsid w:val="00C15D0E"/>
    <w:rsid w:val="00C214CC"/>
    <w:rsid w:val="00C22072"/>
    <w:rsid w:val="00C22B23"/>
    <w:rsid w:val="00C23710"/>
    <w:rsid w:val="00C2512A"/>
    <w:rsid w:val="00C25486"/>
    <w:rsid w:val="00C25D59"/>
    <w:rsid w:val="00C2710A"/>
    <w:rsid w:val="00C27BE9"/>
    <w:rsid w:val="00C30F39"/>
    <w:rsid w:val="00C3123A"/>
    <w:rsid w:val="00C32541"/>
    <w:rsid w:val="00C33619"/>
    <w:rsid w:val="00C3726D"/>
    <w:rsid w:val="00C436FC"/>
    <w:rsid w:val="00C43BE2"/>
    <w:rsid w:val="00C448E1"/>
    <w:rsid w:val="00C4578B"/>
    <w:rsid w:val="00C45B24"/>
    <w:rsid w:val="00C46259"/>
    <w:rsid w:val="00C50713"/>
    <w:rsid w:val="00C508F6"/>
    <w:rsid w:val="00C50AF6"/>
    <w:rsid w:val="00C51DE0"/>
    <w:rsid w:val="00C51ECF"/>
    <w:rsid w:val="00C5257D"/>
    <w:rsid w:val="00C53F30"/>
    <w:rsid w:val="00C541E7"/>
    <w:rsid w:val="00C56039"/>
    <w:rsid w:val="00C60143"/>
    <w:rsid w:val="00C61ADD"/>
    <w:rsid w:val="00C62428"/>
    <w:rsid w:val="00C6290D"/>
    <w:rsid w:val="00C62AA0"/>
    <w:rsid w:val="00C636DB"/>
    <w:rsid w:val="00C662DC"/>
    <w:rsid w:val="00C669ED"/>
    <w:rsid w:val="00C6753E"/>
    <w:rsid w:val="00C6781D"/>
    <w:rsid w:val="00C67F42"/>
    <w:rsid w:val="00C709CE"/>
    <w:rsid w:val="00C7150E"/>
    <w:rsid w:val="00C7185A"/>
    <w:rsid w:val="00C727DC"/>
    <w:rsid w:val="00C72993"/>
    <w:rsid w:val="00C73787"/>
    <w:rsid w:val="00C73BC2"/>
    <w:rsid w:val="00C74722"/>
    <w:rsid w:val="00C74A48"/>
    <w:rsid w:val="00C75440"/>
    <w:rsid w:val="00C7666C"/>
    <w:rsid w:val="00C775EF"/>
    <w:rsid w:val="00C80DF3"/>
    <w:rsid w:val="00C818E7"/>
    <w:rsid w:val="00C820C1"/>
    <w:rsid w:val="00C832A0"/>
    <w:rsid w:val="00C834AD"/>
    <w:rsid w:val="00C835EE"/>
    <w:rsid w:val="00C837A7"/>
    <w:rsid w:val="00C83F7A"/>
    <w:rsid w:val="00C843E6"/>
    <w:rsid w:val="00C844FF"/>
    <w:rsid w:val="00C85921"/>
    <w:rsid w:val="00C86740"/>
    <w:rsid w:val="00C86B86"/>
    <w:rsid w:val="00C86E68"/>
    <w:rsid w:val="00C86F8A"/>
    <w:rsid w:val="00C87319"/>
    <w:rsid w:val="00C9051F"/>
    <w:rsid w:val="00C91550"/>
    <w:rsid w:val="00CA0158"/>
    <w:rsid w:val="00CA101B"/>
    <w:rsid w:val="00CA14DD"/>
    <w:rsid w:val="00CA32A4"/>
    <w:rsid w:val="00CA439B"/>
    <w:rsid w:val="00CA5FB8"/>
    <w:rsid w:val="00CA6062"/>
    <w:rsid w:val="00CA77CD"/>
    <w:rsid w:val="00CA7F7C"/>
    <w:rsid w:val="00CB0BE0"/>
    <w:rsid w:val="00CB23FE"/>
    <w:rsid w:val="00CB276D"/>
    <w:rsid w:val="00CB5CDB"/>
    <w:rsid w:val="00CB66EF"/>
    <w:rsid w:val="00CB6F4D"/>
    <w:rsid w:val="00CC0A3F"/>
    <w:rsid w:val="00CC0C2E"/>
    <w:rsid w:val="00CC12F8"/>
    <w:rsid w:val="00CC1897"/>
    <w:rsid w:val="00CC2AC7"/>
    <w:rsid w:val="00CC32B6"/>
    <w:rsid w:val="00CC59DD"/>
    <w:rsid w:val="00CC68C0"/>
    <w:rsid w:val="00CD22C0"/>
    <w:rsid w:val="00CD5D40"/>
    <w:rsid w:val="00CD6F92"/>
    <w:rsid w:val="00CE0B19"/>
    <w:rsid w:val="00CE1020"/>
    <w:rsid w:val="00CE1C7C"/>
    <w:rsid w:val="00CE3F36"/>
    <w:rsid w:val="00CE53F8"/>
    <w:rsid w:val="00CE5FCC"/>
    <w:rsid w:val="00CE6F2E"/>
    <w:rsid w:val="00CE75F5"/>
    <w:rsid w:val="00CF3669"/>
    <w:rsid w:val="00CF370B"/>
    <w:rsid w:val="00CF4254"/>
    <w:rsid w:val="00CF4579"/>
    <w:rsid w:val="00CF506B"/>
    <w:rsid w:val="00CF5119"/>
    <w:rsid w:val="00CF602F"/>
    <w:rsid w:val="00CF635C"/>
    <w:rsid w:val="00CF71F3"/>
    <w:rsid w:val="00D00374"/>
    <w:rsid w:val="00D02049"/>
    <w:rsid w:val="00D02C0E"/>
    <w:rsid w:val="00D02E9D"/>
    <w:rsid w:val="00D03EE3"/>
    <w:rsid w:val="00D056D0"/>
    <w:rsid w:val="00D05D18"/>
    <w:rsid w:val="00D06615"/>
    <w:rsid w:val="00D10423"/>
    <w:rsid w:val="00D15BD5"/>
    <w:rsid w:val="00D17C77"/>
    <w:rsid w:val="00D202A6"/>
    <w:rsid w:val="00D2354A"/>
    <w:rsid w:val="00D24E40"/>
    <w:rsid w:val="00D306D1"/>
    <w:rsid w:val="00D311EA"/>
    <w:rsid w:val="00D320E5"/>
    <w:rsid w:val="00D32D1E"/>
    <w:rsid w:val="00D33D09"/>
    <w:rsid w:val="00D40144"/>
    <w:rsid w:val="00D41C49"/>
    <w:rsid w:val="00D44657"/>
    <w:rsid w:val="00D452AA"/>
    <w:rsid w:val="00D45972"/>
    <w:rsid w:val="00D46C30"/>
    <w:rsid w:val="00D47274"/>
    <w:rsid w:val="00D47F89"/>
    <w:rsid w:val="00D502C9"/>
    <w:rsid w:val="00D522CD"/>
    <w:rsid w:val="00D536CE"/>
    <w:rsid w:val="00D54801"/>
    <w:rsid w:val="00D54E8B"/>
    <w:rsid w:val="00D54EE9"/>
    <w:rsid w:val="00D553D0"/>
    <w:rsid w:val="00D55741"/>
    <w:rsid w:val="00D5726F"/>
    <w:rsid w:val="00D5760F"/>
    <w:rsid w:val="00D5769C"/>
    <w:rsid w:val="00D6023D"/>
    <w:rsid w:val="00D616B5"/>
    <w:rsid w:val="00D61F78"/>
    <w:rsid w:val="00D621E3"/>
    <w:rsid w:val="00D62D2C"/>
    <w:rsid w:val="00D638C2"/>
    <w:rsid w:val="00D64B25"/>
    <w:rsid w:val="00D664C4"/>
    <w:rsid w:val="00D66BBD"/>
    <w:rsid w:val="00D67BD9"/>
    <w:rsid w:val="00D74A27"/>
    <w:rsid w:val="00D74A81"/>
    <w:rsid w:val="00D75D2F"/>
    <w:rsid w:val="00D762B1"/>
    <w:rsid w:val="00D76DAD"/>
    <w:rsid w:val="00D7769A"/>
    <w:rsid w:val="00D777DF"/>
    <w:rsid w:val="00D77C0A"/>
    <w:rsid w:val="00D805FD"/>
    <w:rsid w:val="00D8060A"/>
    <w:rsid w:val="00D81952"/>
    <w:rsid w:val="00D82133"/>
    <w:rsid w:val="00D821AF"/>
    <w:rsid w:val="00D84393"/>
    <w:rsid w:val="00D84644"/>
    <w:rsid w:val="00D856BF"/>
    <w:rsid w:val="00D86625"/>
    <w:rsid w:val="00D91065"/>
    <w:rsid w:val="00D92949"/>
    <w:rsid w:val="00D937EB"/>
    <w:rsid w:val="00D93EAF"/>
    <w:rsid w:val="00D93FFD"/>
    <w:rsid w:val="00D961F9"/>
    <w:rsid w:val="00D97BF1"/>
    <w:rsid w:val="00DA15EF"/>
    <w:rsid w:val="00DA222D"/>
    <w:rsid w:val="00DA29A4"/>
    <w:rsid w:val="00DA2E7B"/>
    <w:rsid w:val="00DA4354"/>
    <w:rsid w:val="00DA71C5"/>
    <w:rsid w:val="00DB0C54"/>
    <w:rsid w:val="00DB0CDB"/>
    <w:rsid w:val="00DB122E"/>
    <w:rsid w:val="00DB30D8"/>
    <w:rsid w:val="00DB64D3"/>
    <w:rsid w:val="00DB757E"/>
    <w:rsid w:val="00DB7EFA"/>
    <w:rsid w:val="00DC02DF"/>
    <w:rsid w:val="00DC0B7B"/>
    <w:rsid w:val="00DC2A1D"/>
    <w:rsid w:val="00DC30F6"/>
    <w:rsid w:val="00DC3B63"/>
    <w:rsid w:val="00DC3BD4"/>
    <w:rsid w:val="00DC3CB0"/>
    <w:rsid w:val="00DC3DD8"/>
    <w:rsid w:val="00DC45C7"/>
    <w:rsid w:val="00DC4796"/>
    <w:rsid w:val="00DC6C16"/>
    <w:rsid w:val="00DC7D3D"/>
    <w:rsid w:val="00DD04F0"/>
    <w:rsid w:val="00DD276B"/>
    <w:rsid w:val="00DD2B77"/>
    <w:rsid w:val="00DD36AA"/>
    <w:rsid w:val="00DD3741"/>
    <w:rsid w:val="00DD3980"/>
    <w:rsid w:val="00DD520D"/>
    <w:rsid w:val="00DE1980"/>
    <w:rsid w:val="00DE1F80"/>
    <w:rsid w:val="00DE2C8D"/>
    <w:rsid w:val="00DE4CD4"/>
    <w:rsid w:val="00DE61BE"/>
    <w:rsid w:val="00DF166D"/>
    <w:rsid w:val="00DF3B45"/>
    <w:rsid w:val="00DF3E75"/>
    <w:rsid w:val="00DF3F00"/>
    <w:rsid w:val="00DF40AE"/>
    <w:rsid w:val="00DF607B"/>
    <w:rsid w:val="00DF6975"/>
    <w:rsid w:val="00DF7FF9"/>
    <w:rsid w:val="00E001BA"/>
    <w:rsid w:val="00E002CC"/>
    <w:rsid w:val="00E00392"/>
    <w:rsid w:val="00E00583"/>
    <w:rsid w:val="00E01D1D"/>
    <w:rsid w:val="00E02029"/>
    <w:rsid w:val="00E0479B"/>
    <w:rsid w:val="00E05736"/>
    <w:rsid w:val="00E071CF"/>
    <w:rsid w:val="00E07299"/>
    <w:rsid w:val="00E07634"/>
    <w:rsid w:val="00E10132"/>
    <w:rsid w:val="00E1262E"/>
    <w:rsid w:val="00E128B4"/>
    <w:rsid w:val="00E12A78"/>
    <w:rsid w:val="00E14D34"/>
    <w:rsid w:val="00E15B2A"/>
    <w:rsid w:val="00E15E9A"/>
    <w:rsid w:val="00E16A05"/>
    <w:rsid w:val="00E17321"/>
    <w:rsid w:val="00E176C0"/>
    <w:rsid w:val="00E179A0"/>
    <w:rsid w:val="00E21F2D"/>
    <w:rsid w:val="00E228A2"/>
    <w:rsid w:val="00E233EA"/>
    <w:rsid w:val="00E23822"/>
    <w:rsid w:val="00E249CF"/>
    <w:rsid w:val="00E2640B"/>
    <w:rsid w:val="00E26E8E"/>
    <w:rsid w:val="00E27B15"/>
    <w:rsid w:val="00E30AD0"/>
    <w:rsid w:val="00E312C6"/>
    <w:rsid w:val="00E31B06"/>
    <w:rsid w:val="00E3207B"/>
    <w:rsid w:val="00E323A5"/>
    <w:rsid w:val="00E328AC"/>
    <w:rsid w:val="00E3348C"/>
    <w:rsid w:val="00E3439B"/>
    <w:rsid w:val="00E34493"/>
    <w:rsid w:val="00E3464F"/>
    <w:rsid w:val="00E348DD"/>
    <w:rsid w:val="00E35169"/>
    <w:rsid w:val="00E35C5A"/>
    <w:rsid w:val="00E35E84"/>
    <w:rsid w:val="00E40CD4"/>
    <w:rsid w:val="00E4198A"/>
    <w:rsid w:val="00E4566E"/>
    <w:rsid w:val="00E45858"/>
    <w:rsid w:val="00E46A44"/>
    <w:rsid w:val="00E47029"/>
    <w:rsid w:val="00E511D0"/>
    <w:rsid w:val="00E520E7"/>
    <w:rsid w:val="00E52A46"/>
    <w:rsid w:val="00E52FE6"/>
    <w:rsid w:val="00E5770A"/>
    <w:rsid w:val="00E614ED"/>
    <w:rsid w:val="00E61526"/>
    <w:rsid w:val="00E6157E"/>
    <w:rsid w:val="00E62B2E"/>
    <w:rsid w:val="00E63089"/>
    <w:rsid w:val="00E65108"/>
    <w:rsid w:val="00E656B9"/>
    <w:rsid w:val="00E669E5"/>
    <w:rsid w:val="00E66E56"/>
    <w:rsid w:val="00E7362B"/>
    <w:rsid w:val="00E73DCB"/>
    <w:rsid w:val="00E746FB"/>
    <w:rsid w:val="00E76FC8"/>
    <w:rsid w:val="00E805B6"/>
    <w:rsid w:val="00E80C84"/>
    <w:rsid w:val="00E82072"/>
    <w:rsid w:val="00E82AC2"/>
    <w:rsid w:val="00E85621"/>
    <w:rsid w:val="00E85854"/>
    <w:rsid w:val="00E85B21"/>
    <w:rsid w:val="00E900F6"/>
    <w:rsid w:val="00E9091B"/>
    <w:rsid w:val="00E90D81"/>
    <w:rsid w:val="00E96253"/>
    <w:rsid w:val="00E96AAD"/>
    <w:rsid w:val="00EA0817"/>
    <w:rsid w:val="00EA218D"/>
    <w:rsid w:val="00EA3FF4"/>
    <w:rsid w:val="00EA43E4"/>
    <w:rsid w:val="00EA5350"/>
    <w:rsid w:val="00EA6320"/>
    <w:rsid w:val="00EA7C9D"/>
    <w:rsid w:val="00EB18A9"/>
    <w:rsid w:val="00EB29B8"/>
    <w:rsid w:val="00EB4F00"/>
    <w:rsid w:val="00EC021B"/>
    <w:rsid w:val="00EC092E"/>
    <w:rsid w:val="00EC24A1"/>
    <w:rsid w:val="00EC3136"/>
    <w:rsid w:val="00EC36AA"/>
    <w:rsid w:val="00EC5148"/>
    <w:rsid w:val="00EC6524"/>
    <w:rsid w:val="00ED0D73"/>
    <w:rsid w:val="00ED1390"/>
    <w:rsid w:val="00ED19C4"/>
    <w:rsid w:val="00ED3F5E"/>
    <w:rsid w:val="00ED40E1"/>
    <w:rsid w:val="00ED53DA"/>
    <w:rsid w:val="00ED5541"/>
    <w:rsid w:val="00ED5E3C"/>
    <w:rsid w:val="00ED6295"/>
    <w:rsid w:val="00ED6EF1"/>
    <w:rsid w:val="00ED7439"/>
    <w:rsid w:val="00ED7EB7"/>
    <w:rsid w:val="00EE21FE"/>
    <w:rsid w:val="00EE28D7"/>
    <w:rsid w:val="00EE4038"/>
    <w:rsid w:val="00EE4624"/>
    <w:rsid w:val="00EE6D6E"/>
    <w:rsid w:val="00EE7E98"/>
    <w:rsid w:val="00EF2AA3"/>
    <w:rsid w:val="00EF3090"/>
    <w:rsid w:val="00EF358C"/>
    <w:rsid w:val="00EF3F27"/>
    <w:rsid w:val="00EF4AE7"/>
    <w:rsid w:val="00EF6890"/>
    <w:rsid w:val="00F0102A"/>
    <w:rsid w:val="00F010FD"/>
    <w:rsid w:val="00F02E40"/>
    <w:rsid w:val="00F04010"/>
    <w:rsid w:val="00F04907"/>
    <w:rsid w:val="00F06060"/>
    <w:rsid w:val="00F06529"/>
    <w:rsid w:val="00F067B4"/>
    <w:rsid w:val="00F06FD7"/>
    <w:rsid w:val="00F134EE"/>
    <w:rsid w:val="00F1350F"/>
    <w:rsid w:val="00F1427E"/>
    <w:rsid w:val="00F145F7"/>
    <w:rsid w:val="00F153F5"/>
    <w:rsid w:val="00F15DD5"/>
    <w:rsid w:val="00F204BE"/>
    <w:rsid w:val="00F206DE"/>
    <w:rsid w:val="00F22DD1"/>
    <w:rsid w:val="00F23E12"/>
    <w:rsid w:val="00F245E2"/>
    <w:rsid w:val="00F25F5E"/>
    <w:rsid w:val="00F26599"/>
    <w:rsid w:val="00F301D6"/>
    <w:rsid w:val="00F30DEE"/>
    <w:rsid w:val="00F318BA"/>
    <w:rsid w:val="00F34CE4"/>
    <w:rsid w:val="00F34FB8"/>
    <w:rsid w:val="00F354C1"/>
    <w:rsid w:val="00F35FE6"/>
    <w:rsid w:val="00F36267"/>
    <w:rsid w:val="00F368FF"/>
    <w:rsid w:val="00F37B48"/>
    <w:rsid w:val="00F40524"/>
    <w:rsid w:val="00F40877"/>
    <w:rsid w:val="00F40890"/>
    <w:rsid w:val="00F40F90"/>
    <w:rsid w:val="00F46BCE"/>
    <w:rsid w:val="00F46CB1"/>
    <w:rsid w:val="00F472EC"/>
    <w:rsid w:val="00F47AE2"/>
    <w:rsid w:val="00F51A02"/>
    <w:rsid w:val="00F51B51"/>
    <w:rsid w:val="00F51FF7"/>
    <w:rsid w:val="00F53070"/>
    <w:rsid w:val="00F532B1"/>
    <w:rsid w:val="00F53B47"/>
    <w:rsid w:val="00F55D16"/>
    <w:rsid w:val="00F56A39"/>
    <w:rsid w:val="00F56D0C"/>
    <w:rsid w:val="00F5798E"/>
    <w:rsid w:val="00F57F36"/>
    <w:rsid w:val="00F60E3F"/>
    <w:rsid w:val="00F644BF"/>
    <w:rsid w:val="00F64EAC"/>
    <w:rsid w:val="00F650C2"/>
    <w:rsid w:val="00F65505"/>
    <w:rsid w:val="00F67947"/>
    <w:rsid w:val="00F7079F"/>
    <w:rsid w:val="00F7125C"/>
    <w:rsid w:val="00F73722"/>
    <w:rsid w:val="00F7404F"/>
    <w:rsid w:val="00F74397"/>
    <w:rsid w:val="00F74452"/>
    <w:rsid w:val="00F76751"/>
    <w:rsid w:val="00F767B9"/>
    <w:rsid w:val="00F77CB2"/>
    <w:rsid w:val="00F805BC"/>
    <w:rsid w:val="00F84403"/>
    <w:rsid w:val="00F8512A"/>
    <w:rsid w:val="00F85615"/>
    <w:rsid w:val="00F90B7F"/>
    <w:rsid w:val="00F91EE9"/>
    <w:rsid w:val="00F925DA"/>
    <w:rsid w:val="00F96302"/>
    <w:rsid w:val="00F97648"/>
    <w:rsid w:val="00F97832"/>
    <w:rsid w:val="00FA14D7"/>
    <w:rsid w:val="00FA159A"/>
    <w:rsid w:val="00FA180A"/>
    <w:rsid w:val="00FA2098"/>
    <w:rsid w:val="00FA2229"/>
    <w:rsid w:val="00FA3F80"/>
    <w:rsid w:val="00FA48B2"/>
    <w:rsid w:val="00FA4FD4"/>
    <w:rsid w:val="00FA5534"/>
    <w:rsid w:val="00FA6649"/>
    <w:rsid w:val="00FA6885"/>
    <w:rsid w:val="00FA6CC1"/>
    <w:rsid w:val="00FB2440"/>
    <w:rsid w:val="00FB6A64"/>
    <w:rsid w:val="00FC03E5"/>
    <w:rsid w:val="00FC0876"/>
    <w:rsid w:val="00FC1B5E"/>
    <w:rsid w:val="00FC21BE"/>
    <w:rsid w:val="00FC267B"/>
    <w:rsid w:val="00FC2A42"/>
    <w:rsid w:val="00FC38A6"/>
    <w:rsid w:val="00FC43CF"/>
    <w:rsid w:val="00FC6235"/>
    <w:rsid w:val="00FC6CD6"/>
    <w:rsid w:val="00FC728E"/>
    <w:rsid w:val="00FD14EE"/>
    <w:rsid w:val="00FD196F"/>
    <w:rsid w:val="00FD26A2"/>
    <w:rsid w:val="00FD7003"/>
    <w:rsid w:val="00FD7171"/>
    <w:rsid w:val="00FE3DFF"/>
    <w:rsid w:val="00FE465E"/>
    <w:rsid w:val="00FE5725"/>
    <w:rsid w:val="00FE5A5A"/>
    <w:rsid w:val="00FE7323"/>
    <w:rsid w:val="00FE7709"/>
    <w:rsid w:val="00FF1541"/>
    <w:rsid w:val="00FF1E0B"/>
    <w:rsid w:val="00FF1ED5"/>
    <w:rsid w:val="00FF31E7"/>
    <w:rsid w:val="00FF338C"/>
    <w:rsid w:val="00FF5286"/>
    <w:rsid w:val="00FF6E76"/>
    <w:rsid w:val="00FF7E91"/>
    <w:rsid w:val="01500715"/>
    <w:rsid w:val="018053B9"/>
    <w:rsid w:val="01B27935"/>
    <w:rsid w:val="02587637"/>
    <w:rsid w:val="02736BC9"/>
    <w:rsid w:val="02B07CF6"/>
    <w:rsid w:val="02B47F4A"/>
    <w:rsid w:val="02CF6D57"/>
    <w:rsid w:val="02F56729"/>
    <w:rsid w:val="032C69B8"/>
    <w:rsid w:val="03D22AAE"/>
    <w:rsid w:val="03F02410"/>
    <w:rsid w:val="045B6699"/>
    <w:rsid w:val="052A2CDA"/>
    <w:rsid w:val="05337293"/>
    <w:rsid w:val="05485BE1"/>
    <w:rsid w:val="056F69C4"/>
    <w:rsid w:val="05797437"/>
    <w:rsid w:val="057A3449"/>
    <w:rsid w:val="05976FD3"/>
    <w:rsid w:val="05DD3E7C"/>
    <w:rsid w:val="060146F3"/>
    <w:rsid w:val="062C5AB0"/>
    <w:rsid w:val="068D7B51"/>
    <w:rsid w:val="06C770AC"/>
    <w:rsid w:val="06F51E2A"/>
    <w:rsid w:val="070138A0"/>
    <w:rsid w:val="073F7923"/>
    <w:rsid w:val="077F0629"/>
    <w:rsid w:val="07BC0102"/>
    <w:rsid w:val="07BF175D"/>
    <w:rsid w:val="07D12A91"/>
    <w:rsid w:val="07DF3581"/>
    <w:rsid w:val="07FD11F5"/>
    <w:rsid w:val="082F3327"/>
    <w:rsid w:val="087E43FB"/>
    <w:rsid w:val="08C2607C"/>
    <w:rsid w:val="08DA40EB"/>
    <w:rsid w:val="09090380"/>
    <w:rsid w:val="092E06FC"/>
    <w:rsid w:val="092E4842"/>
    <w:rsid w:val="09C0369B"/>
    <w:rsid w:val="09C67141"/>
    <w:rsid w:val="09F11CC3"/>
    <w:rsid w:val="0A2637E8"/>
    <w:rsid w:val="0A4C65A2"/>
    <w:rsid w:val="0B107EF4"/>
    <w:rsid w:val="0B16564A"/>
    <w:rsid w:val="0B827AC0"/>
    <w:rsid w:val="0BC52B18"/>
    <w:rsid w:val="0BC8529A"/>
    <w:rsid w:val="0BDF1530"/>
    <w:rsid w:val="0C3D18B2"/>
    <w:rsid w:val="0C6F41C6"/>
    <w:rsid w:val="0CCA6039"/>
    <w:rsid w:val="0D351093"/>
    <w:rsid w:val="0E9D1E26"/>
    <w:rsid w:val="0ECC418B"/>
    <w:rsid w:val="0ED651F2"/>
    <w:rsid w:val="0F685191"/>
    <w:rsid w:val="0FAC61A6"/>
    <w:rsid w:val="0FCC278B"/>
    <w:rsid w:val="0FD921C6"/>
    <w:rsid w:val="10012459"/>
    <w:rsid w:val="104931D2"/>
    <w:rsid w:val="10EF257B"/>
    <w:rsid w:val="11082C00"/>
    <w:rsid w:val="111C639F"/>
    <w:rsid w:val="112850BE"/>
    <w:rsid w:val="116E3867"/>
    <w:rsid w:val="11B1694E"/>
    <w:rsid w:val="1297185F"/>
    <w:rsid w:val="12B2592C"/>
    <w:rsid w:val="12BC5200"/>
    <w:rsid w:val="12D5515D"/>
    <w:rsid w:val="12EE1C68"/>
    <w:rsid w:val="1329171B"/>
    <w:rsid w:val="132D7781"/>
    <w:rsid w:val="135634CC"/>
    <w:rsid w:val="136E015D"/>
    <w:rsid w:val="1373628F"/>
    <w:rsid w:val="13FA2E47"/>
    <w:rsid w:val="14133F2C"/>
    <w:rsid w:val="142303F5"/>
    <w:rsid w:val="143739E7"/>
    <w:rsid w:val="145E7B2C"/>
    <w:rsid w:val="14A31C92"/>
    <w:rsid w:val="14B85BD4"/>
    <w:rsid w:val="15733B12"/>
    <w:rsid w:val="158D108E"/>
    <w:rsid w:val="15EE1666"/>
    <w:rsid w:val="162D59D2"/>
    <w:rsid w:val="165C0D6F"/>
    <w:rsid w:val="16B31588"/>
    <w:rsid w:val="16ED6F74"/>
    <w:rsid w:val="16F77BA0"/>
    <w:rsid w:val="170E2C16"/>
    <w:rsid w:val="171B0365"/>
    <w:rsid w:val="17462C2C"/>
    <w:rsid w:val="17D85E00"/>
    <w:rsid w:val="17EA52AE"/>
    <w:rsid w:val="18671C9E"/>
    <w:rsid w:val="18770951"/>
    <w:rsid w:val="187A69A1"/>
    <w:rsid w:val="188A58A2"/>
    <w:rsid w:val="18A061FC"/>
    <w:rsid w:val="18A619F9"/>
    <w:rsid w:val="18EE2A0C"/>
    <w:rsid w:val="1937746E"/>
    <w:rsid w:val="195C3AF0"/>
    <w:rsid w:val="19C6791D"/>
    <w:rsid w:val="19F31F7C"/>
    <w:rsid w:val="1A0058BC"/>
    <w:rsid w:val="1A1A7280"/>
    <w:rsid w:val="1A6D309C"/>
    <w:rsid w:val="1A763F95"/>
    <w:rsid w:val="1ABB42A6"/>
    <w:rsid w:val="1B514AC3"/>
    <w:rsid w:val="1BC060E3"/>
    <w:rsid w:val="1BD72A99"/>
    <w:rsid w:val="1BFA5EAB"/>
    <w:rsid w:val="1CA001D6"/>
    <w:rsid w:val="1CA64BB3"/>
    <w:rsid w:val="1CDB318F"/>
    <w:rsid w:val="1CF15C8C"/>
    <w:rsid w:val="1DD15661"/>
    <w:rsid w:val="1DE47009"/>
    <w:rsid w:val="1DFB5114"/>
    <w:rsid w:val="1E126E55"/>
    <w:rsid w:val="1E336883"/>
    <w:rsid w:val="1E394206"/>
    <w:rsid w:val="1E450CD9"/>
    <w:rsid w:val="1F7A4C48"/>
    <w:rsid w:val="1F7F1BF8"/>
    <w:rsid w:val="1F7F1F7C"/>
    <w:rsid w:val="1FD459F1"/>
    <w:rsid w:val="203F4D4B"/>
    <w:rsid w:val="20851C36"/>
    <w:rsid w:val="215C6536"/>
    <w:rsid w:val="21E22FC8"/>
    <w:rsid w:val="22870495"/>
    <w:rsid w:val="228C62AF"/>
    <w:rsid w:val="22B80F25"/>
    <w:rsid w:val="23007B1E"/>
    <w:rsid w:val="23B65E09"/>
    <w:rsid w:val="240334EA"/>
    <w:rsid w:val="249914F0"/>
    <w:rsid w:val="24A50FFE"/>
    <w:rsid w:val="24E346E5"/>
    <w:rsid w:val="2551424B"/>
    <w:rsid w:val="25F932C2"/>
    <w:rsid w:val="266942C2"/>
    <w:rsid w:val="27200902"/>
    <w:rsid w:val="272F573D"/>
    <w:rsid w:val="27C42B25"/>
    <w:rsid w:val="27C52CA8"/>
    <w:rsid w:val="28411FFF"/>
    <w:rsid w:val="285A096C"/>
    <w:rsid w:val="28625005"/>
    <w:rsid w:val="28705519"/>
    <w:rsid w:val="28FA0B6F"/>
    <w:rsid w:val="291D02F9"/>
    <w:rsid w:val="29AB500A"/>
    <w:rsid w:val="2A2E38FB"/>
    <w:rsid w:val="2A381396"/>
    <w:rsid w:val="2A7942C3"/>
    <w:rsid w:val="2AF31579"/>
    <w:rsid w:val="2B1A04C4"/>
    <w:rsid w:val="2BCA01A4"/>
    <w:rsid w:val="2C0A0E60"/>
    <w:rsid w:val="2C425078"/>
    <w:rsid w:val="2C5B3923"/>
    <w:rsid w:val="2C7A72DC"/>
    <w:rsid w:val="2C8A0037"/>
    <w:rsid w:val="2CBA7760"/>
    <w:rsid w:val="2CE92798"/>
    <w:rsid w:val="2CEE3453"/>
    <w:rsid w:val="2D265C19"/>
    <w:rsid w:val="2D7B1C2B"/>
    <w:rsid w:val="2DD121CD"/>
    <w:rsid w:val="2EAF350E"/>
    <w:rsid w:val="2F35459D"/>
    <w:rsid w:val="2F5E2957"/>
    <w:rsid w:val="2FB057D3"/>
    <w:rsid w:val="2FB1079E"/>
    <w:rsid w:val="3000166C"/>
    <w:rsid w:val="301773F9"/>
    <w:rsid w:val="302269B7"/>
    <w:rsid w:val="3025521A"/>
    <w:rsid w:val="307D164C"/>
    <w:rsid w:val="309574B0"/>
    <w:rsid w:val="30A20CD4"/>
    <w:rsid w:val="310C20E0"/>
    <w:rsid w:val="316A7DF0"/>
    <w:rsid w:val="31F82A6C"/>
    <w:rsid w:val="32393652"/>
    <w:rsid w:val="32522256"/>
    <w:rsid w:val="32A401B1"/>
    <w:rsid w:val="32DD29EC"/>
    <w:rsid w:val="3313056F"/>
    <w:rsid w:val="3367072D"/>
    <w:rsid w:val="338F2FA9"/>
    <w:rsid w:val="33C37CFF"/>
    <w:rsid w:val="34337AD6"/>
    <w:rsid w:val="343E336C"/>
    <w:rsid w:val="344901AA"/>
    <w:rsid w:val="34945177"/>
    <w:rsid w:val="34B10628"/>
    <w:rsid w:val="35345733"/>
    <w:rsid w:val="35763A89"/>
    <w:rsid w:val="357C2320"/>
    <w:rsid w:val="35B64CDF"/>
    <w:rsid w:val="36081135"/>
    <w:rsid w:val="36CC7C1B"/>
    <w:rsid w:val="36F1785B"/>
    <w:rsid w:val="371A6D87"/>
    <w:rsid w:val="3786224C"/>
    <w:rsid w:val="37EF3B93"/>
    <w:rsid w:val="3841369D"/>
    <w:rsid w:val="38431821"/>
    <w:rsid w:val="3859106F"/>
    <w:rsid w:val="386405E5"/>
    <w:rsid w:val="38785067"/>
    <w:rsid w:val="388611BA"/>
    <w:rsid w:val="389205E6"/>
    <w:rsid w:val="393070BA"/>
    <w:rsid w:val="39367D63"/>
    <w:rsid w:val="397B44DD"/>
    <w:rsid w:val="399957ED"/>
    <w:rsid w:val="39A17A5C"/>
    <w:rsid w:val="3A567F64"/>
    <w:rsid w:val="3A657FA8"/>
    <w:rsid w:val="3AD12260"/>
    <w:rsid w:val="3B1245A5"/>
    <w:rsid w:val="3B1907F6"/>
    <w:rsid w:val="3B234E82"/>
    <w:rsid w:val="3B40517E"/>
    <w:rsid w:val="3B4123EE"/>
    <w:rsid w:val="3B847C4E"/>
    <w:rsid w:val="3C160CB8"/>
    <w:rsid w:val="3C3D5061"/>
    <w:rsid w:val="3C8050D2"/>
    <w:rsid w:val="3CF41135"/>
    <w:rsid w:val="3D2A1B7D"/>
    <w:rsid w:val="3D47090E"/>
    <w:rsid w:val="3D912F4C"/>
    <w:rsid w:val="3DC10C07"/>
    <w:rsid w:val="3EC03399"/>
    <w:rsid w:val="3EF13137"/>
    <w:rsid w:val="3F474816"/>
    <w:rsid w:val="3F8F4228"/>
    <w:rsid w:val="3F92311B"/>
    <w:rsid w:val="3FB5474C"/>
    <w:rsid w:val="3FBD1972"/>
    <w:rsid w:val="3FC96267"/>
    <w:rsid w:val="3FEE6E7E"/>
    <w:rsid w:val="402742F9"/>
    <w:rsid w:val="411050E2"/>
    <w:rsid w:val="416724E5"/>
    <w:rsid w:val="418E3F82"/>
    <w:rsid w:val="41E841B9"/>
    <w:rsid w:val="424C7DA7"/>
    <w:rsid w:val="42C82312"/>
    <w:rsid w:val="42F74EB2"/>
    <w:rsid w:val="43DD412E"/>
    <w:rsid w:val="43DF13F6"/>
    <w:rsid w:val="43E52CD8"/>
    <w:rsid w:val="44196021"/>
    <w:rsid w:val="444D0469"/>
    <w:rsid w:val="44926C07"/>
    <w:rsid w:val="44A56A20"/>
    <w:rsid w:val="45305570"/>
    <w:rsid w:val="453E4589"/>
    <w:rsid w:val="455A3930"/>
    <w:rsid w:val="457A4D84"/>
    <w:rsid w:val="45E212FE"/>
    <w:rsid w:val="45F47B03"/>
    <w:rsid w:val="4649270B"/>
    <w:rsid w:val="46A9426C"/>
    <w:rsid w:val="46D640F8"/>
    <w:rsid w:val="47882BC1"/>
    <w:rsid w:val="479608A9"/>
    <w:rsid w:val="483257AC"/>
    <w:rsid w:val="48471961"/>
    <w:rsid w:val="48EC3B10"/>
    <w:rsid w:val="49000898"/>
    <w:rsid w:val="49342E4E"/>
    <w:rsid w:val="494950D0"/>
    <w:rsid w:val="495C609B"/>
    <w:rsid w:val="49DE6097"/>
    <w:rsid w:val="4A142D15"/>
    <w:rsid w:val="4AF117EA"/>
    <w:rsid w:val="4B2D1544"/>
    <w:rsid w:val="4B5D5D59"/>
    <w:rsid w:val="4B7062EC"/>
    <w:rsid w:val="4B736E65"/>
    <w:rsid w:val="4B957E72"/>
    <w:rsid w:val="4BDD5C99"/>
    <w:rsid w:val="4BF66460"/>
    <w:rsid w:val="4CB86B1C"/>
    <w:rsid w:val="4CD45D60"/>
    <w:rsid w:val="4D3005A6"/>
    <w:rsid w:val="4D8973B2"/>
    <w:rsid w:val="4E2B0B6B"/>
    <w:rsid w:val="4E977594"/>
    <w:rsid w:val="4EAD4711"/>
    <w:rsid w:val="4F3C3A5F"/>
    <w:rsid w:val="4F883106"/>
    <w:rsid w:val="504F7D35"/>
    <w:rsid w:val="5070580E"/>
    <w:rsid w:val="50B20AEC"/>
    <w:rsid w:val="50F8006E"/>
    <w:rsid w:val="510F1B27"/>
    <w:rsid w:val="512B0976"/>
    <w:rsid w:val="51650D7A"/>
    <w:rsid w:val="51653A09"/>
    <w:rsid w:val="52112D6C"/>
    <w:rsid w:val="522C74DC"/>
    <w:rsid w:val="52B843BD"/>
    <w:rsid w:val="53B70468"/>
    <w:rsid w:val="53CC34DB"/>
    <w:rsid w:val="54203310"/>
    <w:rsid w:val="54D840C3"/>
    <w:rsid w:val="54DB63FD"/>
    <w:rsid w:val="55CB7048"/>
    <w:rsid w:val="55DB3416"/>
    <w:rsid w:val="55E66F51"/>
    <w:rsid w:val="561034D6"/>
    <w:rsid w:val="566945EC"/>
    <w:rsid w:val="56AD2832"/>
    <w:rsid w:val="56CA5011"/>
    <w:rsid w:val="570C46C8"/>
    <w:rsid w:val="57B876DE"/>
    <w:rsid w:val="57F05F24"/>
    <w:rsid w:val="57F12EF7"/>
    <w:rsid w:val="58FD3545"/>
    <w:rsid w:val="592769CD"/>
    <w:rsid w:val="59EC2A80"/>
    <w:rsid w:val="59F91C22"/>
    <w:rsid w:val="5A6321BD"/>
    <w:rsid w:val="5A834CBD"/>
    <w:rsid w:val="5B624190"/>
    <w:rsid w:val="5BA0620B"/>
    <w:rsid w:val="5BB10244"/>
    <w:rsid w:val="5BB210EE"/>
    <w:rsid w:val="5C0163E3"/>
    <w:rsid w:val="5C3E17D6"/>
    <w:rsid w:val="5CF53D11"/>
    <w:rsid w:val="5D2350EF"/>
    <w:rsid w:val="5D4F607C"/>
    <w:rsid w:val="5D7C6ACE"/>
    <w:rsid w:val="5DDD7CB8"/>
    <w:rsid w:val="5DE734B1"/>
    <w:rsid w:val="5E2B1CA6"/>
    <w:rsid w:val="5E300184"/>
    <w:rsid w:val="5E956916"/>
    <w:rsid w:val="5F0444CD"/>
    <w:rsid w:val="5F3015EB"/>
    <w:rsid w:val="5F4E7F81"/>
    <w:rsid w:val="5FA8139D"/>
    <w:rsid w:val="61104A53"/>
    <w:rsid w:val="613C344B"/>
    <w:rsid w:val="61517AF6"/>
    <w:rsid w:val="617D7D94"/>
    <w:rsid w:val="61AA3415"/>
    <w:rsid w:val="620506E2"/>
    <w:rsid w:val="62084339"/>
    <w:rsid w:val="627216F3"/>
    <w:rsid w:val="62C626AC"/>
    <w:rsid w:val="62EE204B"/>
    <w:rsid w:val="63222437"/>
    <w:rsid w:val="63866B11"/>
    <w:rsid w:val="63DF642D"/>
    <w:rsid w:val="63E01387"/>
    <w:rsid w:val="64C57803"/>
    <w:rsid w:val="64FF66CA"/>
    <w:rsid w:val="650F33C9"/>
    <w:rsid w:val="650F6A3A"/>
    <w:rsid w:val="65623A6B"/>
    <w:rsid w:val="65CC2864"/>
    <w:rsid w:val="65F760F2"/>
    <w:rsid w:val="660976FB"/>
    <w:rsid w:val="66185FE9"/>
    <w:rsid w:val="661F5AAB"/>
    <w:rsid w:val="66CD405F"/>
    <w:rsid w:val="672E7B27"/>
    <w:rsid w:val="6740494E"/>
    <w:rsid w:val="67AC6AED"/>
    <w:rsid w:val="67C4105B"/>
    <w:rsid w:val="67D92B84"/>
    <w:rsid w:val="67DC3F14"/>
    <w:rsid w:val="67FC08F8"/>
    <w:rsid w:val="68083D08"/>
    <w:rsid w:val="688F0C07"/>
    <w:rsid w:val="68B06E0E"/>
    <w:rsid w:val="692E4ED3"/>
    <w:rsid w:val="69554D29"/>
    <w:rsid w:val="69A101D0"/>
    <w:rsid w:val="69FF6447"/>
    <w:rsid w:val="6A59343D"/>
    <w:rsid w:val="6A843010"/>
    <w:rsid w:val="6A8A1473"/>
    <w:rsid w:val="6A911B1E"/>
    <w:rsid w:val="6AB83505"/>
    <w:rsid w:val="6B31311D"/>
    <w:rsid w:val="6BD77A17"/>
    <w:rsid w:val="6BFA40D7"/>
    <w:rsid w:val="6BFB6DDB"/>
    <w:rsid w:val="6C22043B"/>
    <w:rsid w:val="6CC37F0D"/>
    <w:rsid w:val="6CF66939"/>
    <w:rsid w:val="6D292C98"/>
    <w:rsid w:val="6D2F7672"/>
    <w:rsid w:val="6D772F5F"/>
    <w:rsid w:val="6DB402ED"/>
    <w:rsid w:val="6DDB2CFD"/>
    <w:rsid w:val="6DED2BB2"/>
    <w:rsid w:val="6E1A34B3"/>
    <w:rsid w:val="6EBF6692"/>
    <w:rsid w:val="6F263D09"/>
    <w:rsid w:val="6F504260"/>
    <w:rsid w:val="6F636DDA"/>
    <w:rsid w:val="6F7208AF"/>
    <w:rsid w:val="701B18F7"/>
    <w:rsid w:val="702779CD"/>
    <w:rsid w:val="705A5B14"/>
    <w:rsid w:val="705C798A"/>
    <w:rsid w:val="708A18ED"/>
    <w:rsid w:val="71400E29"/>
    <w:rsid w:val="71D40404"/>
    <w:rsid w:val="72611504"/>
    <w:rsid w:val="728E5ADB"/>
    <w:rsid w:val="7316367E"/>
    <w:rsid w:val="73270F38"/>
    <w:rsid w:val="74255F40"/>
    <w:rsid w:val="742610A3"/>
    <w:rsid w:val="74B078E2"/>
    <w:rsid w:val="753E341E"/>
    <w:rsid w:val="75693965"/>
    <w:rsid w:val="756D18D7"/>
    <w:rsid w:val="75737B3C"/>
    <w:rsid w:val="76651E53"/>
    <w:rsid w:val="76822D08"/>
    <w:rsid w:val="76FF642F"/>
    <w:rsid w:val="770347FD"/>
    <w:rsid w:val="779A5C41"/>
    <w:rsid w:val="77FD6451"/>
    <w:rsid w:val="783C0D01"/>
    <w:rsid w:val="7867050D"/>
    <w:rsid w:val="786F64DC"/>
    <w:rsid w:val="7882546F"/>
    <w:rsid w:val="78A308F5"/>
    <w:rsid w:val="78F22ADD"/>
    <w:rsid w:val="79081644"/>
    <w:rsid w:val="79814122"/>
    <w:rsid w:val="798C4E90"/>
    <w:rsid w:val="7A390A15"/>
    <w:rsid w:val="7A4A3D9E"/>
    <w:rsid w:val="7AFD1608"/>
    <w:rsid w:val="7B0B1627"/>
    <w:rsid w:val="7B111B84"/>
    <w:rsid w:val="7B3740C8"/>
    <w:rsid w:val="7BC50216"/>
    <w:rsid w:val="7C010236"/>
    <w:rsid w:val="7C5A4B85"/>
    <w:rsid w:val="7C6E6182"/>
    <w:rsid w:val="7C957DB1"/>
    <w:rsid w:val="7CE42C31"/>
    <w:rsid w:val="7D706D82"/>
    <w:rsid w:val="7DBA1419"/>
    <w:rsid w:val="7E0C7A2E"/>
    <w:rsid w:val="7E3065FC"/>
    <w:rsid w:val="7E462910"/>
    <w:rsid w:val="7E7831E4"/>
    <w:rsid w:val="7ED15CAC"/>
    <w:rsid w:val="7EF4650F"/>
    <w:rsid w:val="7FAA15C3"/>
    <w:rsid w:val="7FE179E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spacing w:line="520" w:lineRule="exact"/>
      <w:ind w:firstLine="200" w:firstLineChars="200"/>
      <w:jc w:val="both"/>
    </w:pPr>
    <w:rPr>
      <w:rFonts w:ascii="Times New Roman" w:hAnsi="Times New Roman" w:eastAsia="宋体" w:cs="Times New Roman"/>
      <w:kern w:val="2"/>
      <w:sz w:val="28"/>
      <w:szCs w:val="24"/>
      <w:lang w:val="en-US" w:eastAsia="zh-CN" w:bidi="ar-SA"/>
    </w:rPr>
  </w:style>
  <w:style w:type="paragraph" w:styleId="3">
    <w:name w:val="heading 1"/>
    <w:basedOn w:val="1"/>
    <w:next w:val="1"/>
    <w:qFormat/>
    <w:uiPriority w:val="0"/>
    <w:pPr>
      <w:keepNext/>
      <w:keepLines/>
      <w:spacing w:beforeLines="100" w:afterLines="100" w:line="360" w:lineRule="auto"/>
      <w:ind w:firstLine="0" w:firstLineChars="0"/>
      <w:outlineLvl w:val="0"/>
    </w:pPr>
    <w:rPr>
      <w:b/>
      <w:bCs/>
      <w:kern w:val="44"/>
      <w:sz w:val="36"/>
      <w:szCs w:val="44"/>
    </w:rPr>
  </w:style>
  <w:style w:type="paragraph" w:styleId="4">
    <w:name w:val="heading 2"/>
    <w:basedOn w:val="1"/>
    <w:next w:val="1"/>
    <w:link w:val="71"/>
    <w:qFormat/>
    <w:uiPriority w:val="0"/>
    <w:pPr>
      <w:keepNext/>
      <w:keepLines/>
      <w:spacing w:line="360" w:lineRule="auto"/>
      <w:ind w:firstLine="283" w:firstLineChars="0"/>
      <w:outlineLvl w:val="1"/>
    </w:pPr>
    <w:rPr>
      <w:rFonts w:ascii="Arial" w:hAnsi="Arial"/>
      <w:b/>
      <w:bCs/>
      <w:sz w:val="32"/>
      <w:szCs w:val="32"/>
    </w:rPr>
  </w:style>
  <w:style w:type="paragraph" w:styleId="5">
    <w:name w:val="heading 3"/>
    <w:basedOn w:val="1"/>
    <w:next w:val="1"/>
    <w:link w:val="52"/>
    <w:qFormat/>
    <w:uiPriority w:val="0"/>
    <w:pPr>
      <w:keepNext/>
      <w:keepLines/>
      <w:spacing w:line="360" w:lineRule="auto"/>
      <w:ind w:firstLine="422"/>
      <w:jc w:val="left"/>
      <w:outlineLvl w:val="2"/>
    </w:pPr>
    <w:rPr>
      <w:rFonts w:ascii="宋体" w:hAnsi="宋体"/>
      <w:b/>
      <w:bCs/>
      <w:color w:val="000000"/>
      <w:szCs w:val="28"/>
    </w:rPr>
  </w:style>
  <w:style w:type="paragraph" w:styleId="6">
    <w:name w:val="heading 4"/>
    <w:basedOn w:val="1"/>
    <w:next w:val="1"/>
    <w:qFormat/>
    <w:uiPriority w:val="0"/>
    <w:pPr>
      <w:adjustRightInd w:val="0"/>
      <w:spacing w:line="460" w:lineRule="atLeast"/>
      <w:jc w:val="left"/>
      <w:outlineLvl w:val="3"/>
    </w:pPr>
    <w:rPr>
      <w:rFonts w:eastAsia="Arial Unicode MS"/>
      <w:kern w:val="0"/>
      <w:sz w:val="24"/>
      <w:szCs w:val="20"/>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1"/>
    <w:next w:val="1"/>
    <w:qFormat/>
    <w:uiPriority w:val="0"/>
    <w:pPr>
      <w:spacing w:after="120" w:line="240" w:lineRule="auto"/>
      <w:ind w:left="420" w:leftChars="200" w:firstLine="420"/>
    </w:pPr>
    <w:rPr>
      <w:sz w:val="21"/>
    </w:rPr>
  </w:style>
  <w:style w:type="paragraph" w:styleId="7">
    <w:name w:val="toc 7"/>
    <w:basedOn w:val="1"/>
    <w:next w:val="1"/>
    <w:semiHidden/>
    <w:qFormat/>
    <w:uiPriority w:val="0"/>
    <w:pPr>
      <w:ind w:left="1260"/>
      <w:jc w:val="left"/>
    </w:pPr>
    <w:rPr>
      <w:sz w:val="20"/>
      <w:szCs w:val="20"/>
    </w:rPr>
  </w:style>
  <w:style w:type="paragraph" w:styleId="8">
    <w:name w:val="Normal Indent"/>
    <w:basedOn w:val="1"/>
    <w:qFormat/>
    <w:uiPriority w:val="0"/>
    <w:pPr>
      <w:ind w:firstLine="420"/>
    </w:pPr>
    <w:rPr>
      <w:szCs w:val="20"/>
    </w:rPr>
  </w:style>
  <w:style w:type="paragraph" w:styleId="9">
    <w:name w:val="List Bullet"/>
    <w:basedOn w:val="1"/>
    <w:qFormat/>
    <w:uiPriority w:val="0"/>
    <w:pPr>
      <w:tabs>
        <w:tab w:val="left" w:pos="360"/>
        <w:tab w:val="left" w:pos="1368"/>
        <w:tab w:val="left" w:pos="9514"/>
      </w:tabs>
      <w:spacing w:beforeLines="50" w:afterLines="50" w:line="360" w:lineRule="auto"/>
      <w:ind w:left="360" w:hanging="360" w:hangingChars="200"/>
      <w:jc w:val="left"/>
    </w:pPr>
    <w:rPr>
      <w:snapToGrid w:val="0"/>
      <w:kern w:val="0"/>
      <w:sz w:val="24"/>
    </w:rPr>
  </w:style>
  <w:style w:type="paragraph" w:styleId="10">
    <w:name w:val="Document Map"/>
    <w:basedOn w:val="1"/>
    <w:semiHidden/>
    <w:qFormat/>
    <w:uiPriority w:val="0"/>
    <w:pPr>
      <w:shd w:val="clear" w:color="auto" w:fill="000080"/>
    </w:pPr>
  </w:style>
  <w:style w:type="paragraph" w:styleId="11">
    <w:name w:val="annotation text"/>
    <w:basedOn w:val="1"/>
    <w:link w:val="63"/>
    <w:qFormat/>
    <w:uiPriority w:val="0"/>
    <w:pPr>
      <w:jc w:val="left"/>
    </w:pPr>
  </w:style>
  <w:style w:type="paragraph" w:styleId="12">
    <w:name w:val="Body Text"/>
    <w:basedOn w:val="1"/>
    <w:link w:val="61"/>
    <w:qFormat/>
    <w:uiPriority w:val="0"/>
  </w:style>
  <w:style w:type="paragraph" w:styleId="13">
    <w:name w:val="Body Text Indent"/>
    <w:basedOn w:val="1"/>
    <w:qFormat/>
    <w:uiPriority w:val="0"/>
    <w:pPr>
      <w:spacing w:line="360" w:lineRule="auto"/>
      <w:ind w:firstLine="560"/>
    </w:pPr>
    <w:rPr>
      <w:rFonts w:ascii="宋体" w:hAnsi="宋体"/>
      <w:color w:val="000000"/>
      <w:szCs w:val="28"/>
    </w:rPr>
  </w:style>
  <w:style w:type="paragraph" w:styleId="14">
    <w:name w:val="Block Text"/>
    <w:basedOn w:val="1"/>
    <w:qFormat/>
    <w:uiPriority w:val="0"/>
    <w:pPr>
      <w:tabs>
        <w:tab w:val="left" w:pos="-360"/>
      </w:tabs>
      <w:ind w:left="-359" w:leftChars="-171" w:right="-334" w:rightChars="-159" w:firstLine="675" w:firstLineChars="225"/>
    </w:pPr>
    <w:rPr>
      <w:rFonts w:ascii="宋体" w:hAnsi="宋体"/>
      <w:sz w:val="30"/>
      <w:szCs w:val="32"/>
    </w:rPr>
  </w:style>
  <w:style w:type="paragraph" w:styleId="15">
    <w:name w:val="toc 5"/>
    <w:basedOn w:val="1"/>
    <w:next w:val="1"/>
    <w:semiHidden/>
    <w:qFormat/>
    <w:uiPriority w:val="0"/>
    <w:pPr>
      <w:ind w:left="840"/>
      <w:jc w:val="left"/>
    </w:pPr>
    <w:rPr>
      <w:sz w:val="20"/>
      <w:szCs w:val="20"/>
    </w:rPr>
  </w:style>
  <w:style w:type="paragraph" w:styleId="16">
    <w:name w:val="toc 3"/>
    <w:basedOn w:val="1"/>
    <w:next w:val="1"/>
    <w:qFormat/>
    <w:uiPriority w:val="39"/>
    <w:pPr>
      <w:ind w:left="300" w:leftChars="300"/>
    </w:pPr>
  </w:style>
  <w:style w:type="paragraph" w:styleId="17">
    <w:name w:val="Plain Text"/>
    <w:basedOn w:val="1"/>
    <w:qFormat/>
    <w:uiPriority w:val="0"/>
    <w:rPr>
      <w:rFonts w:ascii="宋体" w:hAnsi="Courier New"/>
      <w:szCs w:val="20"/>
    </w:rPr>
  </w:style>
  <w:style w:type="paragraph" w:styleId="18">
    <w:name w:val="toc 8"/>
    <w:basedOn w:val="1"/>
    <w:next w:val="1"/>
    <w:semiHidden/>
    <w:qFormat/>
    <w:uiPriority w:val="0"/>
    <w:pPr>
      <w:ind w:left="1470"/>
      <w:jc w:val="left"/>
    </w:pPr>
    <w:rPr>
      <w:sz w:val="20"/>
      <w:szCs w:val="20"/>
    </w:rPr>
  </w:style>
  <w:style w:type="paragraph" w:styleId="19">
    <w:name w:val="Date"/>
    <w:basedOn w:val="1"/>
    <w:next w:val="1"/>
    <w:qFormat/>
    <w:uiPriority w:val="0"/>
    <w:pPr>
      <w:ind w:left="100" w:leftChars="2500"/>
    </w:pPr>
    <w:rPr>
      <w:rFonts w:ascii="仿宋_GB2312" w:eastAsia="仿宋_GB2312"/>
      <w:sz w:val="32"/>
      <w:szCs w:val="32"/>
    </w:rPr>
  </w:style>
  <w:style w:type="paragraph" w:styleId="20">
    <w:name w:val="Body Text Indent 2"/>
    <w:basedOn w:val="1"/>
    <w:qFormat/>
    <w:uiPriority w:val="0"/>
    <w:pPr>
      <w:spacing w:line="360" w:lineRule="auto"/>
      <w:ind w:firstLine="560"/>
    </w:pPr>
    <w:rPr>
      <w:rFonts w:ascii="宋体" w:hAnsi="宋体"/>
      <w:szCs w:val="28"/>
    </w:rPr>
  </w:style>
  <w:style w:type="paragraph" w:styleId="21">
    <w:name w:val="Balloon Text"/>
    <w:basedOn w:val="1"/>
    <w:link w:val="74"/>
    <w:qFormat/>
    <w:uiPriority w:val="0"/>
    <w:pPr>
      <w:spacing w:line="240" w:lineRule="auto"/>
    </w:pPr>
    <w:rPr>
      <w:sz w:val="18"/>
      <w:szCs w:val="18"/>
    </w:rPr>
  </w:style>
  <w:style w:type="paragraph" w:styleId="22">
    <w:name w:val="footer"/>
    <w:basedOn w:val="1"/>
    <w:next w:val="23"/>
    <w:link w:val="64"/>
    <w:qFormat/>
    <w:uiPriority w:val="99"/>
    <w:pPr>
      <w:tabs>
        <w:tab w:val="center" w:pos="4153"/>
        <w:tab w:val="right" w:pos="8306"/>
      </w:tabs>
      <w:snapToGrid w:val="0"/>
      <w:jc w:val="left"/>
    </w:pPr>
    <w:rPr>
      <w:sz w:val="18"/>
      <w:szCs w:val="18"/>
    </w:rPr>
  </w:style>
  <w:style w:type="paragraph" w:styleId="23">
    <w:name w:val="Normal (Web)"/>
    <w:basedOn w:val="1"/>
    <w:next w:val="24"/>
    <w:qFormat/>
    <w:uiPriority w:val="0"/>
    <w:pPr>
      <w:widowControl/>
      <w:spacing w:before="100" w:beforeAutospacing="1" w:after="100" w:afterAutospacing="1"/>
      <w:jc w:val="left"/>
    </w:pPr>
    <w:rPr>
      <w:rFonts w:ascii="宋体" w:hAnsi="宋体" w:cs="宋体"/>
      <w:kern w:val="0"/>
      <w:sz w:val="24"/>
    </w:rPr>
  </w:style>
  <w:style w:type="paragraph" w:customStyle="1" w:styleId="24">
    <w:name w:val="toc 84"/>
    <w:next w:val="1"/>
    <w:qFormat/>
    <w:uiPriority w:val="99"/>
    <w:pPr>
      <w:wordWrap w:val="0"/>
      <w:ind w:left="2975"/>
      <w:jc w:val="both"/>
    </w:pPr>
    <w:rPr>
      <w:rFonts w:ascii="Times New Roman" w:hAnsi="Times New Roman" w:eastAsia="宋体" w:cs="Times New Roman"/>
      <w:sz w:val="21"/>
      <w:szCs w:val="22"/>
      <w:lang w:val="en-US" w:eastAsia="zh-CN" w:bidi="ar-SA"/>
    </w:rPr>
  </w:style>
  <w:style w:type="paragraph" w:styleId="25">
    <w:name w:val="header"/>
    <w:basedOn w:val="1"/>
    <w:link w:val="47"/>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style>
  <w:style w:type="paragraph" w:styleId="27">
    <w:name w:val="toc 4"/>
    <w:basedOn w:val="1"/>
    <w:next w:val="1"/>
    <w:semiHidden/>
    <w:qFormat/>
    <w:uiPriority w:val="0"/>
    <w:pPr>
      <w:ind w:left="630"/>
      <w:jc w:val="left"/>
    </w:pPr>
    <w:rPr>
      <w:sz w:val="20"/>
      <w:szCs w:val="20"/>
    </w:rPr>
  </w:style>
  <w:style w:type="paragraph" w:styleId="28">
    <w:name w:val="toc 6"/>
    <w:basedOn w:val="1"/>
    <w:next w:val="1"/>
    <w:semiHidden/>
    <w:qFormat/>
    <w:uiPriority w:val="0"/>
    <w:pPr>
      <w:ind w:left="1050"/>
      <w:jc w:val="left"/>
    </w:pPr>
    <w:rPr>
      <w:sz w:val="20"/>
      <w:szCs w:val="20"/>
    </w:rPr>
  </w:style>
  <w:style w:type="paragraph" w:styleId="29">
    <w:name w:val="Body Text Indent 3"/>
    <w:basedOn w:val="1"/>
    <w:qFormat/>
    <w:uiPriority w:val="0"/>
    <w:pPr>
      <w:ind w:firstLine="840" w:firstLineChars="300"/>
    </w:pPr>
  </w:style>
  <w:style w:type="paragraph" w:styleId="30">
    <w:name w:val="toc 2"/>
    <w:basedOn w:val="1"/>
    <w:next w:val="1"/>
    <w:qFormat/>
    <w:uiPriority w:val="39"/>
    <w:pPr>
      <w:ind w:left="100" w:leftChars="100"/>
    </w:pPr>
  </w:style>
  <w:style w:type="paragraph" w:styleId="31">
    <w:name w:val="toc 9"/>
    <w:basedOn w:val="1"/>
    <w:next w:val="1"/>
    <w:semiHidden/>
    <w:qFormat/>
    <w:uiPriority w:val="0"/>
    <w:pPr>
      <w:ind w:left="1680"/>
      <w:jc w:val="left"/>
    </w:pPr>
    <w:rPr>
      <w:sz w:val="20"/>
      <w:szCs w:val="20"/>
    </w:rPr>
  </w:style>
  <w:style w:type="paragraph" w:styleId="32">
    <w:name w:val="Body Text 2"/>
    <w:basedOn w:val="1"/>
    <w:qFormat/>
    <w:uiPriority w:val="0"/>
    <w:pPr>
      <w:spacing w:after="120" w:line="480" w:lineRule="auto"/>
    </w:pPr>
  </w:style>
  <w:style w:type="paragraph" w:styleId="33">
    <w:name w:val="index 1"/>
    <w:basedOn w:val="1"/>
    <w:next w:val="1"/>
    <w:semiHidden/>
    <w:qFormat/>
    <w:uiPriority w:val="0"/>
  </w:style>
  <w:style w:type="paragraph" w:styleId="34">
    <w:name w:val="annotation subject"/>
    <w:basedOn w:val="11"/>
    <w:next w:val="11"/>
    <w:link w:val="51"/>
    <w:qFormat/>
    <w:uiPriority w:val="0"/>
    <w:rPr>
      <w:b/>
      <w:bCs/>
    </w:rPr>
  </w:style>
  <w:style w:type="paragraph" w:styleId="35">
    <w:name w:val="Body Text First Indent"/>
    <w:basedOn w:val="12"/>
    <w:qFormat/>
    <w:uiPriority w:val="0"/>
    <w:pPr>
      <w:spacing w:after="120"/>
      <w:ind w:firstLine="420" w:firstLineChars="100"/>
    </w:pPr>
    <w:rPr>
      <w:sz w:val="21"/>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9">
    <w:name w:val="page number"/>
    <w:qFormat/>
    <w:uiPriority w:val="0"/>
  </w:style>
  <w:style w:type="character" w:styleId="40">
    <w:name w:val="Hyperlink"/>
    <w:qFormat/>
    <w:uiPriority w:val="99"/>
    <w:rPr>
      <w:color w:val="0000FF"/>
      <w:u w:val="single"/>
    </w:rPr>
  </w:style>
  <w:style w:type="character" w:styleId="41">
    <w:name w:val="annotation reference"/>
    <w:qFormat/>
    <w:uiPriority w:val="0"/>
    <w:rPr>
      <w:sz w:val="21"/>
      <w:szCs w:val="21"/>
    </w:rPr>
  </w:style>
  <w:style w:type="character" w:customStyle="1" w:styleId="42">
    <w:name w:val="Char Char2"/>
    <w:qFormat/>
    <w:uiPriority w:val="0"/>
    <w:rPr>
      <w:rFonts w:ascii="Arial" w:hAnsi="Arial" w:eastAsia="黑体"/>
      <w:b/>
      <w:bCs/>
      <w:kern w:val="2"/>
      <w:sz w:val="32"/>
      <w:szCs w:val="32"/>
      <w:lang w:val="en-US" w:eastAsia="zh-CN" w:bidi="ar-SA"/>
    </w:rPr>
  </w:style>
  <w:style w:type="character" w:customStyle="1" w:styleId="43">
    <w:name w:val="Table caption|1_"/>
    <w:link w:val="44"/>
    <w:qFormat/>
    <w:uiPriority w:val="0"/>
    <w:rPr>
      <w:rFonts w:ascii="宋体" w:hAnsi="宋体" w:cs="宋体"/>
      <w:color w:val="000000"/>
      <w:sz w:val="22"/>
      <w:szCs w:val="22"/>
      <w:lang w:val="zh-TW" w:eastAsia="zh-TW" w:bidi="zh-TW"/>
    </w:rPr>
  </w:style>
  <w:style w:type="paragraph" w:customStyle="1" w:styleId="44">
    <w:name w:val="Table caption|1"/>
    <w:basedOn w:val="1"/>
    <w:link w:val="43"/>
    <w:qFormat/>
    <w:uiPriority w:val="0"/>
    <w:pPr>
      <w:wordWrap/>
      <w:spacing w:after="100" w:line="240" w:lineRule="auto"/>
      <w:ind w:firstLine="0" w:firstLineChars="0"/>
      <w:jc w:val="left"/>
    </w:pPr>
    <w:rPr>
      <w:rFonts w:ascii="宋体" w:hAnsi="宋体" w:cs="宋体"/>
      <w:color w:val="000000"/>
      <w:kern w:val="0"/>
      <w:sz w:val="22"/>
      <w:szCs w:val="22"/>
      <w:lang w:val="zh-TW" w:eastAsia="zh-TW" w:bidi="zh-TW"/>
    </w:rPr>
  </w:style>
  <w:style w:type="character" w:customStyle="1" w:styleId="45">
    <w:name w:val="Header or footer|2_"/>
    <w:link w:val="46"/>
    <w:qFormat/>
    <w:uiPriority w:val="0"/>
    <w:rPr>
      <w:szCs w:val="24"/>
      <w:lang w:val="zh-CN" w:bidi="zh-CN"/>
    </w:rPr>
  </w:style>
  <w:style w:type="paragraph" w:customStyle="1" w:styleId="46">
    <w:name w:val="Header or footer|2"/>
    <w:basedOn w:val="1"/>
    <w:link w:val="45"/>
    <w:qFormat/>
    <w:uiPriority w:val="0"/>
    <w:pPr>
      <w:wordWrap/>
      <w:spacing w:line="240" w:lineRule="auto"/>
      <w:ind w:firstLine="0" w:firstLineChars="0"/>
      <w:jc w:val="left"/>
    </w:pPr>
    <w:rPr>
      <w:kern w:val="0"/>
      <w:sz w:val="20"/>
      <w:lang w:val="zh-CN" w:bidi="zh-CN"/>
    </w:rPr>
  </w:style>
  <w:style w:type="character" w:customStyle="1" w:styleId="47">
    <w:name w:val="页眉 Char"/>
    <w:link w:val="25"/>
    <w:qFormat/>
    <w:uiPriority w:val="0"/>
    <w:rPr>
      <w:rFonts w:eastAsia="宋体"/>
      <w:kern w:val="2"/>
      <w:sz w:val="18"/>
      <w:szCs w:val="18"/>
      <w:lang w:val="en-US" w:eastAsia="zh-CN" w:bidi="ar-SA"/>
    </w:rPr>
  </w:style>
  <w:style w:type="character" w:customStyle="1" w:styleId="48">
    <w:name w:val="Body text|1_"/>
    <w:link w:val="49"/>
    <w:qFormat/>
    <w:uiPriority w:val="0"/>
    <w:rPr>
      <w:rFonts w:ascii="宋体" w:hAnsi="宋体" w:cs="宋体"/>
      <w:sz w:val="22"/>
      <w:szCs w:val="22"/>
      <w:lang w:val="zh-TW" w:eastAsia="zh-TW" w:bidi="zh-TW"/>
    </w:rPr>
  </w:style>
  <w:style w:type="paragraph" w:customStyle="1" w:styleId="49">
    <w:name w:val="Body text|1"/>
    <w:basedOn w:val="1"/>
    <w:link w:val="48"/>
    <w:qFormat/>
    <w:uiPriority w:val="0"/>
    <w:pPr>
      <w:wordWrap/>
      <w:spacing w:after="60" w:line="415" w:lineRule="auto"/>
      <w:ind w:firstLine="400" w:firstLineChars="0"/>
      <w:jc w:val="left"/>
    </w:pPr>
    <w:rPr>
      <w:rFonts w:ascii="宋体" w:hAnsi="宋体" w:cs="宋体"/>
      <w:kern w:val="0"/>
      <w:sz w:val="22"/>
      <w:szCs w:val="22"/>
      <w:lang w:val="zh-TW" w:eastAsia="zh-TW" w:bidi="zh-TW"/>
    </w:rPr>
  </w:style>
  <w:style w:type="character" w:customStyle="1" w:styleId="50">
    <w:name w:val="报告正文 Char1"/>
    <w:qFormat/>
    <w:uiPriority w:val="0"/>
    <w:rPr>
      <w:rFonts w:ascii="宋体" w:hAnsi="宋体" w:eastAsia="宋体"/>
      <w:kern w:val="2"/>
      <w:sz w:val="24"/>
      <w:szCs w:val="24"/>
      <w:lang w:val="en-US" w:eastAsia="zh-CN" w:bidi="ar-SA"/>
    </w:rPr>
  </w:style>
  <w:style w:type="character" w:customStyle="1" w:styleId="51">
    <w:name w:val="批注主题 Char"/>
    <w:link w:val="34"/>
    <w:qFormat/>
    <w:uiPriority w:val="0"/>
    <w:rPr>
      <w:b/>
      <w:bCs/>
      <w:kern w:val="2"/>
      <w:sz w:val="28"/>
      <w:szCs w:val="24"/>
    </w:rPr>
  </w:style>
  <w:style w:type="character" w:customStyle="1" w:styleId="52">
    <w:name w:val="标题 3 Char"/>
    <w:link w:val="5"/>
    <w:qFormat/>
    <w:uiPriority w:val="0"/>
    <w:rPr>
      <w:rFonts w:ascii="宋体" w:hAnsi="宋体" w:eastAsia="宋体"/>
      <w:b/>
      <w:bCs/>
      <w:color w:val="000000"/>
      <w:kern w:val="2"/>
      <w:sz w:val="28"/>
      <w:szCs w:val="28"/>
    </w:rPr>
  </w:style>
  <w:style w:type="character" w:customStyle="1" w:styleId="53">
    <w:name w:val="前言标题"/>
    <w:qFormat/>
    <w:uiPriority w:val="0"/>
    <w:rPr>
      <w:b/>
      <w:bCs/>
      <w:sz w:val="30"/>
    </w:rPr>
  </w:style>
  <w:style w:type="character" w:customStyle="1" w:styleId="54">
    <w:name w:val="页脚 Char"/>
    <w:qFormat/>
    <w:uiPriority w:val="99"/>
  </w:style>
  <w:style w:type="character" w:customStyle="1" w:styleId="55">
    <w:name w:val="正文文本 3 Char Char"/>
    <w:qFormat/>
    <w:uiPriority w:val="0"/>
    <w:rPr>
      <w:rFonts w:ascii="宋体" w:eastAsia="宋体"/>
      <w:kern w:val="2"/>
      <w:sz w:val="24"/>
      <w:szCs w:val="24"/>
      <w:lang w:val="en-US" w:eastAsia="zh-CN" w:bidi="ar-SA"/>
    </w:rPr>
  </w:style>
  <w:style w:type="character" w:customStyle="1" w:styleId="56">
    <w:name w:val="H2 Char"/>
    <w:qFormat/>
    <w:uiPriority w:val="0"/>
    <w:rPr>
      <w:rFonts w:ascii="Arial" w:hAnsi="Arial" w:eastAsia="黑体"/>
      <w:b/>
      <w:bCs/>
      <w:kern w:val="2"/>
      <w:sz w:val="32"/>
      <w:szCs w:val="32"/>
      <w:lang w:val="en-US" w:eastAsia="zh-CN" w:bidi="ar-SA"/>
    </w:rPr>
  </w:style>
  <w:style w:type="character" w:customStyle="1" w:styleId="57">
    <w:name w:val="Body text|2_"/>
    <w:link w:val="58"/>
    <w:qFormat/>
    <w:uiPriority w:val="0"/>
    <w:rPr>
      <w:sz w:val="26"/>
      <w:szCs w:val="26"/>
      <w:lang w:val="zh-TW" w:eastAsia="zh-TW" w:bidi="zh-TW"/>
    </w:rPr>
  </w:style>
  <w:style w:type="paragraph" w:customStyle="1" w:styleId="58">
    <w:name w:val="Body text|2"/>
    <w:basedOn w:val="1"/>
    <w:link w:val="57"/>
    <w:qFormat/>
    <w:uiPriority w:val="0"/>
    <w:pPr>
      <w:wordWrap/>
      <w:spacing w:after="940" w:line="240" w:lineRule="auto"/>
      <w:ind w:left="1680" w:firstLine="0" w:firstLineChars="0"/>
      <w:jc w:val="left"/>
    </w:pPr>
    <w:rPr>
      <w:kern w:val="0"/>
      <w:sz w:val="26"/>
      <w:szCs w:val="26"/>
      <w:lang w:val="zh-TW" w:eastAsia="zh-TW" w:bidi="zh-TW"/>
    </w:rPr>
  </w:style>
  <w:style w:type="character" w:customStyle="1" w:styleId="59">
    <w:name w:val="Other|1_"/>
    <w:link w:val="60"/>
    <w:qFormat/>
    <w:uiPriority w:val="0"/>
    <w:rPr>
      <w:rFonts w:ascii="宋体" w:hAnsi="宋体" w:cs="宋体"/>
      <w:szCs w:val="24"/>
      <w:lang w:val="zh-TW" w:eastAsia="zh-TW" w:bidi="zh-TW"/>
    </w:rPr>
  </w:style>
  <w:style w:type="paragraph" w:customStyle="1" w:styleId="60">
    <w:name w:val="Other|1"/>
    <w:basedOn w:val="1"/>
    <w:link w:val="59"/>
    <w:qFormat/>
    <w:uiPriority w:val="0"/>
    <w:pPr>
      <w:wordWrap/>
      <w:spacing w:line="240" w:lineRule="auto"/>
      <w:ind w:firstLine="0" w:firstLineChars="0"/>
      <w:jc w:val="center"/>
    </w:pPr>
    <w:rPr>
      <w:rFonts w:ascii="宋体" w:hAnsi="宋体" w:cs="宋体"/>
      <w:kern w:val="0"/>
      <w:sz w:val="20"/>
      <w:lang w:val="zh-TW" w:eastAsia="zh-TW" w:bidi="zh-TW"/>
    </w:rPr>
  </w:style>
  <w:style w:type="character" w:customStyle="1" w:styleId="61">
    <w:name w:val="正文文本 Char"/>
    <w:link w:val="12"/>
    <w:qFormat/>
    <w:uiPriority w:val="0"/>
    <w:rPr>
      <w:kern w:val="2"/>
      <w:sz w:val="28"/>
      <w:szCs w:val="24"/>
    </w:rPr>
  </w:style>
  <w:style w:type="character" w:customStyle="1" w:styleId="62">
    <w:name w:val="正文缩进 Char1"/>
    <w:qFormat/>
    <w:uiPriority w:val="0"/>
    <w:rPr>
      <w:rFonts w:eastAsia="宋体"/>
      <w:kern w:val="2"/>
      <w:sz w:val="21"/>
      <w:lang w:val="en-US" w:eastAsia="zh-CN" w:bidi="ar-SA"/>
    </w:rPr>
  </w:style>
  <w:style w:type="character" w:customStyle="1" w:styleId="63">
    <w:name w:val="批注文字 Char"/>
    <w:link w:val="11"/>
    <w:qFormat/>
    <w:uiPriority w:val="0"/>
    <w:rPr>
      <w:kern w:val="2"/>
      <w:sz w:val="28"/>
      <w:szCs w:val="24"/>
    </w:rPr>
  </w:style>
  <w:style w:type="character" w:customStyle="1" w:styleId="64">
    <w:name w:val="页脚 Char1"/>
    <w:link w:val="22"/>
    <w:qFormat/>
    <w:uiPriority w:val="99"/>
    <w:rPr>
      <w:kern w:val="2"/>
      <w:sz w:val="18"/>
      <w:szCs w:val="18"/>
    </w:rPr>
  </w:style>
  <w:style w:type="character" w:customStyle="1" w:styleId="65">
    <w:name w:val="封面2报告类型"/>
    <w:qFormat/>
    <w:uiPriority w:val="0"/>
    <w:rPr>
      <w:rFonts w:ascii="宋体" w:hAnsi="宋体"/>
      <w:b/>
      <w:bCs/>
      <w:sz w:val="44"/>
    </w:rPr>
  </w:style>
  <w:style w:type="character" w:customStyle="1" w:styleId="66">
    <w:name w:val="Header or footer|1_"/>
    <w:link w:val="67"/>
    <w:qFormat/>
    <w:uiPriority w:val="0"/>
    <w:rPr>
      <w:sz w:val="18"/>
      <w:szCs w:val="18"/>
      <w:lang w:val="zh-TW" w:eastAsia="zh-TW" w:bidi="zh-TW"/>
    </w:rPr>
  </w:style>
  <w:style w:type="paragraph" w:customStyle="1" w:styleId="67">
    <w:name w:val="Header or footer|1"/>
    <w:basedOn w:val="1"/>
    <w:link w:val="66"/>
    <w:qFormat/>
    <w:uiPriority w:val="0"/>
    <w:pPr>
      <w:wordWrap/>
      <w:spacing w:line="240" w:lineRule="auto"/>
      <w:ind w:firstLine="0" w:firstLineChars="0"/>
      <w:jc w:val="left"/>
    </w:pPr>
    <w:rPr>
      <w:kern w:val="0"/>
      <w:sz w:val="18"/>
      <w:szCs w:val="18"/>
      <w:lang w:val="zh-TW" w:eastAsia="zh-TW" w:bidi="zh-TW"/>
    </w:rPr>
  </w:style>
  <w:style w:type="character" w:customStyle="1" w:styleId="68">
    <w:name w:val="style71"/>
    <w:qFormat/>
    <w:uiPriority w:val="0"/>
    <w:rPr>
      <w:sz w:val="27"/>
      <w:szCs w:val="27"/>
    </w:rPr>
  </w:style>
  <w:style w:type="character" w:customStyle="1" w:styleId="69">
    <w:name w:val="4正文 Char"/>
    <w:link w:val="70"/>
    <w:qFormat/>
    <w:uiPriority w:val="0"/>
    <w:rPr>
      <w:rFonts w:eastAsia="宋体"/>
      <w:kern w:val="2"/>
      <w:sz w:val="28"/>
      <w:szCs w:val="24"/>
      <w:lang w:bidi="ar-SA"/>
    </w:rPr>
  </w:style>
  <w:style w:type="paragraph" w:customStyle="1" w:styleId="70">
    <w:name w:val="4正文"/>
    <w:basedOn w:val="1"/>
    <w:link w:val="69"/>
    <w:qFormat/>
    <w:uiPriority w:val="0"/>
    <w:pPr>
      <w:spacing w:beforeLines="50" w:line="360" w:lineRule="auto"/>
    </w:pPr>
  </w:style>
  <w:style w:type="character" w:customStyle="1" w:styleId="71">
    <w:name w:val="标题 2 Char"/>
    <w:link w:val="4"/>
    <w:qFormat/>
    <w:uiPriority w:val="0"/>
    <w:rPr>
      <w:rFonts w:ascii="Arial" w:hAnsi="Arial"/>
      <w:b/>
      <w:bCs/>
      <w:kern w:val="2"/>
      <w:sz w:val="32"/>
      <w:szCs w:val="32"/>
    </w:rPr>
  </w:style>
  <w:style w:type="character" w:customStyle="1" w:styleId="72">
    <w:name w:val="正缩1 Char"/>
    <w:link w:val="73"/>
    <w:qFormat/>
    <w:uiPriority w:val="0"/>
    <w:rPr>
      <w:rFonts w:eastAsia="仿宋_GB2312"/>
      <w:snapToGrid w:val="0"/>
      <w:color w:val="000000"/>
      <w:sz w:val="28"/>
      <w:lang w:val="en-US" w:eastAsia="zh-CN" w:bidi="ar-SA"/>
    </w:rPr>
  </w:style>
  <w:style w:type="paragraph" w:customStyle="1" w:styleId="73">
    <w:name w:val="正缩1"/>
    <w:basedOn w:val="1"/>
    <w:link w:val="72"/>
    <w:qFormat/>
    <w:uiPriority w:val="0"/>
    <w:pPr>
      <w:adjustRightInd w:val="0"/>
      <w:snapToGrid w:val="0"/>
      <w:spacing w:line="500" w:lineRule="exact"/>
      <w:ind w:firstLine="567"/>
    </w:pPr>
    <w:rPr>
      <w:rFonts w:eastAsia="仿宋_GB2312"/>
      <w:snapToGrid w:val="0"/>
      <w:color w:val="000000"/>
      <w:kern w:val="0"/>
      <w:szCs w:val="20"/>
    </w:rPr>
  </w:style>
  <w:style w:type="character" w:customStyle="1" w:styleId="74">
    <w:name w:val="批注框文本 Char"/>
    <w:link w:val="21"/>
    <w:qFormat/>
    <w:uiPriority w:val="0"/>
    <w:rPr>
      <w:kern w:val="2"/>
      <w:sz w:val="18"/>
      <w:szCs w:val="18"/>
    </w:rPr>
  </w:style>
  <w:style w:type="character" w:customStyle="1" w:styleId="75">
    <w:name w:val="标题 2 Char1"/>
    <w:qFormat/>
    <w:uiPriority w:val="0"/>
    <w:rPr>
      <w:rFonts w:ascii="Arial" w:hAnsi="Arial" w:eastAsia="宋体"/>
      <w:b/>
      <w:bCs/>
      <w:kern w:val="2"/>
      <w:sz w:val="32"/>
      <w:szCs w:val="32"/>
      <w:lang w:val="en-US" w:eastAsia="zh-CN" w:bidi="ar-SA"/>
    </w:rPr>
  </w:style>
  <w:style w:type="paragraph" w:customStyle="1" w:styleId="76">
    <w:name w:val="封面1标题"/>
    <w:basedOn w:val="1"/>
    <w:qFormat/>
    <w:uiPriority w:val="0"/>
    <w:pPr>
      <w:spacing w:before="312" w:after="312" w:line="400" w:lineRule="atLeast"/>
      <w:jc w:val="center"/>
    </w:pPr>
    <w:rPr>
      <w:rFonts w:ascii="宋体" w:hAnsi="宋体" w:cs="宋体"/>
      <w:b/>
      <w:bCs/>
      <w:color w:val="000000"/>
      <w:sz w:val="44"/>
      <w:szCs w:val="20"/>
    </w:rPr>
  </w:style>
  <w:style w:type="paragraph" w:customStyle="1" w:styleId="77">
    <w:name w:val="封面标准名称"/>
    <w:qFormat/>
    <w:uiPriority w:val="0"/>
    <w:pPr>
      <w:framePr w:w="9638" w:h="6917" w:wrap="around" w:vAnchor="margin" w:hAnchor="margin" w:xAlign="center" w:y="5956" w:anchorLock="1"/>
      <w:widowControl w:val="0"/>
      <w:spacing w:after="200" w:line="680" w:lineRule="exact"/>
      <w:ind w:firstLine="360"/>
      <w:jc w:val="center"/>
    </w:pPr>
    <w:rPr>
      <w:rFonts w:ascii="黑体" w:hAnsi="Calibri" w:eastAsia="黑体" w:cs="Times New Roman"/>
      <w:sz w:val="52"/>
      <w:szCs w:val="22"/>
      <w:lang w:val="en-US" w:eastAsia="zh-CN" w:bidi="ar-SA"/>
    </w:rPr>
  </w:style>
  <w:style w:type="paragraph" w:customStyle="1" w:styleId="78">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79">
    <w:name w:val="[1]正文"/>
    <w:basedOn w:val="1"/>
    <w:qFormat/>
    <w:uiPriority w:val="0"/>
    <w:pPr>
      <w:spacing w:line="500" w:lineRule="exact"/>
    </w:pPr>
    <w:rPr>
      <w:kern w:val="0"/>
      <w:szCs w:val="28"/>
    </w:rPr>
  </w:style>
  <w:style w:type="paragraph" w:customStyle="1" w:styleId="80">
    <w:name w:val="封面1编制单位"/>
    <w:basedOn w:val="1"/>
    <w:qFormat/>
    <w:uiPriority w:val="0"/>
    <w:pPr>
      <w:spacing w:line="360" w:lineRule="auto"/>
      <w:ind w:left="-359" w:leftChars="-171" w:firstLine="398" w:firstLineChars="90"/>
      <w:jc w:val="center"/>
    </w:pPr>
    <w:rPr>
      <w:rFonts w:ascii="宋体" w:hAnsi="宋体" w:cs="宋体"/>
      <w:b/>
      <w:bCs/>
      <w:sz w:val="44"/>
      <w:szCs w:val="20"/>
    </w:rPr>
  </w:style>
  <w:style w:type="paragraph" w:customStyle="1" w:styleId="81">
    <w:name w:val="封面2完成时间"/>
    <w:basedOn w:val="1"/>
    <w:qFormat/>
    <w:uiPriority w:val="0"/>
    <w:pPr>
      <w:spacing w:line="360" w:lineRule="auto"/>
      <w:jc w:val="center"/>
    </w:pPr>
    <w:rPr>
      <w:rFonts w:ascii="宋体" w:hAnsi="宋体" w:cs="宋体"/>
      <w:b/>
      <w:bCs/>
      <w:szCs w:val="20"/>
    </w:rPr>
  </w:style>
  <w:style w:type="paragraph" w:customStyle="1" w:styleId="82">
    <w:name w:val="0表头及图名"/>
    <w:basedOn w:val="1"/>
    <w:qFormat/>
    <w:uiPriority w:val="0"/>
    <w:pPr>
      <w:jc w:val="center"/>
    </w:pPr>
    <w:rPr>
      <w:rFonts w:ascii="黑体" w:hAnsi="黑体" w:eastAsia="黑体" w:cs="宋体"/>
      <w:color w:val="000000"/>
      <w:szCs w:val="28"/>
    </w:rPr>
  </w:style>
  <w:style w:type="paragraph" w:customStyle="1" w:styleId="83">
    <w:name w:val="Char1 Char Char Char Char Char Char Char Char Char"/>
    <w:basedOn w:val="1"/>
    <w:qFormat/>
    <w:uiPriority w:val="0"/>
  </w:style>
  <w:style w:type="paragraph" w:customStyle="1" w:styleId="84">
    <w:name w:val="p"/>
    <w:basedOn w:val="1"/>
    <w:qFormat/>
    <w:uiPriority w:val="0"/>
    <w:pPr>
      <w:spacing w:line="525" w:lineRule="atLeast"/>
      <w:ind w:firstLine="375"/>
    </w:pPr>
  </w:style>
  <w:style w:type="paragraph" w:customStyle="1" w:styleId="85">
    <w:name w:val="样式 宋体 小三 首行缩进:  1.06 厘米"/>
    <w:basedOn w:val="1"/>
    <w:qFormat/>
    <w:uiPriority w:val="0"/>
    <w:pPr>
      <w:spacing w:line="600" w:lineRule="exact"/>
      <w:ind w:firstLine="560"/>
    </w:pPr>
    <w:rPr>
      <w:rFonts w:ascii="宋体" w:hAnsi="宋体" w:cs="宋体"/>
      <w:szCs w:val="28"/>
    </w:rPr>
  </w:style>
  <w:style w:type="paragraph" w:customStyle="1" w:styleId="86">
    <w:name w:val="款文"/>
    <w:basedOn w:val="1"/>
    <w:qFormat/>
    <w:uiPriority w:val="0"/>
    <w:pPr>
      <w:spacing w:line="360" w:lineRule="auto"/>
      <w:ind w:firstLine="420"/>
    </w:pPr>
    <w:rPr>
      <w:rFonts w:eastAsia="Times New Roman"/>
      <w:szCs w:val="18"/>
    </w:rPr>
  </w:style>
  <w:style w:type="paragraph" w:customStyle="1" w:styleId="87">
    <w:name w:val="p0"/>
    <w:basedOn w:val="1"/>
    <w:qFormat/>
    <w:uiPriority w:val="0"/>
    <w:pPr>
      <w:widowControl/>
      <w:spacing w:line="365" w:lineRule="atLeast"/>
      <w:ind w:left="1"/>
      <w:textAlignment w:val="bottom"/>
    </w:pPr>
    <w:rPr>
      <w:rFonts w:ascii="宋体" w:hAnsi="宋体"/>
      <w:bCs/>
      <w:kern w:val="0"/>
      <w:sz w:val="20"/>
      <w:szCs w:val="20"/>
    </w:rPr>
  </w:style>
  <w:style w:type="paragraph" w:customStyle="1" w:styleId="88">
    <w:name w:val="条文"/>
    <w:basedOn w:val="1"/>
    <w:qFormat/>
    <w:uiPriority w:val="0"/>
    <w:pPr>
      <w:spacing w:line="360" w:lineRule="auto"/>
    </w:pPr>
  </w:style>
  <w:style w:type="paragraph" w:customStyle="1" w:styleId="89">
    <w:name w:val="封面1资质"/>
    <w:basedOn w:val="1"/>
    <w:qFormat/>
    <w:uiPriority w:val="0"/>
    <w:pPr>
      <w:spacing w:line="360" w:lineRule="auto"/>
      <w:ind w:left="-359" w:leftChars="-171" w:firstLine="128" w:firstLineChars="40"/>
      <w:jc w:val="center"/>
    </w:pPr>
    <w:rPr>
      <w:rFonts w:ascii="宋体" w:hAnsi="宋体" w:cs="宋体"/>
      <w:b/>
      <w:bCs/>
      <w:sz w:val="32"/>
      <w:szCs w:val="20"/>
    </w:rPr>
  </w:style>
  <w:style w:type="paragraph" w:customStyle="1" w:styleId="90">
    <w:name w:val="Char"/>
    <w:basedOn w:val="1"/>
    <w:qFormat/>
    <w:uiPriority w:val="0"/>
  </w:style>
  <w:style w:type="paragraph" w:customStyle="1" w:styleId="91">
    <w:name w:val="样式 标题 3 + 首行缩进:  0 字符"/>
    <w:basedOn w:val="5"/>
    <w:qFormat/>
    <w:uiPriority w:val="0"/>
    <w:pPr>
      <w:spacing w:line="240" w:lineRule="auto"/>
    </w:pPr>
    <w:rPr>
      <w:rFonts w:cs="宋体"/>
      <w:color w:val="auto"/>
      <w:szCs w:val="20"/>
    </w:rPr>
  </w:style>
  <w:style w:type="paragraph" w:customStyle="1" w:styleId="92">
    <w:name w:val="公章"/>
    <w:basedOn w:val="1"/>
    <w:qFormat/>
    <w:uiPriority w:val="0"/>
    <w:pPr>
      <w:spacing w:line="360" w:lineRule="auto"/>
      <w:jc w:val="center"/>
    </w:pPr>
    <w:rPr>
      <w:rFonts w:ascii="宋体" w:hAnsi="宋体" w:cs="宋体"/>
      <w:b/>
      <w:bCs/>
      <w:sz w:val="24"/>
      <w:szCs w:val="20"/>
    </w:rPr>
  </w:style>
  <w:style w:type="paragraph" w:customStyle="1" w:styleId="93">
    <w:name w:val="样式1"/>
    <w:basedOn w:val="1"/>
    <w:next w:val="6"/>
    <w:qFormat/>
    <w:uiPriority w:val="0"/>
  </w:style>
  <w:style w:type="paragraph" w:customStyle="1" w:styleId="94">
    <w:name w:val="！WBL基本段落"/>
    <w:basedOn w:val="1"/>
    <w:qFormat/>
    <w:uiPriority w:val="0"/>
    <w:pPr>
      <w:spacing w:line="360" w:lineRule="auto"/>
    </w:pPr>
    <w:rPr>
      <w:rFonts w:eastAsia="仿宋"/>
      <w:color w:val="000000"/>
      <w:sz w:val="24"/>
    </w:rPr>
  </w:style>
  <w:style w:type="paragraph" w:customStyle="1" w:styleId="95">
    <w:name w:val="文本内容"/>
    <w:basedOn w:val="1"/>
    <w:qFormat/>
    <w:uiPriority w:val="0"/>
    <w:pPr>
      <w:spacing w:beforeLines="20" w:line="460" w:lineRule="exact"/>
    </w:pPr>
    <w:rPr>
      <w:color w:val="000000"/>
      <w:szCs w:val="28"/>
    </w:rPr>
  </w:style>
  <w:style w:type="paragraph" w:customStyle="1" w:styleId="96">
    <w:name w:val="封面1报告类型"/>
    <w:basedOn w:val="1"/>
    <w:qFormat/>
    <w:uiPriority w:val="0"/>
    <w:pPr>
      <w:jc w:val="center"/>
    </w:pPr>
    <w:rPr>
      <w:rFonts w:ascii="黑体" w:eastAsia="黑体" w:cs="宋体"/>
      <w:b/>
      <w:bCs/>
      <w:sz w:val="52"/>
      <w:szCs w:val="20"/>
    </w:rPr>
  </w:style>
  <w:style w:type="paragraph" w:customStyle="1" w:styleId="97">
    <w:name w:val="封面2人员"/>
    <w:basedOn w:val="1"/>
    <w:qFormat/>
    <w:uiPriority w:val="0"/>
    <w:pPr>
      <w:jc w:val="center"/>
    </w:pPr>
    <w:rPr>
      <w:rFonts w:ascii="宋体" w:hAnsi="宋体" w:cs="宋体"/>
      <w:szCs w:val="20"/>
    </w:rPr>
  </w:style>
  <w:style w:type="paragraph" w:customStyle="1" w:styleId="98">
    <w:name w:val="（5）正文"/>
    <w:basedOn w:val="1"/>
    <w:qFormat/>
    <w:uiPriority w:val="0"/>
    <w:pPr>
      <w:spacing w:line="360" w:lineRule="auto"/>
    </w:pPr>
    <w:rPr>
      <w:rFonts w:eastAsia="仿宋_GB2312"/>
    </w:rPr>
  </w:style>
  <w:style w:type="paragraph" w:customStyle="1" w:styleId="99">
    <w:name w:val="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0">
    <w:name w:val="样式 四号"/>
    <w:basedOn w:val="1"/>
    <w:qFormat/>
    <w:uiPriority w:val="0"/>
    <w:pPr>
      <w:ind w:firstLine="560"/>
    </w:pPr>
    <w:rPr>
      <w:rFonts w:cs="宋体"/>
      <w:szCs w:val="20"/>
    </w:rPr>
  </w:style>
  <w:style w:type="paragraph" w:customStyle="1" w:styleId="101">
    <w:name w:val="样式 标题 2 + 黑体 小三"/>
    <w:basedOn w:val="4"/>
    <w:qFormat/>
    <w:uiPriority w:val="0"/>
    <w:pPr>
      <w:spacing w:before="60" w:after="60" w:line="680" w:lineRule="exact"/>
    </w:pPr>
    <w:rPr>
      <w:rFonts w:cs="Arial"/>
      <w:sz w:val="30"/>
      <w:szCs w:val="30"/>
    </w:rPr>
  </w:style>
  <w:style w:type="paragraph" w:customStyle="1" w:styleId="102">
    <w:name w:val="封面2题"/>
    <w:basedOn w:val="1"/>
    <w:qFormat/>
    <w:uiPriority w:val="0"/>
    <w:pPr>
      <w:spacing w:line="360" w:lineRule="auto"/>
      <w:jc w:val="center"/>
    </w:pPr>
    <w:rPr>
      <w:rFonts w:ascii="宋体" w:hAnsi="宋体" w:cs="宋体"/>
      <w:b/>
      <w:bCs/>
      <w:sz w:val="32"/>
      <w:szCs w:val="20"/>
    </w:rPr>
  </w:style>
  <w:style w:type="paragraph" w:customStyle="1" w:styleId="103">
    <w:name w:val="签字表"/>
    <w:basedOn w:val="1"/>
    <w:qFormat/>
    <w:uiPriority w:val="0"/>
    <w:pPr>
      <w:spacing w:line="480" w:lineRule="auto"/>
      <w:ind w:firstLine="482"/>
      <w:jc w:val="center"/>
    </w:pPr>
    <w:rPr>
      <w:rFonts w:ascii="宋体" w:hAnsi="宋体" w:cs="宋体"/>
      <w:b/>
      <w:bCs/>
      <w:sz w:val="24"/>
      <w:szCs w:val="20"/>
    </w:rPr>
  </w:style>
  <w:style w:type="paragraph" w:customStyle="1" w:styleId="104">
    <w:name w:val="样式 标题 2 + 四号"/>
    <w:basedOn w:val="4"/>
    <w:qFormat/>
    <w:uiPriority w:val="0"/>
    <w:pPr>
      <w:spacing w:line="240" w:lineRule="auto"/>
    </w:pPr>
    <w:rPr>
      <w:rFonts w:ascii="宋体" w:hAnsi="宋体"/>
      <w:kern w:val="0"/>
      <w:sz w:val="28"/>
      <w:szCs w:val="28"/>
    </w:rPr>
  </w:style>
  <w:style w:type="paragraph" w:customStyle="1" w:styleId="105">
    <w:name w:val="样式 标题 3 +4号"/>
    <w:basedOn w:val="5"/>
    <w:qFormat/>
    <w:uiPriority w:val="0"/>
    <w:rPr>
      <w:rFonts w:cs="宋体"/>
      <w:color w:val="auto"/>
      <w:szCs w:val="20"/>
    </w:rPr>
  </w:style>
  <w:style w:type="paragraph" w:customStyle="1" w:styleId="106">
    <w:name w:val="Char Char1 Char"/>
    <w:basedOn w:val="1"/>
    <w:qFormat/>
    <w:uiPriority w:val="0"/>
  </w:style>
  <w:style w:type="paragraph" w:customStyle="1" w:styleId="107">
    <w:name w:val="报告正文"/>
    <w:basedOn w:val="8"/>
    <w:qFormat/>
    <w:uiPriority w:val="0"/>
    <w:pPr>
      <w:spacing w:line="360" w:lineRule="auto"/>
      <w:ind w:firstLine="480"/>
    </w:pPr>
    <w:rPr>
      <w:rFonts w:ascii="宋体" w:hAnsi="宋体"/>
      <w:sz w:val="24"/>
    </w:rPr>
  </w:style>
  <w:style w:type="paragraph" w:customStyle="1" w:styleId="108">
    <w:name w:val="Char Char Char"/>
    <w:basedOn w:val="1"/>
    <w:qFormat/>
    <w:uiPriority w:val="0"/>
  </w:style>
  <w:style w:type="paragraph" w:customStyle="1" w:styleId="109">
    <w:name w:val="样式 宋体 四号 行距: 固定值 26 磅 首行缩进:  2 字符"/>
    <w:basedOn w:val="1"/>
    <w:qFormat/>
    <w:uiPriority w:val="0"/>
    <w:rPr>
      <w:rFonts w:ascii="宋体" w:hAnsi="宋体" w:cs="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5.wmf"/><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wmf"/><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F40EBD-8603-4E58-AE6D-9B74631F378A}">
  <ds:schemaRefs/>
</ds:datastoreItem>
</file>

<file path=docProps/app.xml><?xml version="1.0" encoding="utf-8"?>
<Properties xmlns="http://schemas.openxmlformats.org/officeDocument/2006/extended-properties" xmlns:vt="http://schemas.openxmlformats.org/officeDocument/2006/docPropsVTypes">
  <Template>Normal</Template>
  <Company>安达</Company>
  <Pages>1</Pages>
  <Words>8073</Words>
  <Characters>46018</Characters>
  <Lines>383</Lines>
  <Paragraphs>107</Paragraphs>
  <TotalTime>5</TotalTime>
  <ScaleCrop>false</ScaleCrop>
  <LinksUpToDate>false</LinksUpToDate>
  <CharactersWithSpaces>53984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2019-07-20T09:27:00Z</dcterms:created>
  <dc:creator>胡威</dc:creator>
  <cp:lastModifiedBy>Administrator</cp:lastModifiedBy>
  <cp:lastPrinted>2023-04-11T02:36:00Z</cp:lastPrinted>
  <dcterms:modified xsi:type="dcterms:W3CDTF">2023-04-20T01:52:05Z</dcterms:modified>
  <dc:title>万载县桃源金矿有限责任公司</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EB26FF81A6A84F8BB815D8A3692DD280_13</vt:lpwstr>
  </property>
</Properties>
</file>