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 xml:space="preserve"> </w:t>
      </w:r>
    </w:p>
    <w:p>
      <w:pPr>
        <w:rPr>
          <w:rFonts w:hint="default" w:ascii="Times New Roman" w:hAnsi="Times New Roman" w:cs="Times New Roman"/>
          <w:color w:val="auto"/>
        </w:rPr>
      </w:pPr>
    </w:p>
    <w:p>
      <w:pPr>
        <w:jc w:val="center"/>
        <w:rPr>
          <w:rFonts w:hint="default" w:ascii="Times New Roman" w:hAnsi="Times New Roman" w:eastAsia="宋体" w:cs="Times New Roman"/>
          <w:b/>
          <w:bCs/>
          <w:color w:val="auto"/>
          <w:sz w:val="44"/>
          <w:szCs w:val="44"/>
          <w:lang w:eastAsia="zh-CN"/>
        </w:rPr>
      </w:pPr>
      <w:r>
        <w:rPr>
          <w:rFonts w:hint="default" w:ascii="Times New Roman" w:hAnsi="Times New Roman" w:cs="Times New Roman"/>
          <w:b/>
          <w:bCs/>
          <w:color w:val="auto"/>
          <w:sz w:val="44"/>
          <w:szCs w:val="44"/>
          <w:lang w:eastAsia="zh-CN"/>
        </w:rPr>
        <w:t>江西心连心化学工业有限公司</w:t>
      </w:r>
    </w:p>
    <w:p>
      <w:pPr>
        <w:jc w:val="center"/>
        <w:rPr>
          <w:rFonts w:hint="default" w:ascii="Times New Roman" w:hAnsi="Times New Roman" w:cs="Times New Roman"/>
          <w:b/>
          <w:bCs/>
          <w:color w:val="auto"/>
          <w:sz w:val="44"/>
          <w:szCs w:val="44"/>
          <w:lang w:eastAsia="zh-CN"/>
        </w:rPr>
      </w:pPr>
      <w:r>
        <w:rPr>
          <w:rFonts w:hint="default" w:ascii="Times New Roman" w:hAnsi="Times New Roman" w:cs="Times New Roman"/>
          <w:b/>
          <w:bCs/>
          <w:color w:val="auto"/>
          <w:sz w:val="44"/>
          <w:szCs w:val="44"/>
          <w:lang w:eastAsia="zh-CN"/>
        </w:rPr>
        <w:t>年产15万吨转鼓氨化造粒复合肥项目</w:t>
      </w:r>
    </w:p>
    <w:p>
      <w:pPr>
        <w:jc w:val="center"/>
        <w:rPr>
          <w:rFonts w:hint="default" w:ascii="Times New Roman" w:hAnsi="Times New Roman" w:eastAsia="黑体" w:cs="Times New Roman"/>
          <w:b/>
          <w:bCs/>
          <w:color w:val="auto"/>
          <w:sz w:val="52"/>
          <w:szCs w:val="52"/>
        </w:rPr>
      </w:pPr>
      <w:r>
        <w:rPr>
          <w:rFonts w:hint="default" w:ascii="Times New Roman" w:hAnsi="Times New Roman" w:eastAsia="黑体" w:cs="Times New Roman"/>
          <w:b/>
          <w:bCs/>
          <w:color w:val="auto"/>
          <w:sz w:val="52"/>
          <w:szCs w:val="52"/>
        </w:rPr>
        <w:t>安全条件评价报告</w:t>
      </w:r>
    </w:p>
    <w:p>
      <w:pPr>
        <w:jc w:val="center"/>
        <w:rPr>
          <w:rFonts w:hint="default" w:ascii="Times New Roman" w:hAnsi="Times New Roman" w:eastAsia="黑体" w:cs="Times New Roman"/>
          <w:b/>
          <w:bCs/>
          <w:color w:val="auto"/>
          <w:sz w:val="52"/>
          <w:szCs w:val="52"/>
        </w:rPr>
      </w:pPr>
      <w:r>
        <w:rPr>
          <w:rFonts w:hint="default" w:ascii="Times New Roman" w:hAnsi="Times New Roman" w:eastAsia="黑体" w:cs="Times New Roman"/>
          <w:b/>
          <w:bCs/>
          <w:color w:val="auto"/>
          <w:sz w:val="52"/>
          <w:szCs w:val="52"/>
        </w:rPr>
        <w:t>（</w:t>
      </w:r>
      <w:r>
        <w:rPr>
          <w:rFonts w:hint="eastAsia" w:eastAsia="黑体" w:cs="Times New Roman"/>
          <w:b/>
          <w:bCs/>
          <w:color w:val="auto"/>
          <w:sz w:val="52"/>
          <w:szCs w:val="52"/>
          <w:lang w:val="en-US" w:eastAsia="zh-CN"/>
        </w:rPr>
        <w:t>终</w:t>
      </w:r>
      <w:r>
        <w:rPr>
          <w:rFonts w:hint="default" w:ascii="Times New Roman" w:hAnsi="Times New Roman" w:eastAsia="黑体" w:cs="Times New Roman"/>
          <w:b/>
          <w:bCs/>
          <w:color w:val="auto"/>
          <w:sz w:val="52"/>
          <w:szCs w:val="52"/>
          <w:lang w:val="en-US" w:eastAsia="zh-CN"/>
        </w:rPr>
        <w:t>稿</w:t>
      </w:r>
      <w:r>
        <w:rPr>
          <w:rFonts w:hint="default" w:ascii="Times New Roman" w:hAnsi="Times New Roman" w:eastAsia="黑体" w:cs="Times New Roman"/>
          <w:b/>
          <w:bCs/>
          <w:color w:val="auto"/>
          <w:sz w:val="52"/>
          <w:szCs w:val="52"/>
        </w:rPr>
        <w:t>）</w: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ind w:firstLine="640" w:firstLineChars="200"/>
        <w:rPr>
          <w:rFonts w:hint="default" w:ascii="Times New Roman" w:hAnsi="Times New Roman" w:eastAsia="宋体" w:cs="Times New Roman"/>
          <w:color w:val="auto"/>
          <w:sz w:val="32"/>
          <w:szCs w:val="32"/>
          <w:lang w:eastAsia="zh-CN"/>
        </w:rPr>
      </w:pPr>
      <w:r>
        <w:rPr>
          <w:rFonts w:hint="default" w:ascii="Times New Roman" w:hAnsi="Times New Roman" w:cs="Times New Roman"/>
          <w:color w:val="auto"/>
          <w:sz w:val="32"/>
          <w:szCs w:val="32"/>
        </w:rPr>
        <w:t>建设单位：</w:t>
      </w:r>
      <w:r>
        <w:rPr>
          <w:rFonts w:hint="default" w:ascii="Times New Roman" w:hAnsi="Times New Roman" w:cs="Times New Roman"/>
          <w:color w:val="auto"/>
          <w:sz w:val="32"/>
          <w:szCs w:val="32"/>
          <w:lang w:eastAsia="zh-CN"/>
        </w:rPr>
        <w:t>江西心连心化学工业有限公司</w:t>
      </w:r>
    </w:p>
    <w:p>
      <w:pPr>
        <w:ind w:firstLine="640" w:firstLineChars="200"/>
        <w:rPr>
          <w:rFonts w:hint="default" w:ascii="Times New Roman" w:hAnsi="Times New Roman" w:eastAsia="宋体" w:cs="Times New Roman"/>
          <w:color w:val="auto"/>
          <w:sz w:val="32"/>
          <w:szCs w:val="32"/>
          <w:lang w:eastAsia="zh-CN"/>
        </w:rPr>
      </w:pPr>
      <w:r>
        <w:rPr>
          <w:rFonts w:hint="default" w:ascii="Times New Roman" w:hAnsi="Times New Roman" w:cs="Times New Roman"/>
          <w:color w:val="auto"/>
          <w:sz w:val="32"/>
          <w:szCs w:val="32"/>
        </w:rPr>
        <w:t>建设单位法定代表人：</w:t>
      </w:r>
      <w:r>
        <w:rPr>
          <w:rFonts w:hint="default" w:ascii="Times New Roman" w:hAnsi="Times New Roman" w:cs="Times New Roman"/>
          <w:color w:val="auto"/>
          <w:sz w:val="32"/>
          <w:szCs w:val="32"/>
          <w:lang w:eastAsia="zh-CN"/>
        </w:rPr>
        <w:t>尚德伟</w:t>
      </w:r>
    </w:p>
    <w:p>
      <w:pPr>
        <w:ind w:firstLine="640" w:firstLineChars="200"/>
        <w:rPr>
          <w:rFonts w:hint="default" w:ascii="Times New Roman" w:hAnsi="Times New Roman" w:eastAsia="宋体" w:cs="Times New Roman"/>
          <w:color w:val="auto"/>
          <w:sz w:val="32"/>
          <w:szCs w:val="32"/>
          <w:lang w:eastAsia="zh-CN"/>
        </w:rPr>
      </w:pPr>
      <w:r>
        <w:rPr>
          <w:rFonts w:hint="default" w:ascii="Times New Roman" w:hAnsi="Times New Roman" w:cs="Times New Roman"/>
          <w:color w:val="auto"/>
          <w:sz w:val="32"/>
          <w:szCs w:val="32"/>
        </w:rPr>
        <w:t>建设项目单位：</w:t>
      </w:r>
      <w:r>
        <w:rPr>
          <w:rFonts w:hint="default" w:ascii="Times New Roman" w:hAnsi="Times New Roman" w:cs="Times New Roman"/>
          <w:color w:val="auto"/>
          <w:sz w:val="32"/>
          <w:szCs w:val="32"/>
          <w:lang w:eastAsia="zh-CN"/>
        </w:rPr>
        <w:t>江西心连心化学工业有限公司</w:t>
      </w:r>
    </w:p>
    <w:p>
      <w:pPr>
        <w:ind w:firstLine="640" w:firstLineChars="200"/>
        <w:rPr>
          <w:rFonts w:hint="default" w:ascii="Times New Roman" w:hAnsi="Times New Roman" w:eastAsia="宋体" w:cs="Times New Roman"/>
          <w:color w:val="auto"/>
          <w:sz w:val="32"/>
          <w:szCs w:val="32"/>
          <w:lang w:eastAsia="zh-CN"/>
        </w:rPr>
      </w:pPr>
      <w:r>
        <w:rPr>
          <w:rFonts w:hint="default" w:ascii="Times New Roman" w:hAnsi="Times New Roman" w:cs="Times New Roman"/>
          <w:color w:val="auto"/>
          <w:sz w:val="32"/>
          <w:szCs w:val="32"/>
        </w:rPr>
        <w:t>建设项目单位主要负责人：</w:t>
      </w:r>
      <w:r>
        <w:rPr>
          <w:rFonts w:hint="default" w:ascii="Times New Roman" w:hAnsi="Times New Roman" w:cs="Times New Roman"/>
          <w:color w:val="auto"/>
          <w:sz w:val="32"/>
          <w:szCs w:val="32"/>
          <w:lang w:eastAsia="zh-CN"/>
        </w:rPr>
        <w:t>孙锦涛</w:t>
      </w:r>
    </w:p>
    <w:p>
      <w:pPr>
        <w:ind w:firstLine="640" w:firstLineChars="200"/>
        <w:rPr>
          <w:rFonts w:hint="default" w:ascii="Times New Roman" w:hAnsi="Times New Roman" w:eastAsia="宋体" w:cs="Times New Roman"/>
          <w:color w:val="auto"/>
          <w:sz w:val="32"/>
          <w:szCs w:val="32"/>
          <w:lang w:eastAsia="zh-CN"/>
        </w:rPr>
      </w:pPr>
      <w:r>
        <w:rPr>
          <w:rFonts w:hint="default" w:ascii="Times New Roman" w:hAnsi="Times New Roman" w:cs="Times New Roman"/>
          <w:color w:val="auto"/>
          <w:sz w:val="32"/>
          <w:szCs w:val="32"/>
        </w:rPr>
        <w:t>建设项目单位联系人：</w:t>
      </w:r>
      <w:r>
        <w:rPr>
          <w:rFonts w:hint="default" w:ascii="Times New Roman" w:hAnsi="Times New Roman" w:cs="Times New Roman"/>
          <w:color w:val="auto"/>
          <w:sz w:val="32"/>
          <w:szCs w:val="32"/>
          <w:lang w:eastAsia="zh-CN"/>
        </w:rPr>
        <w:t>孙锦涛</w:t>
      </w:r>
    </w:p>
    <w:p>
      <w:pPr>
        <w:ind w:firstLine="640" w:firstLineChars="200"/>
        <w:rPr>
          <w:rFonts w:hint="default" w:ascii="Times New Roman" w:hAnsi="Times New Roman" w:eastAsia="宋体" w:cs="Times New Roman"/>
          <w:color w:val="auto"/>
          <w:sz w:val="32"/>
          <w:szCs w:val="32"/>
          <w:lang w:val="en-US" w:eastAsia="zh-CN"/>
        </w:rPr>
      </w:pPr>
      <w:r>
        <w:rPr>
          <w:rFonts w:hint="default" w:ascii="Times New Roman" w:hAnsi="Times New Roman" w:cs="Times New Roman"/>
          <w:color w:val="auto"/>
          <w:sz w:val="32"/>
          <w:szCs w:val="32"/>
        </w:rPr>
        <w:t>建设项目单位联系电话：</w:t>
      </w:r>
      <w:r>
        <w:rPr>
          <w:rFonts w:hint="default" w:ascii="Times New Roman" w:hAnsi="Times New Roman" w:cs="Times New Roman"/>
          <w:color w:val="auto"/>
          <w:sz w:val="32"/>
          <w:szCs w:val="32"/>
          <w:lang w:val="en-US" w:eastAsia="zh-CN"/>
        </w:rPr>
        <w:t>13201399122</w:t>
      </w:r>
    </w:p>
    <w:p>
      <w:pPr>
        <w:jc w:val="center"/>
        <w:rPr>
          <w:rFonts w:hint="default" w:ascii="Times New Roman" w:hAnsi="Times New Roman" w:cs="Times New Roman"/>
          <w:b/>
          <w:bCs/>
          <w:color w:val="auto"/>
          <w:sz w:val="32"/>
          <w:szCs w:val="32"/>
        </w:rPr>
      </w:pPr>
    </w:p>
    <w:p>
      <w:pPr>
        <w:pStyle w:val="10"/>
        <w:ind w:firstLine="31680"/>
        <w:rPr>
          <w:rFonts w:hint="default" w:ascii="Times New Roman" w:hAnsi="Times New Roman" w:cs="Times New Roman"/>
          <w:b/>
          <w:bCs/>
          <w:color w:val="auto"/>
          <w:sz w:val="32"/>
          <w:szCs w:val="32"/>
        </w:rPr>
      </w:pPr>
    </w:p>
    <w:p>
      <w:pPr>
        <w:jc w:val="center"/>
        <w:rPr>
          <w:rFonts w:hint="default" w:ascii="Times New Roman" w:hAnsi="Times New Roman" w:eastAsia="宋体" w:cs="Times New Roman"/>
          <w:b/>
          <w:bCs/>
          <w:color w:val="auto"/>
          <w:sz w:val="32"/>
          <w:szCs w:val="32"/>
          <w:lang w:eastAsia="zh-CN"/>
        </w:rPr>
      </w:pPr>
      <w:r>
        <w:rPr>
          <w:rFonts w:hint="default" w:ascii="Times New Roman" w:hAnsi="Times New Roman" w:cs="Times New Roman"/>
          <w:b/>
          <w:bCs/>
          <w:color w:val="auto"/>
          <w:sz w:val="32"/>
          <w:szCs w:val="32"/>
          <w:lang w:eastAsia="zh-CN"/>
        </w:rPr>
        <w:t>202</w:t>
      </w:r>
      <w:r>
        <w:rPr>
          <w:rFonts w:hint="eastAsia" w:cs="Times New Roman"/>
          <w:b/>
          <w:bCs/>
          <w:color w:val="auto"/>
          <w:sz w:val="32"/>
          <w:szCs w:val="32"/>
          <w:lang w:val="en-US" w:eastAsia="zh-CN"/>
        </w:rPr>
        <w:t>3</w:t>
      </w:r>
      <w:r>
        <w:rPr>
          <w:rFonts w:hint="default" w:ascii="Times New Roman" w:hAnsi="Times New Roman" w:cs="Times New Roman"/>
          <w:b/>
          <w:bCs/>
          <w:color w:val="auto"/>
          <w:sz w:val="32"/>
          <w:szCs w:val="32"/>
          <w:lang w:eastAsia="zh-CN"/>
        </w:rPr>
        <w:t>年</w:t>
      </w:r>
      <w:r>
        <w:rPr>
          <w:rFonts w:hint="eastAsia" w:cs="Times New Roman"/>
          <w:b/>
          <w:bCs/>
          <w:color w:val="auto"/>
          <w:sz w:val="32"/>
          <w:szCs w:val="32"/>
          <w:lang w:val="en-US" w:eastAsia="zh-CN"/>
        </w:rPr>
        <w:t>06</w:t>
      </w:r>
      <w:r>
        <w:rPr>
          <w:rFonts w:hint="default" w:ascii="Times New Roman" w:hAnsi="Times New Roman" w:cs="Times New Roman"/>
          <w:b/>
          <w:bCs/>
          <w:color w:val="auto"/>
          <w:sz w:val="32"/>
          <w:szCs w:val="32"/>
          <w:lang w:eastAsia="zh-CN"/>
        </w:rPr>
        <w:t>月</w:t>
      </w:r>
      <w:r>
        <w:rPr>
          <w:rFonts w:hint="eastAsia" w:cs="Times New Roman"/>
          <w:b/>
          <w:bCs/>
          <w:color w:val="auto"/>
          <w:sz w:val="32"/>
          <w:szCs w:val="32"/>
          <w:lang w:val="en-US" w:eastAsia="zh-CN"/>
        </w:rPr>
        <w:t>19</w:t>
      </w:r>
      <w:r>
        <w:rPr>
          <w:rFonts w:hint="default" w:ascii="Times New Roman" w:hAnsi="Times New Roman" w:cs="Times New Roman"/>
          <w:b/>
          <w:bCs/>
          <w:color w:val="auto"/>
          <w:sz w:val="32"/>
          <w:szCs w:val="32"/>
          <w:lang w:eastAsia="zh-CN"/>
        </w:rPr>
        <w:t>日</w:t>
      </w:r>
    </w:p>
    <w:p>
      <w:pPr>
        <w:jc w:val="center"/>
        <w:rPr>
          <w:rFonts w:hint="default" w:ascii="Times New Roman" w:hAnsi="Times New Roman" w:cs="Times New Roman"/>
          <w:b/>
          <w:bCs/>
          <w:color w:val="auto"/>
          <w:sz w:val="32"/>
          <w:szCs w:val="32"/>
        </w:rPr>
        <w:sectPr>
          <w:headerReference r:id="rId6" w:type="first"/>
          <w:headerReference r:id="rId5" w:type="default"/>
          <w:footerReference r:id="rId7" w:type="default"/>
          <w:pgSz w:w="11906" w:h="16838"/>
          <w:pgMar w:top="1417" w:right="1417" w:bottom="1417" w:left="1417" w:header="851" w:footer="992" w:gutter="0"/>
          <w:pgBorders>
            <w:top w:val="none" w:sz="0" w:space="0"/>
            <w:left w:val="none" w:sz="0" w:space="0"/>
            <w:bottom w:val="none" w:sz="0" w:space="0"/>
            <w:right w:val="none" w:sz="0" w:space="0"/>
          </w:pgBorders>
          <w:cols w:space="425" w:num="1"/>
          <w:titlePg/>
          <w:docGrid w:type="lines" w:linePitch="312" w:charSpace="0"/>
        </w:sectPr>
      </w:pPr>
    </w:p>
    <w:p>
      <w:pPr>
        <w:spacing w:line="600" w:lineRule="exact"/>
        <w:jc w:val="center"/>
        <w:rPr>
          <w:rFonts w:hint="default" w:ascii="Times New Roman" w:hAnsi="Times New Roman" w:cs="Times New Roman"/>
          <w:b/>
          <w:bCs/>
          <w:color w:val="auto"/>
          <w:sz w:val="32"/>
          <w:szCs w:val="32"/>
          <w:lang w:eastAsia="zh-CN"/>
        </w:rPr>
      </w:pPr>
    </w:p>
    <w:p>
      <w:pPr>
        <w:spacing w:line="600" w:lineRule="exact"/>
        <w:jc w:val="center"/>
        <w:rPr>
          <w:rFonts w:hint="default" w:ascii="Times New Roman" w:hAnsi="Times New Roman" w:cs="Times New Roman"/>
          <w:b/>
          <w:bCs/>
          <w:color w:val="auto"/>
          <w:sz w:val="32"/>
          <w:szCs w:val="32"/>
          <w:lang w:eastAsia="zh-CN"/>
        </w:rPr>
      </w:pPr>
    </w:p>
    <w:p>
      <w:pPr>
        <w:spacing w:line="600" w:lineRule="exact"/>
        <w:jc w:val="center"/>
        <w:rPr>
          <w:rFonts w:hint="default" w:ascii="Times New Roman" w:hAnsi="Times New Roman" w:cs="Times New Roman"/>
          <w:b/>
          <w:bCs/>
          <w:color w:val="auto"/>
          <w:sz w:val="32"/>
          <w:szCs w:val="32"/>
          <w:lang w:eastAsia="zh-CN"/>
        </w:rPr>
      </w:pPr>
      <w:r>
        <w:rPr>
          <w:rFonts w:hint="default" w:ascii="Times New Roman" w:hAnsi="Times New Roman" w:cs="Times New Roman"/>
          <w:b/>
          <w:bCs/>
          <w:color w:val="auto"/>
          <w:sz w:val="32"/>
          <w:szCs w:val="32"/>
          <w:lang w:eastAsia="zh-CN"/>
        </w:rPr>
        <w:t>江西心连心化学工业有限公司</w:t>
      </w:r>
    </w:p>
    <w:p>
      <w:pPr>
        <w:spacing w:line="600" w:lineRule="exact"/>
        <w:jc w:val="center"/>
        <w:rPr>
          <w:rFonts w:hint="default" w:ascii="Times New Roman" w:hAnsi="Times New Roman" w:cs="Times New Roman"/>
          <w:b/>
          <w:bCs/>
          <w:color w:val="auto"/>
          <w:sz w:val="32"/>
          <w:szCs w:val="32"/>
          <w:lang w:val="en-US" w:eastAsia="zh-CN"/>
        </w:rPr>
      </w:pPr>
      <w:r>
        <w:rPr>
          <w:rFonts w:hint="default" w:ascii="Times New Roman" w:hAnsi="Times New Roman" w:cs="Times New Roman"/>
          <w:b/>
          <w:bCs/>
          <w:color w:val="auto"/>
          <w:sz w:val="32"/>
          <w:szCs w:val="32"/>
          <w:lang w:eastAsia="zh-CN"/>
        </w:rPr>
        <w:t>年产15万吨转鼓氨化造粒复合肥项目</w:t>
      </w:r>
    </w:p>
    <w:p>
      <w:pPr>
        <w:spacing w:line="600" w:lineRule="exact"/>
        <w:jc w:val="center"/>
        <w:rPr>
          <w:rFonts w:hint="default" w:ascii="Times New Roman" w:hAnsi="Times New Roman" w:cs="Times New Roman"/>
          <w:b/>
          <w:bCs/>
          <w:color w:val="auto"/>
          <w:sz w:val="44"/>
          <w:szCs w:val="44"/>
          <w:lang w:val="en-US" w:eastAsia="zh-CN"/>
        </w:rPr>
      </w:pPr>
      <w:r>
        <w:rPr>
          <w:rFonts w:hint="default" w:ascii="Times New Roman" w:hAnsi="Times New Roman" w:cs="Times New Roman"/>
          <w:b/>
          <w:bCs/>
          <w:color w:val="auto"/>
          <w:sz w:val="44"/>
          <w:szCs w:val="44"/>
          <w:lang w:val="en-US" w:eastAsia="zh-CN"/>
        </w:rPr>
        <w:t>安全条件评价报告</w:t>
      </w:r>
    </w:p>
    <w:p>
      <w:pPr>
        <w:spacing w:line="600" w:lineRule="exact"/>
        <w:jc w:val="center"/>
        <w:rPr>
          <w:rFonts w:hint="default" w:ascii="Times New Roman" w:hAnsi="Times New Roman" w:eastAsia="宋体" w:cs="Times New Roman"/>
          <w:b/>
          <w:bCs/>
          <w:color w:val="auto"/>
          <w:sz w:val="44"/>
          <w:szCs w:val="44"/>
          <w:lang w:val="en-US" w:eastAsia="zh-CN"/>
        </w:rPr>
      </w:pPr>
      <w:r>
        <w:rPr>
          <w:rFonts w:hint="default" w:ascii="Times New Roman" w:hAnsi="Times New Roman" w:cs="Times New Roman"/>
          <w:b/>
          <w:bCs/>
          <w:color w:val="auto"/>
          <w:sz w:val="44"/>
          <w:szCs w:val="44"/>
          <w:lang w:val="en-US" w:eastAsia="zh-CN"/>
        </w:rPr>
        <w:t>（</w:t>
      </w:r>
      <w:r>
        <w:rPr>
          <w:rFonts w:hint="eastAsia" w:cs="Times New Roman"/>
          <w:b/>
          <w:bCs/>
          <w:color w:val="auto"/>
          <w:sz w:val="44"/>
          <w:szCs w:val="44"/>
          <w:lang w:val="en-US" w:eastAsia="zh-CN"/>
        </w:rPr>
        <w:t>终</w:t>
      </w:r>
      <w:r>
        <w:rPr>
          <w:rFonts w:hint="default" w:ascii="Times New Roman" w:hAnsi="Times New Roman" w:cs="Times New Roman"/>
          <w:b/>
          <w:bCs/>
          <w:color w:val="auto"/>
          <w:sz w:val="44"/>
          <w:szCs w:val="44"/>
          <w:lang w:val="en-US" w:eastAsia="zh-CN"/>
        </w:rPr>
        <w:t>稿）</w:t>
      </w:r>
    </w:p>
    <w:p>
      <w:pPr>
        <w:spacing w:line="600" w:lineRule="exact"/>
        <w:ind w:firstLine="1150" w:firstLineChars="411"/>
        <w:rPr>
          <w:rFonts w:hint="default" w:ascii="Times New Roman" w:hAnsi="Times New Roman" w:cs="Times New Roman"/>
          <w:color w:val="auto"/>
          <w:sz w:val="28"/>
          <w:szCs w:val="28"/>
        </w:rPr>
      </w:pPr>
    </w:p>
    <w:p>
      <w:pPr>
        <w:spacing w:line="600" w:lineRule="exact"/>
        <w:ind w:firstLine="1150" w:firstLineChars="411"/>
        <w:rPr>
          <w:rFonts w:hint="default" w:ascii="Times New Roman" w:hAnsi="Times New Roman" w:cs="Times New Roman"/>
          <w:color w:val="auto"/>
          <w:sz w:val="28"/>
          <w:szCs w:val="28"/>
        </w:rPr>
      </w:pPr>
    </w:p>
    <w:p>
      <w:pPr>
        <w:spacing w:line="600" w:lineRule="exact"/>
        <w:ind w:firstLine="1150" w:firstLineChars="411"/>
        <w:rPr>
          <w:rFonts w:hint="default" w:ascii="Times New Roman" w:hAnsi="Times New Roman" w:cs="Times New Roman"/>
          <w:color w:val="auto"/>
          <w:sz w:val="28"/>
          <w:szCs w:val="28"/>
        </w:rPr>
      </w:pPr>
    </w:p>
    <w:p>
      <w:pPr>
        <w:spacing w:line="600" w:lineRule="exact"/>
        <w:ind w:firstLine="1150" w:firstLineChars="411"/>
        <w:rPr>
          <w:rFonts w:hint="default" w:ascii="Times New Roman" w:hAnsi="Times New Roman" w:cs="Times New Roman"/>
          <w:color w:val="auto"/>
          <w:sz w:val="28"/>
          <w:szCs w:val="28"/>
        </w:rPr>
      </w:pPr>
    </w:p>
    <w:p>
      <w:pPr>
        <w:spacing w:line="600" w:lineRule="exact"/>
        <w:ind w:firstLine="1150" w:firstLineChars="411"/>
        <w:rPr>
          <w:rFonts w:hint="default" w:ascii="Times New Roman" w:hAnsi="Times New Roman" w:cs="Times New Roman"/>
          <w:color w:val="auto"/>
          <w:sz w:val="28"/>
          <w:szCs w:val="28"/>
        </w:rPr>
      </w:pPr>
    </w:p>
    <w:p>
      <w:pPr>
        <w:spacing w:line="600" w:lineRule="exact"/>
        <w:ind w:firstLine="1150" w:firstLineChars="411"/>
        <w:rPr>
          <w:rFonts w:hint="default" w:ascii="Times New Roman" w:hAnsi="Times New Roman" w:cs="Times New Roman"/>
          <w:color w:val="auto"/>
          <w:sz w:val="28"/>
          <w:szCs w:val="28"/>
        </w:rPr>
      </w:pPr>
    </w:p>
    <w:p>
      <w:pPr>
        <w:spacing w:line="600" w:lineRule="exact"/>
        <w:ind w:firstLine="1150" w:firstLineChars="411"/>
        <w:rPr>
          <w:rFonts w:hint="default" w:ascii="Times New Roman" w:hAnsi="Times New Roman" w:cs="Times New Roman"/>
          <w:color w:val="auto"/>
          <w:sz w:val="28"/>
          <w:szCs w:val="28"/>
        </w:rPr>
      </w:pPr>
    </w:p>
    <w:p>
      <w:pPr>
        <w:spacing w:line="600" w:lineRule="exact"/>
        <w:ind w:firstLine="1150" w:firstLineChars="41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评价机构名称：江西赣安安全生产科学技术咨询服务中心</w:t>
      </w:r>
    </w:p>
    <w:p>
      <w:pPr>
        <w:spacing w:line="600" w:lineRule="exact"/>
        <w:ind w:firstLine="1150" w:firstLineChars="411"/>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资质证书编号：APJ-（</w:t>
      </w:r>
      <w:r>
        <w:rPr>
          <w:rFonts w:hint="default" w:ascii="Times New Roman" w:hAnsi="Times New Roman" w:cs="Times New Roman"/>
          <w:color w:val="auto"/>
          <w:sz w:val="28"/>
          <w:szCs w:val="28"/>
          <w:lang w:eastAsia="zh-CN"/>
        </w:rPr>
        <w:t>赣</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en-US" w:eastAsia="zh-CN"/>
        </w:rPr>
        <w:t>002</w:t>
      </w:r>
    </w:p>
    <w:p>
      <w:pPr>
        <w:spacing w:line="600" w:lineRule="exact"/>
        <w:ind w:firstLine="1150" w:firstLineChars="411"/>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 xml:space="preserve">法定代表人 ： </w:t>
      </w:r>
      <w:r>
        <w:rPr>
          <w:rFonts w:hint="default" w:ascii="Times New Roman" w:hAnsi="Times New Roman" w:cs="Times New Roman"/>
          <w:color w:val="auto"/>
          <w:sz w:val="28"/>
          <w:szCs w:val="28"/>
          <w:lang w:eastAsia="zh-CN"/>
        </w:rPr>
        <w:t>应</w:t>
      </w:r>
      <w:r>
        <w:rPr>
          <w:rFonts w:hint="default" w:ascii="Times New Roman" w:hAnsi="Times New Roman" w:cs="Times New Roman"/>
          <w:color w:val="auto"/>
          <w:sz w:val="28"/>
          <w:szCs w:val="28"/>
          <w:lang w:val="en-US" w:eastAsia="zh-CN"/>
        </w:rPr>
        <w:t xml:space="preserve">  </w:t>
      </w:r>
      <w:r>
        <w:rPr>
          <w:rFonts w:hint="default" w:ascii="Times New Roman" w:hAnsi="Times New Roman" w:cs="Times New Roman"/>
          <w:color w:val="auto"/>
          <w:sz w:val="28"/>
          <w:szCs w:val="28"/>
          <w:lang w:eastAsia="zh-CN"/>
        </w:rPr>
        <w:t>宏</w:t>
      </w:r>
    </w:p>
    <w:p>
      <w:pPr>
        <w:spacing w:line="600" w:lineRule="exact"/>
        <w:ind w:firstLine="1150" w:firstLineChars="41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技术负责人 ： </w:t>
      </w:r>
      <w:r>
        <w:rPr>
          <w:rFonts w:hint="default" w:ascii="Times New Roman" w:hAnsi="Times New Roman" w:cs="Times New Roman"/>
          <w:color w:val="auto"/>
          <w:sz w:val="28"/>
          <w:szCs w:val="28"/>
          <w:lang w:eastAsia="zh-CN"/>
        </w:rPr>
        <w:t>周红波</w:t>
      </w:r>
      <w:r>
        <w:rPr>
          <w:rFonts w:hint="default" w:ascii="Times New Roman" w:hAnsi="Times New Roman" w:cs="Times New Roman"/>
          <w:color w:val="auto"/>
          <w:sz w:val="28"/>
          <w:szCs w:val="28"/>
        </w:rPr>
        <w:t xml:space="preserve"> </w:t>
      </w:r>
    </w:p>
    <w:p>
      <w:pPr>
        <w:spacing w:line="600" w:lineRule="exact"/>
        <w:ind w:firstLine="1150" w:firstLineChars="411"/>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 xml:space="preserve">评价负责人 ： </w:t>
      </w:r>
      <w:r>
        <w:rPr>
          <w:rFonts w:hint="default" w:ascii="Times New Roman" w:hAnsi="Times New Roman" w:cs="Times New Roman"/>
          <w:color w:val="auto"/>
          <w:sz w:val="28"/>
          <w:szCs w:val="28"/>
          <w:lang w:eastAsia="zh-CN"/>
        </w:rPr>
        <w:t>戴</w:t>
      </w:r>
      <w:r>
        <w:rPr>
          <w:rFonts w:hint="default" w:ascii="Times New Roman" w:hAnsi="Times New Roman" w:cs="Times New Roman"/>
          <w:color w:val="auto"/>
          <w:sz w:val="28"/>
          <w:szCs w:val="28"/>
          <w:lang w:val="en-US" w:eastAsia="zh-CN"/>
        </w:rPr>
        <w:t xml:space="preserve">  </w:t>
      </w:r>
      <w:r>
        <w:rPr>
          <w:rFonts w:hint="default" w:ascii="Times New Roman" w:hAnsi="Times New Roman" w:cs="Times New Roman"/>
          <w:color w:val="auto"/>
          <w:sz w:val="28"/>
          <w:szCs w:val="28"/>
          <w:lang w:eastAsia="zh-CN"/>
        </w:rPr>
        <w:t>磷</w:t>
      </w:r>
    </w:p>
    <w:p>
      <w:pPr>
        <w:spacing w:line="600" w:lineRule="exact"/>
        <w:ind w:firstLine="1150" w:firstLineChars="41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评价机构联系电话: 0791-87379377</w:t>
      </w:r>
    </w:p>
    <w:p>
      <w:pPr>
        <w:spacing w:line="600" w:lineRule="exact"/>
        <w:ind w:firstLine="1150" w:firstLineChars="411"/>
        <w:rPr>
          <w:rFonts w:hint="default" w:ascii="Times New Roman" w:hAnsi="Times New Roman" w:cs="Times New Roman"/>
          <w:color w:val="auto"/>
          <w:sz w:val="28"/>
          <w:szCs w:val="28"/>
        </w:rPr>
      </w:pPr>
    </w:p>
    <w:p>
      <w:pPr>
        <w:spacing w:line="600" w:lineRule="exact"/>
        <w:ind w:firstLine="1155" w:firstLineChars="411"/>
        <w:jc w:val="center"/>
        <w:rPr>
          <w:rFonts w:hint="default" w:ascii="Times New Roman" w:hAnsi="Times New Roman" w:eastAsia="宋体"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202</w:t>
      </w:r>
      <w:r>
        <w:rPr>
          <w:rFonts w:hint="eastAsia" w:cs="Times New Roman"/>
          <w:b/>
          <w:bCs/>
          <w:color w:val="auto"/>
          <w:sz w:val="28"/>
          <w:szCs w:val="28"/>
          <w:lang w:val="en-US" w:eastAsia="zh-CN"/>
        </w:rPr>
        <w:t>3</w:t>
      </w:r>
      <w:r>
        <w:rPr>
          <w:rFonts w:hint="default" w:ascii="Times New Roman" w:hAnsi="Times New Roman" w:cs="Times New Roman"/>
          <w:b/>
          <w:bCs/>
          <w:color w:val="auto"/>
          <w:sz w:val="28"/>
          <w:szCs w:val="28"/>
          <w:lang w:val="en-US" w:eastAsia="zh-CN"/>
        </w:rPr>
        <w:t>年</w:t>
      </w:r>
      <w:r>
        <w:rPr>
          <w:rFonts w:hint="eastAsia" w:cs="Times New Roman"/>
          <w:b/>
          <w:bCs/>
          <w:color w:val="auto"/>
          <w:sz w:val="28"/>
          <w:szCs w:val="28"/>
          <w:lang w:val="en-US" w:eastAsia="zh-CN"/>
        </w:rPr>
        <w:t>06</w:t>
      </w:r>
      <w:r>
        <w:rPr>
          <w:rFonts w:hint="default" w:ascii="Times New Roman" w:hAnsi="Times New Roman" w:cs="Times New Roman"/>
          <w:b/>
          <w:bCs/>
          <w:color w:val="auto"/>
          <w:sz w:val="28"/>
          <w:szCs w:val="28"/>
          <w:lang w:val="en-US" w:eastAsia="zh-CN"/>
        </w:rPr>
        <w:t>月</w:t>
      </w:r>
      <w:r>
        <w:rPr>
          <w:rFonts w:hint="eastAsia" w:cs="Times New Roman"/>
          <w:b/>
          <w:bCs/>
          <w:color w:val="auto"/>
          <w:sz w:val="28"/>
          <w:szCs w:val="28"/>
          <w:lang w:val="en-US" w:eastAsia="zh-CN"/>
        </w:rPr>
        <w:t>19</w:t>
      </w:r>
      <w:r>
        <w:rPr>
          <w:rFonts w:hint="default" w:ascii="Times New Roman" w:hAnsi="Times New Roman" w:cs="Times New Roman"/>
          <w:b/>
          <w:bCs/>
          <w:color w:val="auto"/>
          <w:sz w:val="28"/>
          <w:szCs w:val="28"/>
          <w:lang w:val="en-US" w:eastAsia="zh-CN"/>
        </w:rPr>
        <w:t>日</w:t>
      </w:r>
    </w:p>
    <w:p>
      <w:pP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br w:type="page"/>
      </w:r>
    </w:p>
    <w:p>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江西心连心化学工业有限公司</w:t>
      </w:r>
    </w:p>
    <w:p>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年产15万吨转鼓氨化造粒复合肥项目</w:t>
      </w:r>
    </w:p>
    <w:p>
      <w:pPr>
        <w:widowControl/>
        <w:spacing w:before="100" w:beforeAutospacing="1" w:after="100" w:afterAutospacing="1"/>
        <w:ind w:firstLine="723" w:firstLineChars="200"/>
        <w:jc w:val="center"/>
        <w:rPr>
          <w:rFonts w:hint="default" w:ascii="Times New Roman" w:hAnsi="Times New Roman" w:cs="Times New Roman"/>
          <w:b/>
          <w:color w:val="auto"/>
          <w:kern w:val="0"/>
          <w:sz w:val="36"/>
          <w:szCs w:val="36"/>
        </w:rPr>
      </w:pPr>
      <w:r>
        <w:rPr>
          <w:rFonts w:hint="default" w:ascii="Times New Roman" w:hAnsi="Times New Roman" w:cs="Times New Roman"/>
          <w:b/>
          <w:color w:val="auto"/>
          <w:kern w:val="0"/>
          <w:sz w:val="36"/>
          <w:szCs w:val="36"/>
          <w:lang w:eastAsia="zh-CN"/>
        </w:rPr>
        <w:t>安全条件评价</w:t>
      </w:r>
      <w:r>
        <w:rPr>
          <w:rFonts w:hint="default" w:ascii="Times New Roman" w:hAnsi="Times New Roman" w:cs="Times New Roman"/>
          <w:b/>
          <w:color w:val="auto"/>
          <w:kern w:val="0"/>
          <w:sz w:val="36"/>
          <w:szCs w:val="36"/>
        </w:rPr>
        <w:t>技术服务承诺书</w:t>
      </w:r>
    </w:p>
    <w:p>
      <w:pPr>
        <w:widowControl/>
        <w:wordWrap w:val="0"/>
        <w:spacing w:line="425" w:lineRule="auto"/>
        <w:ind w:firstLine="640" w:firstLineChars="200"/>
        <w:jc w:val="left"/>
        <w:rPr>
          <w:rFonts w:hint="default" w:ascii="Times New Roman" w:hAnsi="Times New Roman" w:eastAsia="仿宋" w:cs="Times New Roman"/>
          <w:color w:val="auto"/>
          <w:kern w:val="0"/>
          <w:sz w:val="32"/>
          <w:szCs w:val="32"/>
        </w:rPr>
      </w:pPr>
      <w:r>
        <w:rPr>
          <w:rFonts w:hint="default" w:ascii="Times New Roman" w:hAnsi="Times New Roman" w:cs="Times New Roman"/>
          <w:color w:val="auto"/>
          <w:kern w:val="0"/>
          <w:sz w:val="32"/>
          <w:szCs w:val="32"/>
        </w:rPr>
        <w:t xml:space="preserve"> </w:t>
      </w:r>
      <w:r>
        <w:rPr>
          <w:rFonts w:hint="default" w:ascii="Times New Roman" w:hAnsi="Times New Roman" w:eastAsia="仿宋" w:cs="Times New Roman"/>
          <w:color w:val="auto"/>
          <w:kern w:val="0"/>
          <w:sz w:val="32"/>
          <w:szCs w:val="32"/>
        </w:rPr>
        <w:t>一、在</w:t>
      </w:r>
      <w:r>
        <w:rPr>
          <w:rFonts w:hint="default" w:ascii="Times New Roman" w:hAnsi="Times New Roman" w:eastAsia="仿宋" w:cs="Times New Roman"/>
          <w:color w:val="auto"/>
          <w:kern w:val="0"/>
          <w:sz w:val="32"/>
          <w:szCs w:val="32"/>
          <w:lang w:eastAsia="zh-CN"/>
        </w:rPr>
        <w:t>该项目</w:t>
      </w:r>
      <w:r>
        <w:rPr>
          <w:rFonts w:hint="default" w:ascii="Times New Roman" w:hAnsi="Times New Roman" w:eastAsia="仿宋" w:cs="Times New Roman"/>
          <w:color w:val="auto"/>
          <w:kern w:val="0"/>
          <w:sz w:val="32"/>
          <w:szCs w:val="32"/>
        </w:rPr>
        <w:t xml:space="preserve">安全评价活动过程中，我单位严格遵守《安全生产法》及相关法律、法规和标准的要求。  </w:t>
      </w:r>
    </w:p>
    <w:p>
      <w:pPr>
        <w:widowControl/>
        <w:wordWrap w:val="0"/>
        <w:spacing w:line="425" w:lineRule="auto"/>
        <w:ind w:firstLine="640" w:firstLineChars="200"/>
        <w:jc w:val="left"/>
        <w:rPr>
          <w:rFonts w:hint="default" w:ascii="Times New Roman" w:hAnsi="Times New Roman" w:eastAsia="仿宋" w:cs="Times New Roman"/>
          <w:color w:val="auto"/>
          <w:kern w:val="0"/>
          <w:sz w:val="32"/>
          <w:szCs w:val="32"/>
        </w:rPr>
      </w:pPr>
      <w:r>
        <w:rPr>
          <w:rFonts w:hint="default" w:ascii="Times New Roman" w:hAnsi="Times New Roman" w:eastAsia="仿宋" w:cs="Times New Roman"/>
          <w:color w:val="auto"/>
          <w:kern w:val="0"/>
          <w:sz w:val="32"/>
          <w:szCs w:val="32"/>
        </w:rPr>
        <w:t xml:space="preserve"> 二、在</w:t>
      </w:r>
      <w:r>
        <w:rPr>
          <w:rFonts w:hint="default" w:ascii="Times New Roman" w:hAnsi="Times New Roman" w:eastAsia="仿宋" w:cs="Times New Roman"/>
          <w:color w:val="auto"/>
          <w:kern w:val="0"/>
          <w:sz w:val="32"/>
          <w:szCs w:val="32"/>
          <w:lang w:eastAsia="zh-CN"/>
        </w:rPr>
        <w:t>该项目</w:t>
      </w:r>
      <w:r>
        <w:rPr>
          <w:rFonts w:hint="default" w:ascii="Times New Roman" w:hAnsi="Times New Roman" w:eastAsia="仿宋" w:cs="Times New Roman"/>
          <w:color w:val="auto"/>
          <w:kern w:val="0"/>
          <w:sz w:val="32"/>
          <w:szCs w:val="32"/>
        </w:rPr>
        <w:t>安全评价活动过程中，我单位作为第三方，未受到任何组织和个人的干预和影响，依法独立开展工作，保证了技术服务活动的客观公正性。</w:t>
      </w:r>
    </w:p>
    <w:p>
      <w:pPr>
        <w:widowControl/>
        <w:wordWrap w:val="0"/>
        <w:spacing w:line="425" w:lineRule="auto"/>
        <w:ind w:firstLine="640" w:firstLineChars="200"/>
        <w:jc w:val="left"/>
        <w:rPr>
          <w:rFonts w:hint="default" w:ascii="Times New Roman" w:hAnsi="Times New Roman" w:eastAsia="仿宋" w:cs="Times New Roman"/>
          <w:color w:val="auto"/>
          <w:kern w:val="0"/>
          <w:sz w:val="32"/>
          <w:szCs w:val="32"/>
        </w:rPr>
      </w:pPr>
      <w:r>
        <w:rPr>
          <w:rFonts w:hint="default" w:ascii="Times New Roman" w:hAnsi="Times New Roman" w:eastAsia="仿宋" w:cs="Times New Roman"/>
          <w:color w:val="auto"/>
          <w:kern w:val="0"/>
          <w:sz w:val="32"/>
          <w:szCs w:val="32"/>
        </w:rPr>
        <w:t>三、我单位按照实事求是的原则，对</w:t>
      </w:r>
      <w:r>
        <w:rPr>
          <w:rFonts w:hint="default" w:ascii="Times New Roman" w:hAnsi="Times New Roman" w:eastAsia="仿宋" w:cs="Times New Roman"/>
          <w:color w:val="auto"/>
          <w:kern w:val="0"/>
          <w:sz w:val="32"/>
          <w:szCs w:val="32"/>
          <w:lang w:eastAsia="zh-CN"/>
        </w:rPr>
        <w:t>该项目</w:t>
      </w:r>
      <w:r>
        <w:rPr>
          <w:rFonts w:hint="default" w:ascii="Times New Roman" w:hAnsi="Times New Roman" w:eastAsia="仿宋" w:cs="Times New Roman"/>
          <w:color w:val="auto"/>
          <w:kern w:val="0"/>
          <w:sz w:val="32"/>
          <w:szCs w:val="32"/>
        </w:rPr>
        <w:t>进行安全评价，确保出具的报告均真实有效，报告所提出的措施具有针对性、有效性和可行性。</w:t>
      </w:r>
    </w:p>
    <w:p>
      <w:pPr>
        <w:widowControl/>
        <w:wordWrap w:val="0"/>
        <w:spacing w:line="425" w:lineRule="auto"/>
        <w:ind w:firstLine="640" w:firstLineChars="200"/>
        <w:jc w:val="left"/>
        <w:rPr>
          <w:rFonts w:hint="default" w:ascii="Times New Roman" w:hAnsi="Times New Roman" w:eastAsia="仿宋" w:cs="Times New Roman"/>
          <w:color w:val="auto"/>
          <w:kern w:val="0"/>
          <w:sz w:val="32"/>
          <w:szCs w:val="32"/>
        </w:rPr>
      </w:pPr>
      <w:r>
        <w:rPr>
          <w:rFonts w:hint="default" w:ascii="Times New Roman" w:hAnsi="Times New Roman" w:eastAsia="仿宋" w:cs="Times New Roman"/>
          <w:color w:val="auto"/>
          <w:kern w:val="0"/>
          <w:sz w:val="32"/>
          <w:szCs w:val="32"/>
        </w:rPr>
        <w:t>四、我单位对</w:t>
      </w:r>
      <w:r>
        <w:rPr>
          <w:rFonts w:hint="default" w:ascii="Times New Roman" w:hAnsi="Times New Roman" w:eastAsia="仿宋" w:cs="Times New Roman"/>
          <w:color w:val="auto"/>
          <w:kern w:val="0"/>
          <w:sz w:val="32"/>
          <w:szCs w:val="32"/>
          <w:lang w:eastAsia="zh-CN"/>
        </w:rPr>
        <w:t>该项目</w:t>
      </w:r>
      <w:r>
        <w:rPr>
          <w:rFonts w:hint="default" w:ascii="Times New Roman" w:hAnsi="Times New Roman" w:eastAsia="仿宋" w:cs="Times New Roman"/>
          <w:color w:val="auto"/>
          <w:kern w:val="0"/>
          <w:sz w:val="32"/>
          <w:szCs w:val="32"/>
        </w:rPr>
        <w:t xml:space="preserve">安全评价报告中结论性内容承担法律责任。 </w:t>
      </w:r>
    </w:p>
    <w:p>
      <w:pPr>
        <w:widowControl/>
        <w:wordWrap w:val="0"/>
        <w:spacing w:before="100" w:beforeAutospacing="1" w:after="100" w:afterAutospacing="1" w:line="425" w:lineRule="auto"/>
        <w:ind w:firstLine="640" w:firstLineChars="200"/>
        <w:jc w:val="left"/>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t xml:space="preserve">                      </w:t>
      </w:r>
    </w:p>
    <w:p>
      <w:pPr>
        <w:widowControl/>
        <w:wordWrap w:val="0"/>
        <w:spacing w:before="100" w:beforeAutospacing="1" w:after="100" w:afterAutospacing="1" w:line="425" w:lineRule="auto"/>
        <w:ind w:left="638" w:leftChars="228" w:firstLine="640" w:firstLineChars="200"/>
        <w:jc w:val="left"/>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t xml:space="preserve">                </w:t>
      </w:r>
      <w:r>
        <w:rPr>
          <w:rFonts w:hint="default" w:ascii="Times New Roman" w:hAnsi="Times New Roman" w:cs="Times New Roman"/>
          <w:color w:val="auto"/>
          <w:szCs w:val="28"/>
        </w:rPr>
        <w:t>江西赣安安全生产科学技术咨询服务中心</w:t>
      </w:r>
    </w:p>
    <w:p>
      <w:pPr>
        <w:widowControl/>
        <w:wordWrap w:val="0"/>
        <w:spacing w:before="100" w:beforeAutospacing="1" w:after="100" w:afterAutospacing="1" w:line="425" w:lineRule="auto"/>
        <w:ind w:firstLine="640" w:firstLineChars="200"/>
        <w:jc w:val="left"/>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t xml:space="preserve">                              202</w:t>
      </w:r>
      <w:r>
        <w:rPr>
          <w:rFonts w:hint="eastAsia" w:cs="Times New Roman"/>
          <w:color w:val="auto"/>
          <w:kern w:val="0"/>
          <w:sz w:val="32"/>
          <w:szCs w:val="32"/>
          <w:lang w:val="en-US" w:eastAsia="zh-CN"/>
        </w:rPr>
        <w:t>3</w:t>
      </w:r>
      <w:r>
        <w:rPr>
          <w:rFonts w:hint="default" w:ascii="Times New Roman" w:hAnsi="Times New Roman" w:cs="Times New Roman"/>
          <w:color w:val="auto"/>
          <w:kern w:val="0"/>
          <w:sz w:val="32"/>
          <w:szCs w:val="32"/>
        </w:rPr>
        <w:t>年</w:t>
      </w:r>
      <w:r>
        <w:rPr>
          <w:rFonts w:hint="eastAsia" w:cs="Times New Roman"/>
          <w:color w:val="auto"/>
          <w:kern w:val="0"/>
          <w:sz w:val="32"/>
          <w:szCs w:val="32"/>
          <w:lang w:val="en-US" w:eastAsia="zh-CN"/>
        </w:rPr>
        <w:t>06</w:t>
      </w:r>
      <w:r>
        <w:rPr>
          <w:rFonts w:hint="default" w:ascii="Times New Roman" w:hAnsi="Times New Roman" w:cs="Times New Roman"/>
          <w:color w:val="auto"/>
          <w:kern w:val="0"/>
          <w:sz w:val="32"/>
          <w:szCs w:val="32"/>
        </w:rPr>
        <w:t>月</w:t>
      </w:r>
      <w:r>
        <w:rPr>
          <w:rFonts w:hint="eastAsia" w:cs="Times New Roman"/>
          <w:color w:val="auto"/>
          <w:kern w:val="0"/>
          <w:sz w:val="32"/>
          <w:szCs w:val="32"/>
          <w:lang w:val="en-US" w:eastAsia="zh-CN"/>
        </w:rPr>
        <w:t>19</w:t>
      </w:r>
      <w:r>
        <w:rPr>
          <w:rFonts w:hint="default" w:ascii="Times New Roman" w:hAnsi="Times New Roman" w:cs="Times New Roman"/>
          <w:color w:val="auto"/>
          <w:kern w:val="0"/>
          <w:sz w:val="32"/>
          <w:szCs w:val="32"/>
        </w:rPr>
        <w:t xml:space="preserve">日 </w:t>
      </w:r>
    </w:p>
    <w:p>
      <w:pPr>
        <w:rPr>
          <w:rFonts w:hint="default" w:ascii="Times New Roman" w:hAnsi="Times New Roman" w:cs="Times New Roman"/>
          <w:b/>
          <w:color w:val="auto"/>
          <w:sz w:val="24"/>
        </w:rPr>
      </w:pPr>
    </w:p>
    <w:p>
      <w:pPr>
        <w:widowControl/>
        <w:spacing w:before="100" w:beforeAutospacing="1" w:after="100" w:afterAutospacing="1" w:line="425" w:lineRule="auto"/>
        <w:ind w:firstLine="723" w:firstLineChars="200"/>
        <w:jc w:val="center"/>
        <w:rPr>
          <w:rFonts w:hint="default" w:ascii="Times New Roman" w:hAnsi="Times New Roman" w:eastAsia="微软雅黑" w:cs="Times New Roman"/>
          <w:color w:val="auto"/>
          <w:sz w:val="18"/>
          <w:szCs w:val="18"/>
        </w:rPr>
      </w:pPr>
      <w:r>
        <w:rPr>
          <w:rFonts w:hint="default" w:ascii="Times New Roman" w:hAnsi="Times New Roman" w:cs="Times New Roman"/>
          <w:b/>
          <w:bCs/>
          <w:color w:val="auto"/>
          <w:sz w:val="36"/>
          <w:szCs w:val="36"/>
        </w:rPr>
        <w:br w:type="page"/>
      </w:r>
      <w:r>
        <w:rPr>
          <w:rFonts w:hint="default" w:ascii="Times New Roman" w:hAnsi="Times New Roman" w:eastAsia="方正小标宋简体" w:cs="Times New Roman"/>
          <w:color w:val="auto"/>
          <w:sz w:val="44"/>
          <w:szCs w:val="44"/>
        </w:rPr>
        <w:t>规范安全生产中介行为的九条禁令</w:t>
      </w:r>
    </w:p>
    <w:p>
      <w:pPr>
        <w:pStyle w:val="13"/>
        <w:spacing w:before="0" w:beforeAutospacing="0" w:after="0" w:afterAutospacing="0" w:line="580" w:lineRule="exact"/>
        <w:ind w:firstLine="640" w:firstLineChars="200"/>
        <w:rPr>
          <w:rFonts w:hint="default" w:ascii="Times New Roman" w:hAnsi="Times New Roman" w:cs="Times New Roman"/>
          <w:color w:val="auto"/>
          <w:sz w:val="18"/>
          <w:szCs w:val="18"/>
        </w:rPr>
      </w:pPr>
      <w:r>
        <w:rPr>
          <w:rFonts w:hint="default" w:ascii="Times New Roman" w:hAnsi="Times New Roman" w:cs="Times New Roman"/>
          <w:color w:val="auto"/>
          <w:sz w:val="32"/>
          <w:szCs w:val="32"/>
        </w:rPr>
        <w:t xml:space="preserve">一、禁止从事安全生产和职业卫生服务的中介服务机构（以下统称中介机构）租借资质证书、非法挂靠、转包服务项目的行为； </w:t>
      </w:r>
    </w:p>
    <w:p>
      <w:pPr>
        <w:pStyle w:val="13"/>
        <w:spacing w:before="0" w:beforeAutospacing="0" w:after="0" w:afterAutospacing="0" w:line="580" w:lineRule="exact"/>
        <w:ind w:firstLine="640" w:firstLineChars="200"/>
        <w:rPr>
          <w:rFonts w:hint="default" w:ascii="Times New Roman" w:hAnsi="Times New Roman" w:cs="Times New Roman"/>
          <w:color w:val="auto"/>
          <w:sz w:val="18"/>
          <w:szCs w:val="18"/>
        </w:rPr>
      </w:pPr>
      <w:r>
        <w:rPr>
          <w:rFonts w:hint="default" w:ascii="Times New Roman" w:hAnsi="Times New Roman" w:cs="Times New Roman"/>
          <w:color w:val="auto"/>
          <w:sz w:val="32"/>
          <w:szCs w:val="32"/>
        </w:rPr>
        <w:t>二、禁止中介机构假借、冒用他人名义要求服务对象接受有偿服务，或者恶意低价竞争以及采取串标、围标等不正当竞争手段，扰乱技术服务市场秩序的行为；</w:t>
      </w:r>
      <w:r>
        <w:rPr>
          <w:rFonts w:hint="default" w:ascii="Times New Roman" w:hAnsi="Times New Roman" w:cs="Times New Roman"/>
          <w:color w:val="auto"/>
          <w:sz w:val="18"/>
          <w:szCs w:val="18"/>
        </w:rPr>
        <w:t xml:space="preserve"> </w:t>
      </w:r>
    </w:p>
    <w:p>
      <w:pPr>
        <w:pStyle w:val="13"/>
        <w:spacing w:before="0" w:beforeAutospacing="0" w:after="0" w:afterAutospacing="0" w:line="580" w:lineRule="exact"/>
        <w:ind w:firstLine="640" w:firstLineChars="200"/>
        <w:rPr>
          <w:rFonts w:hint="default" w:ascii="Times New Roman" w:hAnsi="Times New Roman" w:cs="Times New Roman"/>
          <w:color w:val="auto"/>
          <w:sz w:val="18"/>
          <w:szCs w:val="18"/>
        </w:rPr>
      </w:pPr>
      <w:r>
        <w:rPr>
          <w:rFonts w:hint="default" w:ascii="Times New Roman" w:hAnsi="Times New Roman" w:cs="Times New Roman"/>
          <w:color w:val="auto"/>
          <w:sz w:val="32"/>
          <w:szCs w:val="32"/>
        </w:rPr>
        <w:t>三、禁止中介机构出具虚假或漏项、缺项技术报告的行为；</w:t>
      </w:r>
      <w:r>
        <w:rPr>
          <w:rFonts w:hint="default" w:ascii="Times New Roman" w:hAnsi="Times New Roman" w:cs="Times New Roman"/>
          <w:color w:val="auto"/>
          <w:sz w:val="18"/>
          <w:szCs w:val="18"/>
        </w:rPr>
        <w:t xml:space="preserve"> </w:t>
      </w:r>
    </w:p>
    <w:p>
      <w:pPr>
        <w:pStyle w:val="13"/>
        <w:spacing w:before="0" w:beforeAutospacing="0" w:after="0" w:afterAutospacing="0" w:line="580" w:lineRule="exact"/>
        <w:ind w:firstLine="640" w:firstLineChars="200"/>
        <w:rPr>
          <w:rFonts w:hint="default" w:ascii="Times New Roman" w:hAnsi="Times New Roman" w:cs="Times New Roman"/>
          <w:color w:val="auto"/>
          <w:sz w:val="18"/>
          <w:szCs w:val="18"/>
        </w:rPr>
      </w:pPr>
      <w:r>
        <w:rPr>
          <w:rFonts w:hint="default" w:ascii="Times New Roman" w:hAnsi="Times New Roman" w:cs="Times New Roman"/>
          <w:color w:val="auto"/>
          <w:sz w:val="32"/>
          <w:szCs w:val="32"/>
        </w:rPr>
        <w:t xml:space="preserve">四、禁止中介机构出租、出借资格证书、在报告上冒用他人签名的行为； </w:t>
      </w:r>
    </w:p>
    <w:p>
      <w:pPr>
        <w:pStyle w:val="13"/>
        <w:spacing w:before="0" w:beforeAutospacing="0" w:after="0" w:afterAutospacing="0" w:line="580" w:lineRule="exact"/>
        <w:ind w:firstLine="640" w:firstLineChars="200"/>
        <w:rPr>
          <w:rFonts w:hint="default" w:ascii="Times New Roman" w:hAnsi="Times New Roman" w:cs="Times New Roman"/>
          <w:color w:val="auto"/>
          <w:sz w:val="18"/>
          <w:szCs w:val="18"/>
        </w:rPr>
      </w:pPr>
      <w:r>
        <w:rPr>
          <w:rFonts w:hint="default" w:ascii="Times New Roman" w:hAnsi="Times New Roman" w:cs="Times New Roman"/>
          <w:color w:val="auto"/>
          <w:sz w:val="32"/>
          <w:szCs w:val="32"/>
        </w:rPr>
        <w:t>五、禁止中介机构有应到而不到现场开展技术服务的行为；</w:t>
      </w:r>
      <w:r>
        <w:rPr>
          <w:rFonts w:hint="default" w:ascii="Times New Roman" w:hAnsi="Times New Roman" w:cs="Times New Roman"/>
          <w:color w:val="auto"/>
          <w:sz w:val="18"/>
          <w:szCs w:val="18"/>
        </w:rPr>
        <w:t xml:space="preserve"> </w:t>
      </w:r>
    </w:p>
    <w:p>
      <w:pPr>
        <w:pStyle w:val="13"/>
        <w:spacing w:before="0" w:beforeAutospacing="0" w:after="0" w:afterAutospacing="0" w:line="580" w:lineRule="exact"/>
        <w:ind w:firstLine="640" w:firstLineChars="200"/>
        <w:rPr>
          <w:rFonts w:hint="default" w:ascii="Times New Roman" w:hAnsi="Times New Roman" w:cs="Times New Roman"/>
          <w:color w:val="auto"/>
          <w:sz w:val="18"/>
          <w:szCs w:val="18"/>
        </w:rPr>
      </w:pPr>
      <w:r>
        <w:rPr>
          <w:rFonts w:hint="default" w:ascii="Times New Roman" w:hAnsi="Times New Roman" w:cs="Times New Roman"/>
          <w:color w:val="auto"/>
          <w:sz w:val="32"/>
          <w:szCs w:val="32"/>
        </w:rPr>
        <w:t>六、禁止安全生产监管部门及其工作人员要求生产经营单位接受指定的中介机构开展技术服务的行为；</w:t>
      </w:r>
      <w:r>
        <w:rPr>
          <w:rFonts w:hint="default" w:ascii="Times New Roman" w:hAnsi="Times New Roman" w:cs="Times New Roman"/>
          <w:color w:val="auto"/>
          <w:sz w:val="18"/>
          <w:szCs w:val="18"/>
        </w:rPr>
        <w:t xml:space="preserve"> </w:t>
      </w:r>
    </w:p>
    <w:p>
      <w:pPr>
        <w:pStyle w:val="13"/>
        <w:spacing w:before="0" w:beforeAutospacing="0" w:after="0" w:afterAutospacing="0" w:line="580" w:lineRule="exact"/>
        <w:ind w:firstLine="640" w:firstLineChars="200"/>
        <w:rPr>
          <w:rFonts w:hint="default" w:ascii="Times New Roman" w:hAnsi="Times New Roman" w:cs="Times New Roman"/>
          <w:color w:val="auto"/>
          <w:sz w:val="18"/>
          <w:szCs w:val="18"/>
        </w:rPr>
      </w:pPr>
      <w:r>
        <w:rPr>
          <w:rFonts w:hint="default" w:ascii="Times New Roman" w:hAnsi="Times New Roman" w:cs="Times New Roman"/>
          <w:color w:val="auto"/>
          <w:sz w:val="32"/>
          <w:szCs w:val="32"/>
        </w:rPr>
        <w:t>七、禁止安全生产监管部门及其工作人员没有法律依据组织由生产经营单位或机构支付费用的行政性评审的行为；</w:t>
      </w:r>
      <w:r>
        <w:rPr>
          <w:rFonts w:hint="default" w:ascii="Times New Roman" w:hAnsi="Times New Roman" w:cs="Times New Roman"/>
          <w:color w:val="auto"/>
          <w:sz w:val="18"/>
          <w:szCs w:val="18"/>
        </w:rPr>
        <w:t xml:space="preserve"> </w:t>
      </w:r>
    </w:p>
    <w:p>
      <w:pPr>
        <w:pStyle w:val="13"/>
        <w:spacing w:before="0" w:beforeAutospacing="0" w:after="0" w:afterAutospacing="0" w:line="580" w:lineRule="exact"/>
        <w:ind w:firstLine="640" w:firstLineChars="200"/>
        <w:rPr>
          <w:rFonts w:hint="default" w:ascii="Times New Roman" w:hAnsi="Times New Roman" w:cs="Times New Roman"/>
          <w:color w:val="auto"/>
          <w:sz w:val="18"/>
          <w:szCs w:val="18"/>
        </w:rPr>
      </w:pPr>
      <w:r>
        <w:rPr>
          <w:rFonts w:hint="default" w:ascii="Times New Roman" w:hAnsi="Times New Roman" w:cs="Times New Roman"/>
          <w:color w:val="auto"/>
          <w:sz w:val="32"/>
          <w:szCs w:val="32"/>
        </w:rPr>
        <w:t>八、禁止安全生产监管部门及其工作人员干预市场定价，违规擅自出台技术服务收费标准的行为；</w:t>
      </w:r>
      <w:r>
        <w:rPr>
          <w:rFonts w:hint="default" w:ascii="Times New Roman" w:hAnsi="Times New Roman" w:cs="Times New Roman"/>
          <w:color w:val="auto"/>
          <w:sz w:val="18"/>
          <w:szCs w:val="18"/>
        </w:rPr>
        <w:t xml:space="preserve"> </w:t>
      </w:r>
    </w:p>
    <w:p>
      <w:pPr>
        <w:spacing w:line="580" w:lineRule="exact"/>
        <w:ind w:firstLine="640" w:firstLineChars="200"/>
        <w:rPr>
          <w:rFonts w:hint="default" w:ascii="Times New Roman" w:hAnsi="Times New Roman" w:cs="Times New Roman"/>
          <w:color w:val="auto"/>
        </w:rPr>
      </w:pPr>
      <w:r>
        <w:rPr>
          <w:rFonts w:hint="default" w:ascii="Times New Roman" w:hAnsi="Times New Roman" w:cs="Times New Roman"/>
          <w:color w:val="auto"/>
          <w:sz w:val="32"/>
          <w:szCs w:val="32"/>
        </w:rPr>
        <w:t>九、禁止安全生产监管部门及其工作人员参与、擅自干预中介机构从业活动，或者有获取不正当利益的行为。</w:t>
      </w:r>
    </w:p>
    <w:p>
      <w:pPr>
        <w:ind w:firstLine="723" w:firstLineChars="200"/>
        <w:jc w:val="center"/>
        <w:rPr>
          <w:rFonts w:hint="default" w:ascii="Times New Roman" w:hAnsi="Times New Roman" w:cs="Times New Roman"/>
          <w:b/>
          <w:color w:val="auto"/>
          <w:sz w:val="32"/>
          <w:szCs w:val="32"/>
        </w:rPr>
      </w:pPr>
      <w:r>
        <w:rPr>
          <w:rFonts w:hint="default" w:ascii="Times New Roman" w:hAnsi="Times New Roman" w:cs="Times New Roman"/>
          <w:b/>
          <w:bCs/>
          <w:color w:val="auto"/>
          <w:sz w:val="36"/>
          <w:szCs w:val="36"/>
        </w:rPr>
        <w:br w:type="page"/>
      </w:r>
      <w:bookmarkStart w:id="0" w:name="_Toc19144"/>
      <w:bookmarkStart w:id="1" w:name="_Toc3776"/>
      <w:bookmarkStart w:id="2" w:name="_Toc28951"/>
      <w:r>
        <w:rPr>
          <w:rFonts w:hint="default" w:ascii="Times New Roman" w:hAnsi="Times New Roman" w:cs="Times New Roman"/>
          <w:b/>
          <w:color w:val="auto"/>
          <w:sz w:val="32"/>
          <w:szCs w:val="32"/>
        </w:rPr>
        <w:t>评  价  人  员</w:t>
      </w:r>
      <w:bookmarkEnd w:id="0"/>
      <w:bookmarkEnd w:id="1"/>
      <w:bookmarkEnd w:id="2"/>
    </w:p>
    <w:p>
      <w:pPr>
        <w:jc w:val="center"/>
        <w:rPr>
          <w:rFonts w:hint="default" w:ascii="Times New Roman" w:hAnsi="Times New Roman" w:cs="Times New Roman"/>
          <w:b/>
          <w:color w:val="auto"/>
          <w:sz w:val="32"/>
          <w:szCs w:val="32"/>
        </w:rPr>
      </w:pPr>
    </w:p>
    <w:tbl>
      <w:tblPr>
        <w:tblStyle w:val="19"/>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7"/>
        <w:gridCol w:w="1314"/>
        <w:gridCol w:w="2880"/>
        <w:gridCol w:w="1620"/>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Align w:val="center"/>
          </w:tcPr>
          <w:p>
            <w:pPr>
              <w:jc w:val="center"/>
              <w:rPr>
                <w:rFonts w:hint="default" w:ascii="Times New Roman" w:hAnsi="Times New Roman" w:cs="Times New Roman"/>
                <w:color w:val="auto"/>
                <w:sz w:val="24"/>
                <w:szCs w:val="24"/>
              </w:rPr>
            </w:pPr>
          </w:p>
        </w:tc>
        <w:tc>
          <w:tcPr>
            <w:tcW w:w="1314"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姓  名</w:t>
            </w:r>
          </w:p>
        </w:tc>
        <w:tc>
          <w:tcPr>
            <w:tcW w:w="2880"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职业资格证书编号</w:t>
            </w:r>
          </w:p>
        </w:tc>
        <w:tc>
          <w:tcPr>
            <w:tcW w:w="1620" w:type="dxa"/>
            <w:vAlign w:val="center"/>
          </w:tcPr>
          <w:p>
            <w:pPr>
              <w:spacing w:line="40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从业信息</w:t>
            </w:r>
          </w:p>
          <w:p>
            <w:pPr>
              <w:spacing w:line="40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识别卡编号</w:t>
            </w:r>
          </w:p>
        </w:tc>
        <w:tc>
          <w:tcPr>
            <w:tcW w:w="1541" w:type="dxa"/>
            <w:vAlign w:val="center"/>
          </w:tcPr>
          <w:p>
            <w:pPr>
              <w:spacing w:line="40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签    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项目负责人</w:t>
            </w:r>
          </w:p>
        </w:tc>
        <w:tc>
          <w:tcPr>
            <w:tcW w:w="1314"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戴  磷</w:t>
            </w:r>
          </w:p>
        </w:tc>
        <w:tc>
          <w:tcPr>
            <w:tcW w:w="2880" w:type="dxa"/>
            <w:vAlign w:val="center"/>
          </w:tcPr>
          <w:p>
            <w:pPr>
              <w:spacing w:line="5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1100000000200597</w:t>
            </w:r>
          </w:p>
        </w:tc>
        <w:tc>
          <w:tcPr>
            <w:tcW w:w="1620" w:type="dxa"/>
            <w:vAlign w:val="center"/>
          </w:tcPr>
          <w:p>
            <w:pPr>
              <w:spacing w:line="5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019915</w:t>
            </w:r>
          </w:p>
        </w:tc>
        <w:tc>
          <w:tcPr>
            <w:tcW w:w="1541" w:type="dxa"/>
            <w:vAlign w:val="center"/>
          </w:tcPr>
          <w:p>
            <w:pPr>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Merge w:val="restart"/>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项目组成员</w:t>
            </w:r>
          </w:p>
        </w:tc>
        <w:tc>
          <w:tcPr>
            <w:tcW w:w="1314" w:type="dxa"/>
            <w:vAlign w:val="center"/>
          </w:tcPr>
          <w:p>
            <w:pPr>
              <w:spacing w:line="5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谢寒梅</w:t>
            </w:r>
          </w:p>
        </w:tc>
        <w:tc>
          <w:tcPr>
            <w:tcW w:w="2880" w:type="dxa"/>
            <w:vAlign w:val="center"/>
          </w:tcPr>
          <w:p>
            <w:pPr>
              <w:spacing w:line="5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S011035000110192001584</w:t>
            </w:r>
          </w:p>
        </w:tc>
        <w:tc>
          <w:tcPr>
            <w:tcW w:w="1620" w:type="dxa"/>
            <w:vAlign w:val="center"/>
          </w:tcPr>
          <w:p>
            <w:pPr>
              <w:spacing w:line="5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027089</w:t>
            </w:r>
          </w:p>
        </w:tc>
        <w:tc>
          <w:tcPr>
            <w:tcW w:w="1541" w:type="dxa"/>
            <w:vAlign w:val="center"/>
          </w:tcPr>
          <w:p>
            <w:pPr>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Merge w:val="continue"/>
            <w:vAlign w:val="center"/>
          </w:tcPr>
          <w:p>
            <w:pPr>
              <w:jc w:val="center"/>
              <w:rPr>
                <w:rFonts w:hint="default" w:ascii="Times New Roman" w:hAnsi="Times New Roman" w:cs="Times New Roman"/>
                <w:color w:val="auto"/>
                <w:sz w:val="24"/>
                <w:szCs w:val="24"/>
              </w:rPr>
            </w:pPr>
          </w:p>
        </w:tc>
        <w:tc>
          <w:tcPr>
            <w:tcW w:w="1314" w:type="dxa"/>
            <w:vAlign w:val="center"/>
          </w:tcPr>
          <w:p>
            <w:pPr>
              <w:spacing w:line="56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许玉才</w:t>
            </w:r>
          </w:p>
        </w:tc>
        <w:tc>
          <w:tcPr>
            <w:tcW w:w="2880" w:type="dxa"/>
            <w:vAlign w:val="center"/>
          </w:tcPr>
          <w:p>
            <w:pPr>
              <w:spacing w:line="56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1800000000200658</w:t>
            </w:r>
          </w:p>
        </w:tc>
        <w:tc>
          <w:tcPr>
            <w:tcW w:w="1620" w:type="dxa"/>
            <w:vAlign w:val="center"/>
          </w:tcPr>
          <w:p>
            <w:pPr>
              <w:spacing w:line="56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033460</w:t>
            </w:r>
          </w:p>
        </w:tc>
        <w:tc>
          <w:tcPr>
            <w:tcW w:w="1541" w:type="dxa"/>
            <w:vAlign w:val="center"/>
          </w:tcPr>
          <w:p>
            <w:pPr>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Merge w:val="continue"/>
            <w:vAlign w:val="center"/>
          </w:tcPr>
          <w:p>
            <w:pPr>
              <w:jc w:val="center"/>
              <w:rPr>
                <w:rFonts w:hint="default" w:ascii="Times New Roman" w:hAnsi="Times New Roman" w:cs="Times New Roman"/>
                <w:color w:val="auto"/>
                <w:sz w:val="24"/>
                <w:szCs w:val="24"/>
              </w:rPr>
            </w:pPr>
          </w:p>
        </w:tc>
        <w:tc>
          <w:tcPr>
            <w:tcW w:w="1314" w:type="dxa"/>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王  波</w:t>
            </w:r>
          </w:p>
        </w:tc>
        <w:tc>
          <w:tcPr>
            <w:tcW w:w="2880" w:type="dxa"/>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S011035000110202001263</w:t>
            </w:r>
          </w:p>
        </w:tc>
        <w:tc>
          <w:tcPr>
            <w:tcW w:w="1620" w:type="dxa"/>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040122</w:t>
            </w:r>
          </w:p>
        </w:tc>
        <w:tc>
          <w:tcPr>
            <w:tcW w:w="1541" w:type="dxa"/>
            <w:vAlign w:val="center"/>
          </w:tcPr>
          <w:p>
            <w:pPr>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Merge w:val="continue"/>
            <w:vAlign w:val="center"/>
          </w:tcPr>
          <w:p>
            <w:pPr>
              <w:jc w:val="center"/>
              <w:rPr>
                <w:rFonts w:hint="default" w:ascii="Times New Roman" w:hAnsi="Times New Roman" w:cs="Times New Roman"/>
                <w:color w:val="auto"/>
                <w:sz w:val="24"/>
                <w:szCs w:val="24"/>
              </w:rPr>
            </w:pPr>
          </w:p>
        </w:tc>
        <w:tc>
          <w:tcPr>
            <w:tcW w:w="1314" w:type="dxa"/>
            <w:vAlign w:val="center"/>
          </w:tcPr>
          <w:p>
            <w:pPr>
              <w:spacing w:line="520" w:lineRule="exact"/>
              <w:jc w:val="center"/>
              <w:rPr>
                <w:rFonts w:hint="default" w:ascii="Times New Roman" w:hAnsi="Times New Roman" w:cs="Times New Roman"/>
                <w:color w:val="auto"/>
                <w:sz w:val="24"/>
                <w:szCs w:val="24"/>
              </w:rPr>
            </w:pPr>
            <w:r>
              <w:rPr>
                <w:rFonts w:hint="eastAsia" w:cs="宋体"/>
                <w:color w:val="auto"/>
                <w:sz w:val="24"/>
                <w:szCs w:val="24"/>
              </w:rPr>
              <w:t>苏睿劼</w:t>
            </w:r>
          </w:p>
        </w:tc>
        <w:tc>
          <w:tcPr>
            <w:tcW w:w="2880" w:type="dxa"/>
            <w:vAlign w:val="center"/>
          </w:tcPr>
          <w:p>
            <w:pPr>
              <w:spacing w:line="520" w:lineRule="exact"/>
              <w:jc w:val="center"/>
              <w:rPr>
                <w:rFonts w:hint="default" w:ascii="Times New Roman" w:hAnsi="Times New Roman" w:cs="Times New Roman"/>
                <w:color w:val="auto"/>
                <w:sz w:val="24"/>
                <w:szCs w:val="24"/>
              </w:rPr>
            </w:pPr>
            <w:r>
              <w:rPr>
                <w:color w:val="auto"/>
                <w:sz w:val="24"/>
                <w:szCs w:val="24"/>
              </w:rPr>
              <w:t>1700000000301009</w:t>
            </w:r>
          </w:p>
        </w:tc>
        <w:tc>
          <w:tcPr>
            <w:tcW w:w="1620" w:type="dxa"/>
            <w:vAlign w:val="center"/>
          </w:tcPr>
          <w:p>
            <w:pPr>
              <w:spacing w:line="520" w:lineRule="exact"/>
              <w:jc w:val="center"/>
              <w:rPr>
                <w:rFonts w:hint="default" w:ascii="Times New Roman" w:hAnsi="Times New Roman" w:cs="Times New Roman"/>
                <w:color w:val="auto"/>
                <w:sz w:val="24"/>
                <w:szCs w:val="24"/>
              </w:rPr>
            </w:pPr>
            <w:r>
              <w:rPr>
                <w:color w:val="auto"/>
                <w:sz w:val="24"/>
                <w:szCs w:val="24"/>
              </w:rPr>
              <w:t>030858</w:t>
            </w:r>
          </w:p>
        </w:tc>
        <w:tc>
          <w:tcPr>
            <w:tcW w:w="1541" w:type="dxa"/>
            <w:vAlign w:val="center"/>
          </w:tcPr>
          <w:p>
            <w:pPr>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Merge w:val="continue"/>
            <w:vAlign w:val="center"/>
          </w:tcPr>
          <w:p>
            <w:pPr>
              <w:jc w:val="center"/>
              <w:rPr>
                <w:rFonts w:hint="default" w:ascii="Times New Roman" w:hAnsi="Times New Roman" w:cs="Times New Roman"/>
                <w:color w:val="auto"/>
                <w:sz w:val="24"/>
                <w:szCs w:val="24"/>
              </w:rPr>
            </w:pPr>
          </w:p>
        </w:tc>
        <w:tc>
          <w:tcPr>
            <w:tcW w:w="1314" w:type="dxa"/>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曾华玉</w:t>
            </w:r>
          </w:p>
        </w:tc>
        <w:tc>
          <w:tcPr>
            <w:tcW w:w="2880" w:type="dxa"/>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0800000000203970</w:t>
            </w:r>
          </w:p>
        </w:tc>
        <w:tc>
          <w:tcPr>
            <w:tcW w:w="1620" w:type="dxa"/>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007037</w:t>
            </w:r>
          </w:p>
        </w:tc>
        <w:tc>
          <w:tcPr>
            <w:tcW w:w="1541" w:type="dxa"/>
            <w:vAlign w:val="center"/>
          </w:tcPr>
          <w:p>
            <w:pPr>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报告编制人</w:t>
            </w:r>
          </w:p>
        </w:tc>
        <w:tc>
          <w:tcPr>
            <w:tcW w:w="1314"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戴  磷</w:t>
            </w:r>
          </w:p>
        </w:tc>
        <w:tc>
          <w:tcPr>
            <w:tcW w:w="2880" w:type="dxa"/>
            <w:vAlign w:val="center"/>
          </w:tcPr>
          <w:p>
            <w:pPr>
              <w:spacing w:line="5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1100000000200597</w:t>
            </w:r>
          </w:p>
        </w:tc>
        <w:tc>
          <w:tcPr>
            <w:tcW w:w="1620" w:type="dxa"/>
            <w:vAlign w:val="center"/>
          </w:tcPr>
          <w:p>
            <w:pPr>
              <w:spacing w:line="5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019915</w:t>
            </w:r>
          </w:p>
        </w:tc>
        <w:tc>
          <w:tcPr>
            <w:tcW w:w="1541" w:type="dxa"/>
            <w:vAlign w:val="center"/>
          </w:tcPr>
          <w:p>
            <w:pPr>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报告审核人</w:t>
            </w:r>
          </w:p>
        </w:tc>
        <w:tc>
          <w:tcPr>
            <w:tcW w:w="1314" w:type="dxa"/>
            <w:vAlign w:val="center"/>
          </w:tcPr>
          <w:p>
            <w:pPr>
              <w:jc w:val="center"/>
              <w:rPr>
                <w:rFonts w:hint="default" w:ascii="Times New Roman" w:hAnsi="Times New Roman" w:cs="Times New Roman"/>
                <w:color w:val="auto"/>
                <w:sz w:val="24"/>
                <w:szCs w:val="24"/>
              </w:rPr>
            </w:pPr>
            <w:r>
              <w:rPr>
                <w:rFonts w:hint="eastAsia" w:cs="宋体"/>
                <w:color w:val="auto"/>
                <w:sz w:val="24"/>
                <w:szCs w:val="24"/>
              </w:rPr>
              <w:t>檀廷斌</w:t>
            </w:r>
          </w:p>
        </w:tc>
        <w:tc>
          <w:tcPr>
            <w:tcW w:w="2880" w:type="dxa"/>
            <w:vAlign w:val="center"/>
          </w:tcPr>
          <w:p>
            <w:pPr>
              <w:jc w:val="center"/>
              <w:rPr>
                <w:rFonts w:hint="default" w:ascii="Times New Roman" w:hAnsi="Times New Roman" w:cs="Times New Roman"/>
                <w:color w:val="auto"/>
                <w:sz w:val="24"/>
                <w:szCs w:val="24"/>
              </w:rPr>
            </w:pPr>
            <w:r>
              <w:rPr>
                <w:color w:val="auto"/>
                <w:kern w:val="0"/>
                <w:sz w:val="24"/>
                <w:szCs w:val="24"/>
              </w:rPr>
              <w:t>1600000000200717</w:t>
            </w:r>
          </w:p>
        </w:tc>
        <w:tc>
          <w:tcPr>
            <w:tcW w:w="1620" w:type="dxa"/>
            <w:vAlign w:val="center"/>
          </w:tcPr>
          <w:p>
            <w:pPr>
              <w:jc w:val="center"/>
              <w:rPr>
                <w:rFonts w:hint="default" w:ascii="Times New Roman" w:hAnsi="Times New Roman" w:cs="Times New Roman"/>
                <w:color w:val="auto"/>
                <w:sz w:val="24"/>
                <w:szCs w:val="24"/>
              </w:rPr>
            </w:pPr>
            <w:r>
              <w:rPr>
                <w:color w:val="auto"/>
                <w:sz w:val="24"/>
                <w:szCs w:val="24"/>
              </w:rPr>
              <w:t xml:space="preserve">029648 </w:t>
            </w:r>
          </w:p>
        </w:tc>
        <w:tc>
          <w:tcPr>
            <w:tcW w:w="1541" w:type="dxa"/>
            <w:vAlign w:val="center"/>
          </w:tcPr>
          <w:p>
            <w:pPr>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过程控制负责人</w:t>
            </w:r>
          </w:p>
        </w:tc>
        <w:tc>
          <w:tcPr>
            <w:tcW w:w="1314"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王海波</w:t>
            </w:r>
          </w:p>
        </w:tc>
        <w:tc>
          <w:tcPr>
            <w:tcW w:w="2880"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1800000000200651</w:t>
            </w:r>
          </w:p>
        </w:tc>
        <w:tc>
          <w:tcPr>
            <w:tcW w:w="1620"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032727</w:t>
            </w:r>
          </w:p>
        </w:tc>
        <w:tc>
          <w:tcPr>
            <w:tcW w:w="1541" w:type="dxa"/>
            <w:vAlign w:val="center"/>
          </w:tcPr>
          <w:p>
            <w:pPr>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技术负责人</w:t>
            </w:r>
          </w:p>
        </w:tc>
        <w:tc>
          <w:tcPr>
            <w:tcW w:w="1314"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周红波</w:t>
            </w:r>
          </w:p>
        </w:tc>
        <w:tc>
          <w:tcPr>
            <w:tcW w:w="2880" w:type="dxa"/>
            <w:vAlign w:val="center"/>
          </w:tcPr>
          <w:p>
            <w:pPr>
              <w:spacing w:line="5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1700000000100121</w:t>
            </w:r>
          </w:p>
        </w:tc>
        <w:tc>
          <w:tcPr>
            <w:tcW w:w="1620" w:type="dxa"/>
            <w:vAlign w:val="center"/>
          </w:tcPr>
          <w:p>
            <w:pPr>
              <w:spacing w:line="5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020702</w:t>
            </w:r>
          </w:p>
        </w:tc>
        <w:tc>
          <w:tcPr>
            <w:tcW w:w="1541" w:type="dxa"/>
            <w:vAlign w:val="center"/>
          </w:tcPr>
          <w:p>
            <w:pPr>
              <w:jc w:val="center"/>
              <w:rPr>
                <w:rFonts w:hint="default" w:ascii="Times New Roman" w:hAnsi="Times New Roman" w:cs="Times New Roman"/>
                <w:color w:val="auto"/>
                <w:sz w:val="24"/>
                <w:szCs w:val="24"/>
              </w:rPr>
            </w:pPr>
          </w:p>
        </w:tc>
      </w:tr>
    </w:tbl>
    <w:p>
      <w:pPr>
        <w:jc w:val="center"/>
        <w:rPr>
          <w:rFonts w:hint="default" w:ascii="Times New Roman" w:hAnsi="Times New Roman" w:cs="Times New Roman"/>
          <w:b/>
          <w:color w:val="auto"/>
          <w:sz w:val="24"/>
        </w:rPr>
      </w:pPr>
    </w:p>
    <w:p>
      <w:pPr>
        <w:ind w:firstLine="643" w:firstLineChars="200"/>
        <w:jc w:val="center"/>
        <w:rPr>
          <w:rFonts w:hint="default" w:ascii="Times New Roman" w:hAnsi="Times New Roman" w:cs="Times New Roman"/>
          <w:b/>
          <w:color w:val="auto"/>
          <w:sz w:val="32"/>
          <w:szCs w:val="32"/>
        </w:rPr>
      </w:pPr>
      <w:bookmarkStart w:id="3" w:name="_Toc5026"/>
      <w:bookmarkStart w:id="4" w:name="_Toc14740"/>
      <w:bookmarkStart w:id="5" w:name="_Toc16426"/>
      <w:r>
        <w:rPr>
          <w:rFonts w:hint="default" w:ascii="Times New Roman" w:hAnsi="Times New Roman" w:cs="Times New Roman"/>
          <w:b/>
          <w:color w:val="auto"/>
          <w:sz w:val="32"/>
          <w:szCs w:val="32"/>
        </w:rPr>
        <w:t>参  与  人  员</w:t>
      </w:r>
      <w:bookmarkEnd w:id="3"/>
      <w:bookmarkEnd w:id="4"/>
      <w:bookmarkEnd w:id="5"/>
    </w:p>
    <w:tbl>
      <w:tblPr>
        <w:tblStyle w:val="19"/>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8"/>
        <w:gridCol w:w="3039"/>
        <w:gridCol w:w="3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姓名</w:t>
            </w:r>
          </w:p>
        </w:tc>
        <w:tc>
          <w:tcPr>
            <w:tcW w:w="3039" w:type="dxa"/>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专业</w:t>
            </w:r>
          </w:p>
        </w:tc>
        <w:tc>
          <w:tcPr>
            <w:tcW w:w="3039" w:type="dxa"/>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李家伟</w:t>
            </w:r>
          </w:p>
        </w:tc>
        <w:tc>
          <w:tcPr>
            <w:tcW w:w="3039" w:type="dxa"/>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化学工程与技术</w:t>
            </w:r>
          </w:p>
        </w:tc>
        <w:tc>
          <w:tcPr>
            <w:tcW w:w="3039" w:type="dxa"/>
            <w:noWrap w:val="0"/>
            <w:vAlign w:val="center"/>
          </w:tcPr>
          <w:p>
            <w:pPr>
              <w:jc w:val="center"/>
              <w:rPr>
                <w:rFonts w:hint="default" w:ascii="Times New Roman" w:hAnsi="Times New Roman" w:cs="Times New Roman"/>
                <w:color w:val="auto"/>
                <w:sz w:val="24"/>
              </w:rPr>
            </w:pPr>
          </w:p>
        </w:tc>
      </w:tr>
    </w:tbl>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cs="Times New Roman"/>
          <w:b w:val="0"/>
          <w:bCs w:val="0"/>
          <w:color w:val="auto"/>
          <w:sz w:val="36"/>
          <w:szCs w:val="36"/>
          <w:lang w:eastAsia="zh-CN"/>
        </w:rPr>
      </w:pPr>
      <w:r>
        <w:rPr>
          <w:rFonts w:hint="default" w:ascii="Times New Roman" w:hAnsi="Times New Roman" w:cs="Times New Roman"/>
          <w:b/>
          <w:bCs/>
          <w:color w:val="auto"/>
          <w:sz w:val="36"/>
          <w:szCs w:val="36"/>
        </w:rPr>
        <w:br w:type="page"/>
      </w:r>
      <w:r>
        <w:rPr>
          <w:rFonts w:hint="default" w:ascii="Times New Roman" w:hAnsi="Times New Roman" w:cs="Times New Roman"/>
          <w:b w:val="0"/>
          <w:bCs w:val="0"/>
          <w:color w:val="auto"/>
          <w:sz w:val="36"/>
          <w:szCs w:val="36"/>
          <w:lang w:eastAsia="zh-CN"/>
        </w:rPr>
        <w:t>前</w:t>
      </w:r>
      <w:r>
        <w:rPr>
          <w:rFonts w:hint="default" w:ascii="Times New Roman" w:hAnsi="Times New Roman" w:cs="Times New Roman"/>
          <w:b w:val="0"/>
          <w:bCs w:val="0"/>
          <w:color w:val="auto"/>
          <w:sz w:val="36"/>
          <w:szCs w:val="36"/>
          <w:lang w:val="en-US" w:eastAsia="zh-CN"/>
        </w:rPr>
        <w:t xml:space="preserve">    </w:t>
      </w:r>
      <w:r>
        <w:rPr>
          <w:rFonts w:hint="default" w:ascii="Times New Roman" w:hAnsi="Times New Roman" w:cs="Times New Roman"/>
          <w:b w:val="0"/>
          <w:bCs w:val="0"/>
          <w:color w:val="auto"/>
          <w:sz w:val="36"/>
          <w:szCs w:val="36"/>
          <w:lang w:eastAsia="zh-CN"/>
        </w:rPr>
        <w:t>言</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江西心连心化学工业有限公司（以下简称“该公司”）原名为九江心连心化肥有限公司，法人代表尚德伟，注册资本贰拾柒亿元人民币，2021年12月17日经彭泽县市场监督管理局变更，是河南心连心化学工业集团股份有限公司的全资子公司。</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江西心连心化学工业有限公司围绕公司主营业务发展需要，拟在彭泽县矶山工业园区新规划厂址内投资建设年产15万吨转鼓氨化造粒复合肥项目（以下简称“该项目”）以满足市场需求。江西心连心化学工业有限公司年产15万吨转鼓氨化造粒复合肥项目拟建设于</w:t>
      </w:r>
      <w:r>
        <w:rPr>
          <w:rFonts w:hint="default" w:ascii="Times New Roman" w:hAnsi="Times New Roman" w:cs="Times New Roman"/>
          <w:color w:val="auto"/>
          <w:lang w:eastAsia="zh-CN"/>
        </w:rPr>
        <w:t>江西省九江市彭泽工业园区矶山化工园（经认定的化工园区），该项目占地面积约</w:t>
      </w:r>
      <w:r>
        <w:rPr>
          <w:rFonts w:hint="default" w:ascii="Times New Roman" w:hAnsi="Times New Roman" w:cs="Times New Roman"/>
          <w:color w:val="auto"/>
          <w:lang w:val="en-US" w:eastAsia="zh-CN"/>
        </w:rPr>
        <w:t>40亩，项目总投资约8082万元。该项目建设内容为年产15万吨转鼓氨化造粒复合肥生产装置及相应的公用、辅助设施，主要包括：新建1栋氨化车间，含生产区和包装区，车间内安装转鼓氨化复合肥生产装置（与转鼓氨酸复合肥共用）以及配套的上料系统、输送系统、包装系统和氯化氢吸收系统，配备建设原料库、盐酸储罐</w:t>
      </w:r>
      <w:r>
        <w:rPr>
          <w:rFonts w:hint="eastAsia" w:cs="Times New Roman"/>
          <w:color w:val="auto"/>
          <w:lang w:val="en-US" w:eastAsia="zh-CN"/>
        </w:rPr>
        <w:t>区</w:t>
      </w:r>
      <w:r>
        <w:rPr>
          <w:rFonts w:hint="default" w:ascii="Times New Roman" w:hAnsi="Times New Roman" w:cs="Times New Roman"/>
          <w:color w:val="auto"/>
          <w:lang w:val="en-US" w:eastAsia="zh-CN"/>
        </w:rPr>
        <w:t>和硫酸储罐区。该项目的产品主要为：①年产8万吨转鼓氨化复合肥；②年产7万吨转鼓氨酸复合肥，上述产品公用同一条生产线，不同季节生产不同的产品，产品生产规模合计15万吨/年，同时副产31%盐酸30249.4吨/年。</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该项目原辅料、产品和副产品涉及</w:t>
      </w:r>
      <w:r>
        <w:rPr>
          <w:rFonts w:hint="eastAsia" w:cs="Times New Roman"/>
          <w:color w:val="auto"/>
          <w:lang w:val="en-US" w:eastAsia="zh-CN"/>
        </w:rPr>
        <w:t>98%</w:t>
      </w:r>
      <w:r>
        <w:rPr>
          <w:rFonts w:hint="default" w:ascii="Times New Roman" w:hAnsi="Times New Roman" w:cs="Times New Roman"/>
          <w:color w:val="auto"/>
          <w:lang w:val="en-US" w:eastAsia="zh-CN"/>
        </w:rPr>
        <w:t>硫酸、氯化钾、磷酸一铵、氨、氯化铵、尿素、防结块剂膏、防结块剂粉、填充料（棒土、微量元素、缓释剂、活化剂等）、硫酸铵</w:t>
      </w:r>
      <w:r>
        <w:rPr>
          <w:rFonts w:hint="default" w:ascii="Times New Roman" w:hAnsi="Times New Roman" w:eastAsia="宋体" w:cs="Times New Roman"/>
          <w:color w:val="auto"/>
          <w:lang w:val="en-US" w:eastAsia="zh-CN"/>
        </w:rPr>
        <w:t>（中间产物）</w:t>
      </w:r>
      <w:r>
        <w:rPr>
          <w:rFonts w:hint="default" w:ascii="Times New Roman" w:hAnsi="Times New Roman" w:cs="Times New Roman"/>
          <w:color w:val="auto"/>
          <w:lang w:val="en-US" w:eastAsia="zh-CN"/>
        </w:rPr>
        <w:t>、氯化氢（中间产物）、</w:t>
      </w:r>
      <w:r>
        <w:rPr>
          <w:rFonts w:hint="default" w:ascii="Times New Roman" w:hAnsi="Times New Roman" w:eastAsia="宋体" w:cs="Times New Roman"/>
          <w:color w:val="auto"/>
          <w:lang w:val="en-US" w:eastAsia="zh-CN"/>
        </w:rPr>
        <w:t>硫酸氢钾（中间产物）</w:t>
      </w:r>
      <w:r>
        <w:rPr>
          <w:rFonts w:hint="default" w:ascii="Times New Roman" w:hAnsi="Times New Roman" w:cs="Times New Roman"/>
          <w:color w:val="auto"/>
          <w:lang w:val="en-US" w:eastAsia="zh-CN"/>
        </w:rPr>
        <w:t>、氨化复合肥（产品）、氨酸复合肥（产品）、31%盐酸（副产品）等。根据《危险化学品目录》（2015版），该项目涉及的氨、盐酸（副产品）、硫酸、天然气（燃料）、氯化氢（中间产物）、硫酸氢钾（中间产物）属于危险化学品。该项目属于危化品生产、储存项目，根据《危险化学品生产企业安全生产许可证实施办法》（2011年8月5日国家安全生产监督管理总局令第41号公布，根据2017年国家安全生产监督管理总局令第89号修改）的要求，需办理危险化学品安全生产许可证。</w:t>
      </w:r>
    </w:p>
    <w:p>
      <w:pPr>
        <w:keepNext w:val="0"/>
        <w:keepLines w:val="0"/>
        <w:pageBreakBefore w:val="0"/>
        <w:widowControl w:val="0"/>
        <w:kinsoku/>
        <w:wordWrap/>
        <w:overflowPunct/>
        <w:topLinePunct w:val="0"/>
        <w:autoSpaceDE/>
        <w:autoSpaceDN/>
        <w:bidi w:val="0"/>
        <w:adjustRightInd/>
        <w:snapToGrid/>
        <w:spacing w:line="600" w:lineRule="exact"/>
        <w:ind w:firstLine="544" w:firstLineChars="200"/>
        <w:textAlignment w:val="auto"/>
        <w:rPr>
          <w:rFonts w:hint="default" w:ascii="Times New Roman" w:hAnsi="Times New Roman" w:cs="Times New Roman"/>
          <w:color w:val="auto"/>
          <w:sz w:val="28"/>
          <w:szCs w:val="28"/>
          <w:lang w:eastAsia="zh-CN"/>
        </w:rPr>
      </w:pPr>
      <w:r>
        <w:rPr>
          <w:rFonts w:hint="default" w:ascii="Times New Roman" w:hAnsi="Times New Roman" w:cs="Times New Roman"/>
          <w:color w:val="auto"/>
          <w:spacing w:val="-4"/>
          <w:sz w:val="28"/>
          <w:szCs w:val="28"/>
        </w:rPr>
        <w:t>根据《中华人民共和国安全生产法》（主席令［2021］第88号，2021年6月10日第十三届全国人民代表大会常务委员会第二十九次会议通过，2021年9月1日起实施）和《国家发展和改革委、国家安全生产监督管理局关于加强建设项目安全设施“三同时”工作的通知》（发改投资[2003]1346号）、《危险化学品建设项目安全监督管理办法》（国家安全生产监督管理总局令第45号，国家安全生产监督管理总局令79号令修改）、《江西省危险化学品建设项目安全监督管理实施细则（试行）》（赣应急字〔2021〕100号）的要求，新、改、扩建项目必须进行安全评价，以确保工程项目的安全设施与主体工程同时设计、同时施工、同时投产使用，保证工程项目在劳动安全卫生方面符合国家及行业有关的标准和法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pacing w:val="-4"/>
          <w:sz w:val="28"/>
          <w:szCs w:val="28"/>
          <w:lang w:val="zh-CN"/>
        </w:rPr>
      </w:pPr>
      <w:r>
        <w:rPr>
          <w:rFonts w:hint="default" w:ascii="Times New Roman" w:hAnsi="Times New Roman" w:cs="Times New Roman"/>
          <w:color w:val="auto"/>
          <w:sz w:val="28"/>
          <w:szCs w:val="28"/>
          <w:lang w:eastAsia="zh-CN"/>
        </w:rPr>
        <w:t>受江西心连心化学工业有限公司</w:t>
      </w:r>
      <w:r>
        <w:rPr>
          <w:rFonts w:hint="default" w:ascii="Times New Roman" w:hAnsi="Times New Roman" w:cs="Times New Roman"/>
          <w:color w:val="auto"/>
          <w:lang w:val="en-US" w:eastAsia="zh-CN"/>
        </w:rPr>
        <w:t>的委托，</w:t>
      </w:r>
      <w:r>
        <w:rPr>
          <w:rFonts w:hint="default" w:ascii="Times New Roman" w:hAnsi="Times New Roman" w:cs="Times New Roman"/>
          <w:color w:val="auto"/>
          <w:spacing w:val="-4"/>
          <w:kern w:val="0"/>
          <w:sz w:val="28"/>
          <w:szCs w:val="28"/>
        </w:rPr>
        <w:t>江西赣安安全生产科学技术咨询服务中心</w:t>
      </w:r>
      <w:r>
        <w:rPr>
          <w:rFonts w:hint="default" w:ascii="Times New Roman" w:hAnsi="Times New Roman" w:cs="Times New Roman"/>
          <w:color w:val="auto"/>
          <w:spacing w:val="-4"/>
          <w:kern w:val="0"/>
          <w:sz w:val="28"/>
          <w:szCs w:val="28"/>
          <w:lang w:eastAsia="zh-CN"/>
        </w:rPr>
        <w:t>承担了其年产15万吨转鼓氨化造粒复合肥项目</w:t>
      </w:r>
      <w:r>
        <w:rPr>
          <w:rFonts w:hint="default" w:ascii="Times New Roman" w:hAnsi="Times New Roman" w:cs="Times New Roman"/>
          <w:color w:val="auto"/>
          <w:spacing w:val="-4"/>
          <w:kern w:val="0"/>
          <w:sz w:val="28"/>
          <w:szCs w:val="28"/>
          <w:lang w:val="en-US" w:eastAsia="zh-CN"/>
        </w:rPr>
        <w:t>的安全条件评价工作。</w:t>
      </w:r>
      <w:r>
        <w:rPr>
          <w:rFonts w:hint="default" w:ascii="Times New Roman" w:hAnsi="Times New Roman" w:cs="Times New Roman"/>
          <w:color w:val="auto"/>
          <w:sz w:val="28"/>
          <w:szCs w:val="28"/>
        </w:rPr>
        <w:t>我中心接受委托后，组成项目安全评价组，到建设单位收集有关资料，对拟建现场进行勘察。对委托方提供的资料进行认真分析，运用安全系统工程原理和评价方法，对工程可能出现的危险、有害因素辨识分析和定性、定量评价，在此基础上，按照《危险化学品建设项目安全监督管理办法》（国家安全生产监督管理总局令第45号，国家安全生产监督管理总局令79号令修改）、《江西省危险化学品建设项目安全监督管理实施细则（试行）》（赣应急字〔2021〕100号）的要求，依据《安全评价通则》AQ8001-2007、《安全预评价导则》AQ8002-2007、《危险化学品建设项目安全评价细则（试行）》（安监总危化[2007]255号）的要求，编制本评价报告。</w:t>
      </w:r>
    </w:p>
    <w:p>
      <w:pPr>
        <w:keepNext w:val="0"/>
        <w:keepLines w:val="0"/>
        <w:pageBreakBefore w:val="0"/>
        <w:widowControl w:val="0"/>
        <w:kinsoku/>
        <w:wordWrap/>
        <w:overflowPunct/>
        <w:topLinePunct w:val="0"/>
        <w:autoSpaceDE/>
        <w:autoSpaceDN/>
        <w:bidi w:val="0"/>
        <w:adjustRightInd/>
        <w:snapToGrid/>
        <w:spacing w:line="600" w:lineRule="exact"/>
        <w:ind w:firstLine="544" w:firstLineChars="200"/>
        <w:textAlignment w:val="auto"/>
        <w:rPr>
          <w:rFonts w:hint="default" w:ascii="Times New Roman" w:hAnsi="Times New Roman" w:cs="Times New Roman"/>
          <w:color w:val="auto"/>
          <w:spacing w:val="-4"/>
          <w:sz w:val="28"/>
          <w:szCs w:val="28"/>
          <w:lang w:val="zh-CN"/>
        </w:rPr>
      </w:pPr>
      <w:r>
        <w:rPr>
          <w:rFonts w:hint="default" w:ascii="Times New Roman" w:hAnsi="Times New Roman" w:cs="Times New Roman"/>
          <w:color w:val="auto"/>
          <w:spacing w:val="-4"/>
          <w:sz w:val="28"/>
          <w:szCs w:val="28"/>
          <w:lang w:val="zh-CN"/>
        </w:rPr>
        <w:t>本报告不足之处，敬请指正。</w:t>
      </w:r>
    </w:p>
    <w:p>
      <w:pPr>
        <w:rPr>
          <w:rFonts w:hint="default" w:ascii="Times New Roman" w:hAnsi="Times New Roman" w:cs="Times New Roman"/>
          <w:color w:val="auto"/>
          <w:spacing w:val="-4"/>
          <w:sz w:val="28"/>
          <w:szCs w:val="28"/>
          <w:lang w:val="zh-CN"/>
        </w:rPr>
      </w:pPr>
      <w:r>
        <w:rPr>
          <w:rFonts w:hint="default" w:ascii="Times New Roman" w:hAnsi="Times New Roman" w:cs="Times New Roman"/>
          <w:color w:val="auto"/>
          <w:spacing w:val="-4"/>
          <w:sz w:val="28"/>
          <w:szCs w:val="28"/>
          <w:lang w:val="zh-CN"/>
        </w:rPr>
        <w:br w:type="page"/>
      </w:r>
    </w:p>
    <w:p>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目  录</w:t>
      </w:r>
    </w:p>
    <w:p>
      <w:pPr>
        <w:pStyle w:val="15"/>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TOC \o "1-2" \h \u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_Toc8307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10"/>
          <w:sz w:val="24"/>
          <w:szCs w:val="24"/>
          <w:lang w:val="en-US" w:eastAsia="zh-CN" w:bidi="ar-SA"/>
        </w:rPr>
        <w:t>1编制说明</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_Toc8307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_Toc13830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1.1评价目的</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_Toc13830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_Toc29949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1.2评价原则</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_Toc29949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_Toc10932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1.3评价范围</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_Toc10932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_Toc7334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1.4评价程序</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_Toc7334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5"/>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_Toc3263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lang w:val="en-US" w:eastAsia="zh-CN"/>
        </w:rPr>
        <w:t>2建设项目概况</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_Toc3263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_Toc11546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lang w:val="en-US" w:eastAsia="zh-CN"/>
        </w:rPr>
        <w:t>2.1建设项目简介及项目由来</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_Toc11546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_Toc29382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2.2建设项目概况</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_Toc29382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_Toc890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lang w:val="en-US" w:eastAsia="zh-CN"/>
        </w:rPr>
        <w:t>2.3</w:t>
      </w:r>
      <w:r>
        <w:rPr>
          <w:rFonts w:hint="default" w:ascii="Times New Roman" w:hAnsi="Times New Roman" w:eastAsia="宋体" w:cs="Times New Roman"/>
          <w:b w:val="0"/>
          <w:bCs w:val="0"/>
          <w:color w:val="auto"/>
          <w:sz w:val="24"/>
          <w:szCs w:val="24"/>
        </w:rPr>
        <w:t>建设项目涉及的主要原辅材料和品种名称数量、储存</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_Toc890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_Toc27233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lang w:val="en-US" w:eastAsia="zh-CN"/>
        </w:rPr>
        <w:t>2.4项目产品及工艺流程</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_Toc27233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_Toc28692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lang w:val="en-US" w:eastAsia="zh-CN"/>
        </w:rPr>
        <w:t>2.5主要装置（设备）和设施的布局、道路运输</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_Toc28692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_Toc24436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lang w:val="en-US" w:eastAsia="zh-CN"/>
        </w:rPr>
        <w:t>2.6建构筑物</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_Toc24436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_Toc16605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lang w:val="en-US" w:eastAsia="zh-CN"/>
        </w:rPr>
        <w:t>2.6主要设备选择</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_Toc16605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_Toc15159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lang w:val="en-US" w:eastAsia="zh-CN"/>
        </w:rPr>
        <w:t>2.7自控技术方案</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_Toc15159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_Toc10463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lang w:val="en-US" w:eastAsia="zh-CN"/>
        </w:rPr>
        <w:t>2.8公用工程及辅助设施</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_Toc10463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_Toc24693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lang w:val="en-US" w:eastAsia="zh-CN"/>
        </w:rPr>
        <w:t>2.10组织机构及人员组成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_Toc24693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61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_Toc13303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lang w:val="en-US" w:eastAsia="zh-CN"/>
        </w:rPr>
        <w:t>2.11主要技术经济指标</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_Toc13303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62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5"/>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_Toc5840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10"/>
          <w:sz w:val="24"/>
          <w:szCs w:val="24"/>
          <w:lang w:val="en-US" w:eastAsia="zh-CN" w:bidi="ar-SA"/>
        </w:rPr>
        <w:t>3危险、有害因素的辨识结果及依据说明</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_Toc5840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64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_Toc12692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3.1危险物质的辨识结果及依据</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_Toc12692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64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_Toc17674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3.2危险化学品包装、储存、运输的技术要求及信息来源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_Toc17674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71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_Toc5717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3.3重点监管危险化学品、危险工艺分析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_Toc5717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71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_Toc6813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3.4其他类危险化学品辨识</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_Toc6813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74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_Toc5050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3.5危险、有害因素的辨识结果及依据</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_Toc5050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75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_Toc2868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3.6危险有害因素汇总</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_Toc2868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76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_Toc24135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3.7重大危险源辨识</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_Toc24135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77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_Toc21180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lang w:val="en-US" w:eastAsia="zh-CN"/>
        </w:rPr>
        <w:t>3.8个人风险和社会风险值</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_Toc21180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77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_Toc7621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rPr>
        <w:t>3.10爆炸危险区域划分</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_Toc7621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84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_Toc12068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4.1评价单元的确定</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_Toc12068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86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5"/>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_Toc8326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10"/>
          <w:sz w:val="24"/>
          <w:szCs w:val="24"/>
          <w:lang w:val="en-US" w:eastAsia="zh-CN" w:bidi="ar-SA"/>
        </w:rPr>
        <w:t>5采用的安全评价方法及理由说明</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_Toc8326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87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_Toc9486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5.1各单元采用的评价方法</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_Toc9486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87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_Toc29148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5.2评价方法选择说明</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_Toc29148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87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5"/>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_Toc3827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10"/>
          <w:sz w:val="24"/>
          <w:szCs w:val="24"/>
          <w:lang w:val="en-US" w:eastAsia="zh-CN" w:bidi="ar-SA"/>
        </w:rPr>
        <w:t>6定性、定量分析危险、有害因素的结果</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_Toc3827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91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_Toc13594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6.1固有危险程度的分析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_Toc13594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91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_Toc29327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6.2风险程度的分析结果</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_Toc29327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93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5"/>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_Toc29151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10"/>
          <w:sz w:val="24"/>
          <w:szCs w:val="24"/>
          <w:lang w:val="en-US" w:eastAsia="zh-CN" w:bidi="ar-SA"/>
        </w:rPr>
        <w:t>7建设项目安全生产、安全条件的分析结果</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_Toc29151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106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_Toc13971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7.1建设项目的外部情况分析结果</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_Toc13971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106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_Toc9083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7.2建设项目安全条件分析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_Toc9083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112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5"/>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_Toc25319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10"/>
          <w:sz w:val="24"/>
          <w:szCs w:val="24"/>
          <w:lang w:val="en-US" w:eastAsia="zh-CN" w:bidi="ar-SA"/>
        </w:rPr>
        <w:t>8主要技术、工艺和装置、设备设施及其安全可靠性分析结果</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_Toc25319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118</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_Toc11433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8.1主要技术、工艺和装置、设备、设施安全可靠性评价结果</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_Toc11433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118</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_Toc10246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8.2主要装置、设备、设施与危险化学品生产或者储存过程的匹配性</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_Toc10246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119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_Toc6647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8.3公用工程、辅助设施配套性评价</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_Toc6647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120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5"/>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_Toc3644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10"/>
          <w:sz w:val="24"/>
          <w:szCs w:val="24"/>
          <w:lang w:val="en-US" w:eastAsia="zh-CN" w:bidi="ar-SA"/>
        </w:rPr>
        <w:t>9安全对策措施</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_Toc3644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123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_Toc12434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9.1安全对策措施建议的依据、原则</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_Toc12434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123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_Toc29645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9.2安全对策措施建议</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_Toc29645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124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5"/>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_Toc29779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10"/>
          <w:sz w:val="24"/>
          <w:szCs w:val="24"/>
          <w:lang w:val="en-US" w:eastAsia="zh-CN" w:bidi="ar-SA"/>
        </w:rPr>
        <w:t>10安全评价结论</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_Toc29779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150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_Toc31051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10.1主要危险、有害因素辨识结果简述</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_Toc31051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150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_Toc26424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10.2主要单元评价结果</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_Toc26424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151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_Toc13732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10.3应重视的安全对策措施</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_Toc13732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153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_Toc5557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10.4评价结论</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_Toc5557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154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5"/>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_Toc6071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rPr>
        <w:t>11、 项目安全条件评价交换意见表</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_Toc6071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157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5"/>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_Toc24192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rPr>
        <w:t>附件A 物料的理化性质</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_Toc24192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158</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5"/>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_Toc18796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z w:val="24"/>
          <w:szCs w:val="24"/>
        </w:rPr>
        <w:t>附件B危险、有害因素的辨识及分析过程</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_Toc18796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169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_Toc6594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B.1 危险、有害物质的辨识</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_Toc6594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169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_Toc18592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spacing w:val="-6"/>
          <w:kern w:val="2"/>
          <w:sz w:val="24"/>
          <w:szCs w:val="24"/>
          <w:lang w:val="en-US" w:eastAsia="zh-CN" w:bidi="ar-SA"/>
        </w:rPr>
        <w:t>B.2 危险、有害因素的辨识</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_Toc18592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169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_Toc8919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B.3重大危险源辨识结果</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_Toc8919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187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5"/>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_Toc19561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10"/>
          <w:sz w:val="24"/>
          <w:szCs w:val="24"/>
          <w:lang w:val="en-US" w:eastAsia="zh-CN" w:bidi="ar-SA"/>
        </w:rPr>
        <w:t>附件C定性、定量分析危险、有害程度的过程</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_Toc19561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193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_Toc8451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0"/>
          <w:sz w:val="24"/>
          <w:szCs w:val="24"/>
        </w:rPr>
        <w:t>C.1项目选址与周边环境单元</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_Toc8451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193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_Toc376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0"/>
          <w:sz w:val="24"/>
          <w:szCs w:val="24"/>
        </w:rPr>
        <w:t>C.2总平面布置及建构筑物单元</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_Toc376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199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_Toc3774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0"/>
          <w:sz w:val="24"/>
          <w:szCs w:val="24"/>
        </w:rPr>
        <w:t>C.3生产单元</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_Toc3774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205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_Toc16045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0"/>
          <w:sz w:val="24"/>
          <w:szCs w:val="24"/>
        </w:rPr>
        <w:t>C.4储运单元</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_Toc16045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209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_Toc15501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0"/>
          <w:sz w:val="24"/>
          <w:szCs w:val="24"/>
        </w:rPr>
        <w:t>C.5公用工程及辅助设施单元</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_Toc15501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212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_Toc6930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0"/>
          <w:sz w:val="24"/>
          <w:szCs w:val="24"/>
        </w:rPr>
        <w:t>C.6特种设备单元</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_Toc6930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216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_Toc13189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0"/>
          <w:sz w:val="24"/>
          <w:szCs w:val="24"/>
        </w:rPr>
        <w:t>C.7消防单元</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_Toc13189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217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5"/>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_Toc22740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10"/>
          <w:sz w:val="24"/>
          <w:szCs w:val="24"/>
          <w:lang w:val="en-US" w:eastAsia="zh-CN" w:bidi="ar-SA"/>
        </w:rPr>
        <w:t>附件D安全评价依据</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_Toc22740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_Toc15585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D.1法律法规</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_Toc15585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_Toc29948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D.2部门规章及规范性文件</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_Toc29948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_Toc16214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D.3国家标准</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_Toc16214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pStyle w:val="17"/>
        <w:tabs>
          <w:tab w:val="right" w:leader="dot" w:pos="9072"/>
        </w:tabs>
        <w:spacing w:line="24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HYPERLINK \l _Toc27122 </w:instrText>
      </w:r>
      <w:r>
        <w:rPr>
          <w:rFonts w:hint="default" w:ascii="Times New Roman" w:hAnsi="Times New Roman" w:eastAsia="宋体" w:cs="Times New Roman"/>
          <w:b w:val="0"/>
          <w:bCs w:val="0"/>
          <w:color w:val="auto"/>
          <w:sz w:val="24"/>
          <w:szCs w:val="24"/>
          <w:lang w:val="en-US" w:eastAsia="zh-CN"/>
        </w:rPr>
        <w:fldChar w:fldCharType="separate"/>
      </w:r>
      <w:r>
        <w:rPr>
          <w:rFonts w:hint="default" w:ascii="Times New Roman" w:hAnsi="Times New Roman" w:eastAsia="宋体" w:cs="Times New Roman"/>
          <w:b w:val="0"/>
          <w:bCs w:val="0"/>
          <w:color w:val="auto"/>
          <w:kern w:val="2"/>
          <w:sz w:val="24"/>
          <w:szCs w:val="24"/>
          <w:lang w:val="en-US" w:eastAsia="zh-CN" w:bidi="ar-SA"/>
        </w:rPr>
        <w:t>D.4有关技术文件和资料</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_Toc27122 \h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232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eastAsia="宋体" w:cs="Times New Roman"/>
          <w:b w:val="0"/>
          <w:bCs w:val="0"/>
          <w:color w:val="auto"/>
          <w:sz w:val="24"/>
          <w:szCs w:val="24"/>
          <w:lang w:val="en-US" w:eastAsia="zh-CN"/>
        </w:rPr>
        <w:fldChar w:fldCharType="end"/>
      </w:r>
    </w:p>
    <w:p>
      <w:pPr>
        <w:keepNext/>
        <w:keepLines/>
        <w:pageBreakBefore w:val="0"/>
        <w:widowControl w:val="0"/>
        <w:kinsoku/>
        <w:wordWrap/>
        <w:overflowPunct/>
        <w:topLinePunct w:val="0"/>
        <w:autoSpaceDE/>
        <w:autoSpaceDN/>
        <w:bidi w:val="0"/>
        <w:adjustRightInd/>
        <w:snapToGrid/>
        <w:spacing w:line="540" w:lineRule="exact"/>
        <w:jc w:val="center"/>
        <w:textAlignment w:val="auto"/>
        <w:outlineLvl w:val="0"/>
        <w:rPr>
          <w:rFonts w:hint="default" w:ascii="Times New Roman" w:hAnsi="Times New Roman" w:eastAsia="黑体" w:cs="Times New Roman"/>
          <w:color w:val="auto"/>
          <w:kern w:val="10"/>
          <w:sz w:val="32"/>
          <w:szCs w:val="32"/>
          <w:lang w:val="en-US" w:eastAsia="zh-CN" w:bidi="ar-SA"/>
        </w:rPr>
        <w:sectPr>
          <w:headerReference r:id="rId8" w:type="default"/>
          <w:footerReference r:id="rId9" w:type="default"/>
          <w:pgSz w:w="11906" w:h="16838"/>
          <w:pgMar w:top="1417" w:right="1417" w:bottom="1417" w:left="1417" w:header="851" w:footer="992" w:gutter="0"/>
          <w:pgBorders>
            <w:top w:val="none" w:sz="0" w:space="0"/>
            <w:left w:val="none" w:sz="0" w:space="0"/>
            <w:bottom w:val="none" w:sz="0" w:space="0"/>
            <w:right w:val="none" w:sz="0" w:space="0"/>
          </w:pgBorders>
          <w:pgNumType w:fmt="upperRoman"/>
          <w:cols w:space="425" w:num="1"/>
          <w:docGrid w:type="lines" w:linePitch="312" w:charSpace="0"/>
        </w:sectPr>
      </w:pPr>
      <w:bookmarkStart w:id="6" w:name="_Toc24866"/>
    </w:p>
    <w:p>
      <w:pPr>
        <w:keepNext/>
        <w:keepLines/>
        <w:pageBreakBefore w:val="0"/>
        <w:widowControl w:val="0"/>
        <w:kinsoku/>
        <w:wordWrap/>
        <w:overflowPunct/>
        <w:topLinePunct w:val="0"/>
        <w:autoSpaceDE/>
        <w:autoSpaceDN/>
        <w:bidi w:val="0"/>
        <w:adjustRightInd/>
        <w:snapToGrid/>
        <w:spacing w:line="540" w:lineRule="exact"/>
        <w:jc w:val="center"/>
        <w:textAlignment w:val="auto"/>
        <w:outlineLvl w:val="0"/>
        <w:rPr>
          <w:rFonts w:hint="default" w:ascii="Times New Roman" w:hAnsi="Times New Roman" w:eastAsia="黑体" w:cs="Times New Roman"/>
          <w:color w:val="auto"/>
          <w:kern w:val="10"/>
          <w:sz w:val="32"/>
          <w:szCs w:val="32"/>
          <w:lang w:val="en-US" w:eastAsia="zh-CN" w:bidi="ar-SA"/>
        </w:rPr>
      </w:pPr>
      <w:bookmarkStart w:id="7" w:name="_Toc8307"/>
      <w:r>
        <w:rPr>
          <w:rFonts w:hint="default" w:ascii="Times New Roman" w:hAnsi="Times New Roman" w:eastAsia="黑体" w:cs="Times New Roman"/>
          <w:color w:val="auto"/>
          <w:kern w:val="10"/>
          <w:sz w:val="32"/>
          <w:szCs w:val="32"/>
          <w:lang w:val="en-US" w:eastAsia="zh-CN" w:bidi="ar-SA"/>
        </w:rPr>
        <w:t>1编制说明</w:t>
      </w:r>
      <w:bookmarkEnd w:id="6"/>
      <w:bookmarkEnd w:id="7"/>
    </w:p>
    <w:p>
      <w:pPr>
        <w:keepNext/>
        <w:pageBreakBefore w:val="0"/>
        <w:widowControl w:val="0"/>
        <w:kinsoku/>
        <w:wordWrap/>
        <w:overflowPunct/>
        <w:topLinePunct w:val="0"/>
        <w:autoSpaceDE/>
        <w:autoSpaceDN/>
        <w:bidi w:val="0"/>
        <w:adjustRightInd/>
        <w:snapToGrid/>
        <w:spacing w:line="540" w:lineRule="exact"/>
        <w:jc w:val="center"/>
        <w:textAlignment w:val="auto"/>
        <w:outlineLvl w:val="1"/>
        <w:rPr>
          <w:rFonts w:hint="default" w:ascii="Times New Roman" w:hAnsi="Times New Roman" w:eastAsia="楷体" w:cs="Times New Roman"/>
          <w:b/>
          <w:bCs/>
          <w:color w:val="auto"/>
          <w:kern w:val="2"/>
          <w:sz w:val="32"/>
          <w:szCs w:val="32"/>
          <w:lang w:val="en-US" w:eastAsia="zh-CN" w:bidi="ar-SA"/>
        </w:rPr>
      </w:pPr>
      <w:bookmarkStart w:id="8" w:name="_Toc7409"/>
      <w:bookmarkStart w:id="9" w:name="_Toc13830"/>
      <w:r>
        <w:rPr>
          <w:rFonts w:hint="default" w:ascii="Times New Roman" w:hAnsi="Times New Roman" w:eastAsia="楷体" w:cs="Times New Roman"/>
          <w:b/>
          <w:bCs/>
          <w:color w:val="auto"/>
          <w:kern w:val="2"/>
          <w:sz w:val="32"/>
          <w:szCs w:val="32"/>
          <w:lang w:val="en-US" w:eastAsia="zh-CN" w:bidi="ar-SA"/>
        </w:rPr>
        <w:t>1.1评价目的</w:t>
      </w:r>
      <w:bookmarkEnd w:id="8"/>
      <w:bookmarkEnd w:id="9"/>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rPr>
      </w:pPr>
      <w:r>
        <w:rPr>
          <w:rFonts w:hint="default" w:ascii="Times New Roman" w:hAnsi="Times New Roman" w:cs="Times New Roman"/>
          <w:color w:val="auto"/>
        </w:rPr>
        <w:t>该项目安全条件评价的目的主要有：</w:t>
      </w:r>
    </w:p>
    <w:p>
      <w:pPr>
        <w:keepNext w:val="0"/>
        <w:keepLines w:val="0"/>
        <w:pageBreakBefore w:val="0"/>
        <w:widowControl w:val="0"/>
        <w:kinsoku/>
        <w:wordWrap/>
        <w:overflowPunct/>
        <w:topLinePunct w:val="0"/>
        <w:autoSpaceDE/>
        <w:autoSpaceDN/>
        <w:bidi w:val="0"/>
        <w:adjustRightInd/>
        <w:snapToGrid/>
        <w:spacing w:line="600" w:lineRule="exact"/>
        <w:ind w:firstLine="552" w:firstLineChars="200"/>
        <w:textAlignment w:val="auto"/>
        <w:rPr>
          <w:rFonts w:hint="default" w:ascii="Times New Roman" w:hAnsi="Times New Roman" w:cs="Times New Roman"/>
          <w:color w:val="auto"/>
          <w:spacing w:val="-2"/>
        </w:rPr>
      </w:pPr>
      <w:r>
        <w:rPr>
          <w:rFonts w:hint="default" w:ascii="Times New Roman" w:hAnsi="Times New Roman" w:cs="Times New Roman"/>
          <w:color w:val="auto"/>
          <w:spacing w:val="-2"/>
        </w:rPr>
        <w:t>1．为贯彻“安全第一、预防为主、综合治理”的安全生产方针，确保建设工程项目中安全设施与主体工程同时设计、同时施工、同时投产使用，保证该项目建成后符合国家有关法规、标准和规定，该项目需进行安全条件评价。</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rPr>
      </w:pPr>
      <w:r>
        <w:rPr>
          <w:rFonts w:hint="default" w:ascii="Times New Roman" w:hAnsi="Times New Roman" w:cs="Times New Roman"/>
          <w:color w:val="auto"/>
        </w:rPr>
        <w:t>2．分析项目中存在的主要危险、有害因素及其产生危险、危害后果的主要条件；对该项目生产过程中潜在危险、有害因素进行定性、定量的评价和科学分析，对其控制手段进行评价，同时预测其风险等级并预测危险源火灾、爆炸或泄漏事故可能造成的事故后果。</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rPr>
      </w:pPr>
      <w:r>
        <w:rPr>
          <w:rFonts w:hint="default" w:ascii="Times New Roman" w:hAnsi="Times New Roman" w:cs="Times New Roman"/>
          <w:color w:val="auto"/>
        </w:rPr>
        <w:t>3．提出消除、预防或降低装置危险性的安全对策措施，为建设项目初步设计提供科学依据，以利于提高建设项目本质安全程度。</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rPr>
      </w:pPr>
      <w:r>
        <w:rPr>
          <w:rFonts w:hint="default" w:ascii="Times New Roman" w:hAnsi="Times New Roman" w:cs="Times New Roman"/>
          <w:color w:val="auto"/>
        </w:rPr>
        <w:t>4.为应急管理部门对建设项目进行安全审批提供依据。</w:t>
      </w:r>
    </w:p>
    <w:p>
      <w:pPr>
        <w:keepNext/>
        <w:pageBreakBefore w:val="0"/>
        <w:widowControl w:val="0"/>
        <w:kinsoku/>
        <w:wordWrap/>
        <w:overflowPunct/>
        <w:topLinePunct w:val="0"/>
        <w:autoSpaceDE/>
        <w:autoSpaceDN/>
        <w:bidi w:val="0"/>
        <w:adjustRightInd/>
        <w:snapToGrid/>
        <w:spacing w:line="540" w:lineRule="exact"/>
        <w:jc w:val="center"/>
        <w:textAlignment w:val="auto"/>
        <w:outlineLvl w:val="1"/>
        <w:rPr>
          <w:rFonts w:hint="default" w:ascii="Times New Roman" w:hAnsi="Times New Roman" w:eastAsia="楷体" w:cs="Times New Roman"/>
          <w:b/>
          <w:bCs/>
          <w:color w:val="auto"/>
          <w:kern w:val="2"/>
          <w:sz w:val="32"/>
          <w:szCs w:val="32"/>
          <w:lang w:val="en-US" w:eastAsia="zh-CN" w:bidi="ar-SA"/>
        </w:rPr>
      </w:pPr>
      <w:bookmarkStart w:id="10" w:name="_Toc19587"/>
      <w:bookmarkStart w:id="11" w:name="_Toc29949"/>
      <w:r>
        <w:rPr>
          <w:rFonts w:hint="default" w:ascii="Times New Roman" w:hAnsi="Times New Roman" w:eastAsia="楷体" w:cs="Times New Roman"/>
          <w:b/>
          <w:bCs/>
          <w:color w:val="auto"/>
          <w:kern w:val="2"/>
          <w:sz w:val="32"/>
          <w:szCs w:val="32"/>
          <w:lang w:val="en-US" w:eastAsia="zh-CN" w:bidi="ar-SA"/>
        </w:rPr>
        <w:t>1.2评价原则</w:t>
      </w:r>
      <w:bookmarkEnd w:id="10"/>
      <w:bookmarkEnd w:id="11"/>
    </w:p>
    <w:p>
      <w:pPr>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cs="Times New Roman"/>
          <w:color w:val="auto"/>
        </w:rPr>
      </w:pPr>
      <w:r>
        <w:rPr>
          <w:rFonts w:hint="default" w:ascii="Times New Roman" w:hAnsi="Times New Roman" w:cs="Times New Roman"/>
          <w:color w:val="auto"/>
        </w:rPr>
        <w:t>本报告按国家有关法律、法规和标准、规章、规范要求对该项目进行评价，遵循下列原则：</w:t>
      </w:r>
    </w:p>
    <w:p>
      <w:pPr>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cs="Times New Roman"/>
          <w:color w:val="auto"/>
        </w:rPr>
      </w:pPr>
      <w:r>
        <w:rPr>
          <w:rFonts w:hint="default" w:ascii="Times New Roman" w:hAnsi="Times New Roman" w:cs="Times New Roman"/>
          <w:color w:val="auto"/>
        </w:rPr>
        <w:t>1、认真贯彻国家现行安全生产法律、法规，严格执行国家标准与规范，力求评价的科学性与公正性。</w:t>
      </w:r>
    </w:p>
    <w:p>
      <w:pPr>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cs="Times New Roman"/>
          <w:color w:val="auto"/>
        </w:rPr>
      </w:pPr>
      <w:r>
        <w:rPr>
          <w:rFonts w:hint="default" w:ascii="Times New Roman" w:hAnsi="Times New Roman" w:cs="Times New Roman"/>
          <w:color w:val="auto"/>
        </w:rPr>
        <w:t>2、采用科学、适用的评价技术方法，力求使评价结果客观，符合拟建项目的生产实际。</w:t>
      </w:r>
    </w:p>
    <w:p>
      <w:pPr>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cs="Times New Roman"/>
          <w:color w:val="auto"/>
        </w:rPr>
      </w:pPr>
      <w:r>
        <w:rPr>
          <w:rFonts w:hint="default" w:ascii="Times New Roman" w:hAnsi="Times New Roman" w:cs="Times New Roman"/>
          <w:color w:val="auto"/>
        </w:rPr>
        <w:t>3、深入现场，深入实际，充分发挥评价人员和有关专家的专业技术优势，在全面分析危险、有害因素的基础上，提出较为有效的安全对策措施。</w:t>
      </w:r>
    </w:p>
    <w:p>
      <w:pPr>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cs="Times New Roman"/>
          <w:color w:val="auto"/>
        </w:rPr>
      </w:pPr>
      <w:r>
        <w:rPr>
          <w:rFonts w:hint="default" w:ascii="Times New Roman" w:hAnsi="Times New Roman" w:cs="Times New Roman"/>
          <w:color w:val="auto"/>
        </w:rPr>
        <w:t>4、诚信、负责，为企业服务。</w:t>
      </w:r>
    </w:p>
    <w:p>
      <w:pPr>
        <w:keepNext/>
        <w:pageBreakBefore w:val="0"/>
        <w:widowControl w:val="0"/>
        <w:kinsoku/>
        <w:wordWrap/>
        <w:overflowPunct/>
        <w:topLinePunct w:val="0"/>
        <w:autoSpaceDE/>
        <w:autoSpaceDN/>
        <w:bidi w:val="0"/>
        <w:adjustRightInd/>
        <w:snapToGrid/>
        <w:spacing w:line="540" w:lineRule="exact"/>
        <w:jc w:val="center"/>
        <w:textAlignment w:val="auto"/>
        <w:outlineLvl w:val="1"/>
        <w:rPr>
          <w:rFonts w:hint="default" w:ascii="Times New Roman" w:hAnsi="Times New Roman" w:eastAsia="楷体" w:cs="Times New Roman"/>
          <w:b/>
          <w:bCs/>
          <w:color w:val="auto"/>
          <w:kern w:val="2"/>
          <w:sz w:val="32"/>
          <w:szCs w:val="32"/>
          <w:lang w:val="en-US" w:eastAsia="zh-CN" w:bidi="ar-SA"/>
        </w:rPr>
      </w:pPr>
      <w:bookmarkStart w:id="12" w:name="_Toc10683"/>
      <w:bookmarkStart w:id="13" w:name="_Toc10932"/>
      <w:r>
        <w:rPr>
          <w:rFonts w:hint="default" w:ascii="Times New Roman" w:hAnsi="Times New Roman" w:eastAsia="楷体" w:cs="Times New Roman"/>
          <w:b/>
          <w:bCs/>
          <w:color w:val="auto"/>
          <w:kern w:val="2"/>
          <w:sz w:val="32"/>
          <w:szCs w:val="32"/>
          <w:lang w:val="en-US" w:eastAsia="zh-CN" w:bidi="ar-SA"/>
        </w:rPr>
        <w:t>1.3评价范围</w:t>
      </w:r>
      <w:bookmarkEnd w:id="12"/>
      <w:bookmarkEnd w:id="13"/>
    </w:p>
    <w:p>
      <w:pPr>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根据前期准备情况，确定了江西心连心化学工业有限公司</w:t>
      </w:r>
      <w:r>
        <w:rPr>
          <w:rFonts w:hint="default" w:ascii="Times New Roman" w:hAnsi="Times New Roman" w:cs="Times New Roman"/>
          <w:color w:val="auto"/>
          <w:lang w:eastAsia="zh-CN"/>
        </w:rPr>
        <w:t>年产15万吨转鼓氨化造粒复合肥项目</w:t>
      </w:r>
      <w:r>
        <w:rPr>
          <w:rFonts w:hint="default" w:ascii="Times New Roman" w:hAnsi="Times New Roman" w:cs="Times New Roman"/>
          <w:color w:val="auto"/>
        </w:rPr>
        <w:t>安全条件评价的评价对象和评价范围。</w:t>
      </w:r>
    </w:p>
    <w:p>
      <w:pPr>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rPr>
        <w:t>该项目的评价对象为江西心连心化学工业有限公司</w:t>
      </w:r>
      <w:r>
        <w:rPr>
          <w:rFonts w:hint="default" w:ascii="Times New Roman" w:hAnsi="Times New Roman" w:cs="Times New Roman"/>
          <w:color w:val="auto"/>
          <w:lang w:eastAsia="zh-CN"/>
        </w:rPr>
        <w:t>年产15万吨转鼓氨化造粒复合肥项目</w:t>
      </w:r>
      <w:r>
        <w:rPr>
          <w:rFonts w:hint="default" w:ascii="Times New Roman" w:hAnsi="Times New Roman" w:cs="Times New Roman"/>
          <w:color w:val="auto"/>
        </w:rPr>
        <w:t>涉及的生产规模、产品方案、工艺路线等。评价范围主要包括该项目的选址、总平面布置、周边环境、生产装置（</w:t>
      </w:r>
      <w:r>
        <w:rPr>
          <w:rFonts w:hint="default" w:ascii="Times New Roman" w:hAnsi="Times New Roman" w:cs="Times New Roman"/>
          <w:color w:val="auto"/>
          <w:lang w:eastAsia="zh-CN"/>
        </w:rPr>
        <w:t>新建</w:t>
      </w:r>
      <w:r>
        <w:rPr>
          <w:rFonts w:hint="eastAsia" w:cs="Times New Roman"/>
          <w:color w:val="auto"/>
          <w:lang w:eastAsia="zh-CN"/>
        </w:rPr>
        <w:t>年产</w:t>
      </w:r>
      <w:r>
        <w:rPr>
          <w:rFonts w:hint="eastAsia" w:cs="Times New Roman"/>
          <w:color w:val="auto"/>
          <w:lang w:val="en-US" w:eastAsia="zh-CN"/>
        </w:rPr>
        <w:t>15万吨</w:t>
      </w:r>
      <w:r>
        <w:rPr>
          <w:rFonts w:hint="eastAsia" w:cs="Times New Roman"/>
          <w:color w:val="auto"/>
          <w:lang w:eastAsia="zh-CN"/>
        </w:rPr>
        <w:t>转鼓氨化造粒复合肥装置</w:t>
      </w:r>
      <w:r>
        <w:rPr>
          <w:rFonts w:hint="default" w:ascii="Times New Roman" w:hAnsi="Times New Roman" w:cs="Times New Roman"/>
          <w:color w:val="auto"/>
          <w:lang w:eastAsia="zh-CN"/>
        </w:rPr>
        <w:t>）、</w:t>
      </w:r>
      <w:r>
        <w:rPr>
          <w:rFonts w:hint="default" w:ascii="Times New Roman" w:hAnsi="Times New Roman" w:cs="Times New Roman"/>
          <w:color w:val="auto"/>
        </w:rPr>
        <w:t>储</w:t>
      </w:r>
      <w:r>
        <w:rPr>
          <w:rFonts w:hint="eastAsia" w:cs="Times New Roman"/>
          <w:color w:val="auto"/>
          <w:lang w:eastAsia="zh-CN"/>
        </w:rPr>
        <w:t>运</w:t>
      </w:r>
      <w:r>
        <w:rPr>
          <w:rFonts w:hint="default" w:ascii="Times New Roman" w:hAnsi="Times New Roman" w:cs="Times New Roman"/>
          <w:color w:val="auto"/>
        </w:rPr>
        <w:t>（</w:t>
      </w:r>
      <w:r>
        <w:rPr>
          <w:rFonts w:hint="default" w:ascii="Times New Roman" w:hAnsi="Times New Roman" w:cs="Times New Roman"/>
          <w:color w:val="auto"/>
          <w:lang w:eastAsia="zh-CN"/>
        </w:rPr>
        <w:t>新建原料库</w:t>
      </w:r>
      <w:r>
        <w:rPr>
          <w:rFonts w:hint="eastAsia" w:cs="Times New Roman"/>
          <w:color w:val="auto"/>
          <w:lang w:eastAsia="zh-CN"/>
        </w:rPr>
        <w:t>；</w:t>
      </w:r>
      <w:r>
        <w:rPr>
          <w:rFonts w:hint="default" w:ascii="Times New Roman" w:hAnsi="Times New Roman" w:cs="Times New Roman"/>
          <w:color w:val="auto"/>
          <w:lang w:eastAsia="zh-CN"/>
        </w:rPr>
        <w:t>新建硫酸罐区，包含</w:t>
      </w:r>
      <w:r>
        <w:rPr>
          <w:rFonts w:hint="default" w:ascii="Times New Roman" w:hAnsi="Times New Roman" w:cs="Times New Roman"/>
          <w:color w:val="auto"/>
          <w:lang w:val="en-US" w:eastAsia="zh-CN"/>
        </w:rPr>
        <w:t>1台1000m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硫酸储罐；新建盐酸罐区，包含2台1000m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盐酸储罐</w:t>
      </w:r>
      <w:r>
        <w:rPr>
          <w:rFonts w:hint="eastAsia" w:cs="Times New Roman"/>
          <w:color w:val="auto"/>
          <w:lang w:val="en-US" w:eastAsia="zh-CN"/>
        </w:rPr>
        <w:t>；配套的装卸区；配套的液氨等物料管线</w:t>
      </w:r>
      <w:r>
        <w:rPr>
          <w:rFonts w:hint="default" w:ascii="Times New Roman" w:hAnsi="Times New Roman" w:cs="Times New Roman"/>
          <w:color w:val="auto"/>
          <w:lang w:eastAsia="zh-CN"/>
        </w:rPr>
        <w:t>）</w:t>
      </w:r>
      <w:r>
        <w:rPr>
          <w:rFonts w:hint="default" w:ascii="Times New Roman" w:hAnsi="Times New Roman" w:cs="Times New Roman"/>
          <w:color w:val="auto"/>
        </w:rPr>
        <w:t>、</w:t>
      </w:r>
      <w:r>
        <w:rPr>
          <w:rFonts w:hint="eastAsia" w:cs="Times New Roman"/>
          <w:color w:val="auto"/>
          <w:lang w:eastAsia="zh-CN"/>
        </w:rPr>
        <w:t>供配电、自控系统、</w:t>
      </w:r>
      <w:r>
        <w:rPr>
          <w:rFonts w:hint="default" w:ascii="Times New Roman" w:hAnsi="Times New Roman" w:cs="Times New Roman"/>
          <w:color w:val="auto"/>
        </w:rPr>
        <w:t>安全管理等。</w:t>
      </w:r>
    </w:p>
    <w:p>
      <w:pPr>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lang w:eastAsia="zh-CN"/>
        </w:rPr>
        <w:t>该项目依托的</w:t>
      </w:r>
      <w:r>
        <w:rPr>
          <w:rFonts w:hint="eastAsia" w:cs="Times New Roman"/>
          <w:color w:val="auto"/>
          <w:lang w:eastAsia="zh-CN"/>
        </w:rPr>
        <w:t>原有成品库一和成品库二、</w:t>
      </w:r>
      <w:r>
        <w:rPr>
          <w:rFonts w:hint="default" w:ascii="Times New Roman" w:hAnsi="Times New Roman" w:cs="Times New Roman"/>
          <w:color w:val="auto"/>
          <w:lang w:eastAsia="zh-CN"/>
        </w:rPr>
        <w:t>原有复合肥项目的空压系统、消防水系统；依托的原有九江心连心清洁生产综合利用项目的</w:t>
      </w:r>
      <w:r>
        <w:rPr>
          <w:rFonts w:hint="eastAsia" w:cs="Times New Roman"/>
          <w:color w:val="auto"/>
          <w:lang w:val="en-US" w:eastAsia="zh-CN"/>
        </w:rPr>
        <w:t>液氨</w:t>
      </w:r>
      <w:r>
        <w:rPr>
          <w:rFonts w:hint="default" w:ascii="Times New Roman" w:hAnsi="Times New Roman" w:cs="Times New Roman"/>
          <w:color w:val="auto"/>
          <w:lang w:eastAsia="zh-CN"/>
        </w:rPr>
        <w:t>供应</w:t>
      </w:r>
      <w:r>
        <w:rPr>
          <w:rFonts w:hint="eastAsia" w:cs="Times New Roman"/>
          <w:color w:val="auto"/>
          <w:lang w:eastAsia="zh-CN"/>
        </w:rPr>
        <w:t>系统</w:t>
      </w:r>
      <w:r>
        <w:rPr>
          <w:rFonts w:hint="default" w:ascii="Times New Roman" w:hAnsi="Times New Roman" w:cs="Times New Roman"/>
          <w:color w:val="auto"/>
          <w:lang w:eastAsia="zh-CN"/>
        </w:rPr>
        <w:t>和供排水</w:t>
      </w:r>
      <w:r>
        <w:rPr>
          <w:rFonts w:hint="eastAsia" w:cs="Times New Roman"/>
          <w:color w:val="auto"/>
          <w:lang w:eastAsia="zh-CN"/>
        </w:rPr>
        <w:t>系统</w:t>
      </w:r>
      <w:r>
        <w:rPr>
          <w:rFonts w:hint="default" w:ascii="Times New Roman" w:hAnsi="Times New Roman" w:cs="Times New Roman"/>
          <w:color w:val="auto"/>
          <w:lang w:eastAsia="zh-CN"/>
        </w:rPr>
        <w:t>（生产生活给水系统、脱盐水、循环水系统、消防水系统等）、</w:t>
      </w:r>
      <w:r>
        <w:rPr>
          <w:rFonts w:hint="eastAsia" w:cs="Times New Roman"/>
          <w:color w:val="auto"/>
          <w:lang w:eastAsia="zh-CN"/>
        </w:rPr>
        <w:t>蒸汽系统、</w:t>
      </w:r>
      <w:r>
        <w:rPr>
          <w:rFonts w:hint="default" w:ascii="Times New Roman" w:hAnsi="Times New Roman" w:cs="Times New Roman"/>
          <w:color w:val="auto"/>
          <w:lang w:eastAsia="zh-CN"/>
        </w:rPr>
        <w:t>生活办公设施等均在原有项目中考虑后期工程需求，本报告只进行其匹配性分析；该公司远期预留空地、场外运输、后期拟建的建构筑物不在评价范围内。职业危害及环境保护等应有相关资质单位进行评估或分析，不在评价范围内，本报告只进行相应的引用，不对其结果的正确性负责；评价依据主要采用现行的法律法规及相应的行业标准。</w:t>
      </w:r>
    </w:p>
    <w:p>
      <w:pPr>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本</w:t>
      </w:r>
      <w:r>
        <w:rPr>
          <w:rFonts w:hint="default" w:ascii="Times New Roman" w:hAnsi="Times New Roman" w:cs="Times New Roman"/>
          <w:color w:val="auto"/>
        </w:rPr>
        <w:t>评价针对评价范围内的项目选址、总平面布置及建筑根据相关法律、法规、标准、规范进行符合性检查，对设备、装置及涉及的存储设施所涉及的危险、有害因素进行分析辨识，评价其工艺及设备的可靠性，公用、辅助设施的满足程度，并依据相应法律、法规、标准、规范的要求提出对策措施建议。</w:t>
      </w:r>
    </w:p>
    <w:p>
      <w:pPr>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eastAsia="zh-CN"/>
        </w:rPr>
        <w:t>本</w:t>
      </w:r>
      <w:r>
        <w:rPr>
          <w:rFonts w:hint="default" w:ascii="Times New Roman" w:hAnsi="Times New Roman" w:cs="Times New Roman"/>
          <w:color w:val="auto"/>
          <w:lang w:val="zh-CN"/>
        </w:rPr>
        <w:t>报告是在</w:t>
      </w:r>
      <w:r>
        <w:rPr>
          <w:rFonts w:hint="default" w:ascii="Times New Roman" w:hAnsi="Times New Roman" w:cs="Times New Roman"/>
          <w:color w:val="auto"/>
          <w:lang w:eastAsia="zh-CN"/>
        </w:rPr>
        <w:t>江西心连心化学工业有限公司</w:t>
      </w:r>
      <w:r>
        <w:rPr>
          <w:rFonts w:hint="default" w:ascii="Times New Roman" w:hAnsi="Times New Roman" w:cs="Times New Roman"/>
          <w:color w:val="auto"/>
          <w:lang w:val="zh-CN"/>
        </w:rPr>
        <w:t>提供的资料基础上完成的，如提供的资料有虚假内容，并由此导致的经济和法律责任及其它后果均由委托方自行承担。如委托方在项目评价组出具报告后，如建设项目周边条件发生重大变化的，变更建设地址的，主要技术、工艺路线、产品方案或者装置规模发生重大变化的，造成系统的安全程度也随之发生变化，本报告将失去有效性</w:t>
      </w:r>
      <w:r>
        <w:rPr>
          <w:rFonts w:hint="eastAsia" w:cs="Times New Roman"/>
          <w:color w:val="auto"/>
          <w:lang w:val="zh-CN"/>
        </w:rPr>
        <w:t>。</w:t>
      </w:r>
    </w:p>
    <w:p>
      <w:pPr>
        <w:keepNext/>
        <w:keepLines w:val="0"/>
        <w:pageBreakBefore w:val="0"/>
        <w:widowControl w:val="0"/>
        <w:kinsoku/>
        <w:wordWrap/>
        <w:overflowPunct/>
        <w:topLinePunct w:val="0"/>
        <w:autoSpaceDE/>
        <w:autoSpaceDN/>
        <w:bidi w:val="0"/>
        <w:adjustRightInd/>
        <w:snapToGrid/>
        <w:spacing w:line="580" w:lineRule="exact"/>
        <w:jc w:val="center"/>
        <w:textAlignment w:val="auto"/>
        <w:outlineLvl w:val="1"/>
        <w:rPr>
          <w:rFonts w:hint="default" w:ascii="Times New Roman" w:hAnsi="Times New Roman" w:eastAsia="楷体" w:cs="Times New Roman"/>
          <w:b/>
          <w:bCs/>
          <w:color w:val="auto"/>
          <w:kern w:val="2"/>
          <w:sz w:val="32"/>
          <w:szCs w:val="32"/>
          <w:lang w:val="en-US" w:eastAsia="zh-CN" w:bidi="ar-SA"/>
        </w:rPr>
      </w:pPr>
      <w:bookmarkStart w:id="14" w:name="_Toc20344"/>
      <w:bookmarkStart w:id="15" w:name="_Toc7334"/>
      <w:r>
        <w:rPr>
          <w:rFonts w:hint="default" w:ascii="Times New Roman" w:hAnsi="Times New Roman" w:eastAsia="楷体" w:cs="Times New Roman"/>
          <w:b/>
          <w:bCs/>
          <w:color w:val="auto"/>
          <w:kern w:val="2"/>
          <w:sz w:val="32"/>
          <w:szCs w:val="32"/>
          <w:lang w:val="en-US" w:eastAsia="zh-CN" w:bidi="ar-SA"/>
        </w:rPr>
        <w:t>1.4评价程序</w:t>
      </w:r>
      <w:bookmarkEnd w:id="14"/>
      <w:bookmarkEnd w:id="15"/>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color w:val="auto"/>
        </w:rPr>
      </w:pPr>
      <w:r>
        <w:rPr>
          <w:rFonts w:hint="default" w:ascii="Times New Roman" w:hAnsi="Times New Roman" w:cs="Times New Roman"/>
          <w:color w:val="auto"/>
        </w:rPr>
        <w:t>安全条件评价报告程序一般包括：准备阶段；危险、有害因素识别与分析；确定安全条件评价报告单元；选择安全评价方法；定性、定量评价；安全对策措施及建议；安全评价结果；编制安全评价报告。</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color w:val="auto"/>
        </w:rPr>
      </w:pPr>
      <w:r>
        <w:rPr>
          <w:rFonts w:hint="default" w:ascii="Times New Roman" w:hAnsi="Times New Roman" w:cs="Times New Roman"/>
          <w:color w:val="auto"/>
        </w:rPr>
        <w:t>该项目安全评价工作大体的程序如下：</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color w:val="auto"/>
        </w:rPr>
      </w:pPr>
      <w:r>
        <w:rPr>
          <w:rFonts w:hint="default" w:ascii="Times New Roman" w:hAnsi="Times New Roman" w:cs="Times New Roman"/>
          <w:color w:val="auto"/>
        </w:rPr>
        <w:t>安全条件评价报告工作大体可分为三个阶段：第一阶段为准备阶段，主要收集有关资料，进行初步的项目分析和危险、有害因素识别，选择评价方法；第二阶段为实施评价阶段，运用适合的评价方法对建设项目的危险、有害因素进行定性或定量分析，预测其发生的可能性、危险程度和事故后果。提出安全对策措施及建议，与设计及投资方进行交流等；第三阶段为报告的编制阶段，主要是汇总第一、第二阶段所得到的各种资料、数据，综合分析，提出评价结果与建议，完成安全评价报告的编制。具体过程如图1.4-1。</w:t>
      </w:r>
    </w:p>
    <w:p>
      <w:pPr>
        <w:rPr>
          <w:rFonts w:hint="default" w:ascii="Times New Roman" w:hAnsi="Times New Roman" w:cs="Times New Roman"/>
          <w:color w:val="auto"/>
        </w:rPr>
      </w:pPr>
      <w:r>
        <w:rPr>
          <w:rFonts w:hint="default" w:ascii="Times New Roman" w:hAnsi="Times New Roman" w:cs="Times New Roman"/>
          <w:color w:val="auto"/>
        </w:rPr>
        <w:br w:type="page"/>
      </w:r>
    </w:p>
    <w:p>
      <w:pPr>
        <w:pStyle w:val="7"/>
        <w:rPr>
          <w:rFonts w:hint="default" w:ascii="Times New Roman" w:hAnsi="Times New Roman" w:cs="Times New Roman"/>
          <w:color w:val="auto"/>
        </w:rPr>
      </w:pPr>
    </w:p>
    <w:tbl>
      <w:tblPr>
        <w:tblStyle w:val="19"/>
        <w:tblpPr w:leftFromText="180" w:rightFromText="180" w:vertAnchor="text" w:horzAnchor="margin" w:tblpXSpec="center" w:tblpY="266"/>
        <w:tblW w:w="4280" w:type="dxa"/>
        <w:tblInd w:w="0" w:type="dxa"/>
        <w:tblLayout w:type="fixed"/>
        <w:tblCellMar>
          <w:top w:w="0" w:type="dxa"/>
          <w:left w:w="108" w:type="dxa"/>
          <w:bottom w:w="0" w:type="dxa"/>
          <w:right w:w="108" w:type="dxa"/>
        </w:tblCellMar>
      </w:tblPr>
      <w:tblGrid>
        <w:gridCol w:w="4280"/>
      </w:tblGrid>
      <w:tr>
        <w:tblPrEx>
          <w:tblCellMar>
            <w:top w:w="0" w:type="dxa"/>
            <w:left w:w="108" w:type="dxa"/>
            <w:bottom w:w="0" w:type="dxa"/>
            <w:right w:w="108" w:type="dxa"/>
          </w:tblCellMar>
        </w:tblPrEx>
        <w:trPr>
          <w:trHeight w:val="342" w:hRule="atLeast"/>
        </w:trPr>
        <w:tc>
          <w:tcPr>
            <w:tcW w:w="42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前期准备</w:t>
            </w:r>
          </w:p>
        </w:tc>
      </w:tr>
      <w:tr>
        <w:tblPrEx>
          <w:tblCellMar>
            <w:top w:w="0" w:type="dxa"/>
            <w:left w:w="108" w:type="dxa"/>
            <w:bottom w:w="0" w:type="dxa"/>
            <w:right w:w="108" w:type="dxa"/>
          </w:tblCellMar>
        </w:tblPrEx>
        <w:trPr>
          <w:trHeight w:val="342" w:hRule="atLeast"/>
        </w:trPr>
        <w:tc>
          <w:tcPr>
            <w:tcW w:w="4280" w:type="dxa"/>
            <w:tcBorders>
              <w:top w:val="single" w:color="auto" w:sz="4" w:space="0"/>
              <w:left w:val="nil"/>
              <w:bottom w:val="single" w:color="auto" w:sz="4" w:space="0"/>
              <w:right w:val="nil"/>
            </w:tcBorders>
            <w:vAlign w:val="center"/>
          </w:tcPr>
          <w:p>
            <w:pPr>
              <w:spacing w:line="240" w:lineRule="auto"/>
              <w:ind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CellMar>
            <w:top w:w="0" w:type="dxa"/>
            <w:left w:w="108" w:type="dxa"/>
            <w:bottom w:w="0" w:type="dxa"/>
            <w:right w:w="108" w:type="dxa"/>
          </w:tblCellMar>
        </w:tblPrEx>
        <w:trPr>
          <w:trHeight w:val="342" w:hRule="atLeast"/>
        </w:trPr>
        <w:tc>
          <w:tcPr>
            <w:tcW w:w="42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辩识与分析危险、有害因素</w:t>
            </w:r>
          </w:p>
        </w:tc>
      </w:tr>
      <w:tr>
        <w:tblPrEx>
          <w:tblCellMar>
            <w:top w:w="0" w:type="dxa"/>
            <w:left w:w="108" w:type="dxa"/>
            <w:bottom w:w="0" w:type="dxa"/>
            <w:right w:w="108" w:type="dxa"/>
          </w:tblCellMar>
        </w:tblPrEx>
        <w:trPr>
          <w:trHeight w:val="342" w:hRule="atLeast"/>
        </w:trPr>
        <w:tc>
          <w:tcPr>
            <w:tcW w:w="4280" w:type="dxa"/>
            <w:tcBorders>
              <w:top w:val="single" w:color="auto" w:sz="4" w:space="0"/>
              <w:left w:val="nil"/>
              <w:bottom w:val="single" w:color="auto" w:sz="4" w:space="0"/>
              <w:right w:val="nil"/>
            </w:tcBorders>
            <w:vAlign w:val="center"/>
          </w:tcPr>
          <w:p>
            <w:pPr>
              <w:spacing w:line="240" w:lineRule="auto"/>
              <w:ind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CellMar>
            <w:top w:w="0" w:type="dxa"/>
            <w:left w:w="108" w:type="dxa"/>
            <w:bottom w:w="0" w:type="dxa"/>
            <w:right w:w="108" w:type="dxa"/>
          </w:tblCellMar>
        </w:tblPrEx>
        <w:trPr>
          <w:trHeight w:val="342" w:hRule="atLeast"/>
        </w:trPr>
        <w:tc>
          <w:tcPr>
            <w:tcW w:w="42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划分评价单元</w:t>
            </w:r>
          </w:p>
        </w:tc>
      </w:tr>
      <w:tr>
        <w:tblPrEx>
          <w:tblCellMar>
            <w:top w:w="0" w:type="dxa"/>
            <w:left w:w="108" w:type="dxa"/>
            <w:bottom w:w="0" w:type="dxa"/>
            <w:right w:w="108" w:type="dxa"/>
          </w:tblCellMar>
        </w:tblPrEx>
        <w:trPr>
          <w:trHeight w:val="342" w:hRule="atLeast"/>
        </w:trPr>
        <w:tc>
          <w:tcPr>
            <w:tcW w:w="4280" w:type="dxa"/>
            <w:tcBorders>
              <w:top w:val="single" w:color="auto" w:sz="4" w:space="0"/>
              <w:left w:val="nil"/>
              <w:bottom w:val="single" w:color="auto" w:sz="4" w:space="0"/>
              <w:right w:val="nil"/>
            </w:tcBorders>
            <w:vAlign w:val="center"/>
          </w:tcPr>
          <w:p>
            <w:pPr>
              <w:spacing w:line="240" w:lineRule="auto"/>
              <w:ind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CellMar>
            <w:top w:w="0" w:type="dxa"/>
            <w:left w:w="108" w:type="dxa"/>
            <w:bottom w:w="0" w:type="dxa"/>
            <w:right w:w="108" w:type="dxa"/>
          </w:tblCellMar>
        </w:tblPrEx>
        <w:trPr>
          <w:trHeight w:val="342" w:hRule="atLeast"/>
        </w:trPr>
        <w:tc>
          <w:tcPr>
            <w:tcW w:w="42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选择评价方法</w:t>
            </w:r>
          </w:p>
        </w:tc>
      </w:tr>
      <w:tr>
        <w:tblPrEx>
          <w:tblCellMar>
            <w:top w:w="0" w:type="dxa"/>
            <w:left w:w="108" w:type="dxa"/>
            <w:bottom w:w="0" w:type="dxa"/>
            <w:right w:w="108" w:type="dxa"/>
          </w:tblCellMar>
        </w:tblPrEx>
        <w:trPr>
          <w:trHeight w:val="342" w:hRule="atLeast"/>
        </w:trPr>
        <w:tc>
          <w:tcPr>
            <w:tcW w:w="4280" w:type="dxa"/>
            <w:tcBorders>
              <w:top w:val="single" w:color="auto" w:sz="4" w:space="0"/>
              <w:left w:val="nil"/>
              <w:bottom w:val="single" w:color="auto" w:sz="4" w:space="0"/>
              <w:right w:val="nil"/>
            </w:tcBorders>
            <w:vAlign w:val="center"/>
          </w:tcPr>
          <w:p>
            <w:pPr>
              <w:spacing w:line="240" w:lineRule="auto"/>
              <w:ind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CellMar>
            <w:top w:w="0" w:type="dxa"/>
            <w:left w:w="108" w:type="dxa"/>
            <w:bottom w:w="0" w:type="dxa"/>
            <w:right w:w="108" w:type="dxa"/>
          </w:tblCellMar>
        </w:tblPrEx>
        <w:trPr>
          <w:trHeight w:val="342" w:hRule="atLeast"/>
        </w:trPr>
        <w:tc>
          <w:tcPr>
            <w:tcW w:w="42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定性、定量评价</w:t>
            </w:r>
          </w:p>
        </w:tc>
      </w:tr>
      <w:tr>
        <w:tblPrEx>
          <w:tblCellMar>
            <w:top w:w="0" w:type="dxa"/>
            <w:left w:w="108" w:type="dxa"/>
            <w:bottom w:w="0" w:type="dxa"/>
            <w:right w:w="108" w:type="dxa"/>
          </w:tblCellMar>
        </w:tblPrEx>
        <w:trPr>
          <w:trHeight w:val="342" w:hRule="atLeast"/>
        </w:trPr>
        <w:tc>
          <w:tcPr>
            <w:tcW w:w="4280" w:type="dxa"/>
            <w:tcBorders>
              <w:top w:val="single" w:color="auto" w:sz="4" w:space="0"/>
              <w:left w:val="nil"/>
              <w:bottom w:val="single" w:color="auto" w:sz="4" w:space="0"/>
              <w:right w:val="nil"/>
            </w:tcBorders>
            <w:vAlign w:val="center"/>
          </w:tcPr>
          <w:p>
            <w:pPr>
              <w:spacing w:line="240" w:lineRule="auto"/>
              <w:ind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CellMar>
            <w:top w:w="0" w:type="dxa"/>
            <w:left w:w="108" w:type="dxa"/>
            <w:bottom w:w="0" w:type="dxa"/>
            <w:right w:w="108" w:type="dxa"/>
          </w:tblCellMar>
        </w:tblPrEx>
        <w:trPr>
          <w:trHeight w:val="342" w:hRule="atLeast"/>
        </w:trPr>
        <w:tc>
          <w:tcPr>
            <w:tcW w:w="42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提出安全对策措施建议</w:t>
            </w:r>
          </w:p>
        </w:tc>
      </w:tr>
      <w:tr>
        <w:tblPrEx>
          <w:tblCellMar>
            <w:top w:w="0" w:type="dxa"/>
            <w:left w:w="108" w:type="dxa"/>
            <w:bottom w:w="0" w:type="dxa"/>
            <w:right w:w="108" w:type="dxa"/>
          </w:tblCellMar>
        </w:tblPrEx>
        <w:trPr>
          <w:trHeight w:val="342" w:hRule="atLeast"/>
        </w:trPr>
        <w:tc>
          <w:tcPr>
            <w:tcW w:w="4280" w:type="dxa"/>
            <w:tcBorders>
              <w:top w:val="single" w:color="auto" w:sz="4" w:space="0"/>
              <w:left w:val="nil"/>
              <w:bottom w:val="single" w:color="auto" w:sz="4" w:space="0"/>
              <w:right w:val="nil"/>
            </w:tcBorders>
            <w:vAlign w:val="center"/>
          </w:tcPr>
          <w:p>
            <w:pPr>
              <w:spacing w:line="240" w:lineRule="auto"/>
              <w:ind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CellMar>
            <w:top w:w="0" w:type="dxa"/>
            <w:left w:w="108" w:type="dxa"/>
            <w:bottom w:w="0" w:type="dxa"/>
            <w:right w:w="108" w:type="dxa"/>
          </w:tblCellMar>
        </w:tblPrEx>
        <w:trPr>
          <w:trHeight w:val="342" w:hRule="atLeast"/>
        </w:trPr>
        <w:tc>
          <w:tcPr>
            <w:tcW w:w="42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做出评价结论</w:t>
            </w:r>
          </w:p>
        </w:tc>
      </w:tr>
      <w:tr>
        <w:tblPrEx>
          <w:tblCellMar>
            <w:top w:w="0" w:type="dxa"/>
            <w:left w:w="108" w:type="dxa"/>
            <w:bottom w:w="0" w:type="dxa"/>
            <w:right w:w="108" w:type="dxa"/>
          </w:tblCellMar>
        </w:tblPrEx>
        <w:trPr>
          <w:trHeight w:val="342" w:hRule="atLeast"/>
        </w:trPr>
        <w:tc>
          <w:tcPr>
            <w:tcW w:w="4280" w:type="dxa"/>
            <w:tcBorders>
              <w:top w:val="single" w:color="auto" w:sz="4" w:space="0"/>
              <w:left w:val="nil"/>
              <w:bottom w:val="single" w:color="auto" w:sz="4" w:space="0"/>
              <w:right w:val="nil"/>
            </w:tcBorders>
            <w:vAlign w:val="center"/>
          </w:tcPr>
          <w:p>
            <w:pPr>
              <w:spacing w:line="240" w:lineRule="auto"/>
              <w:ind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CellMar>
            <w:top w:w="0" w:type="dxa"/>
            <w:left w:w="108" w:type="dxa"/>
            <w:bottom w:w="0" w:type="dxa"/>
            <w:right w:w="108" w:type="dxa"/>
          </w:tblCellMar>
        </w:tblPrEx>
        <w:trPr>
          <w:trHeight w:val="351" w:hRule="atLeast"/>
        </w:trPr>
        <w:tc>
          <w:tcPr>
            <w:tcW w:w="42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编制安全评价报告</w:t>
            </w:r>
          </w:p>
        </w:tc>
      </w:tr>
    </w:tbl>
    <w:p>
      <w:pPr>
        <w:ind w:firstLine="560" w:firstLineChars="200"/>
        <w:rPr>
          <w:rFonts w:hint="default" w:ascii="Times New Roman" w:hAnsi="Times New Roman" w:cs="Times New Roman"/>
          <w:color w:val="auto"/>
        </w:rPr>
      </w:pPr>
    </w:p>
    <w:p>
      <w:pPr>
        <w:ind w:firstLine="560" w:firstLineChars="200"/>
        <w:rPr>
          <w:rFonts w:hint="default" w:ascii="Times New Roman" w:hAnsi="Times New Roman" w:cs="Times New Roman"/>
          <w:color w:val="auto"/>
        </w:rPr>
      </w:pPr>
    </w:p>
    <w:p>
      <w:pPr>
        <w:ind w:firstLine="560" w:firstLineChars="200"/>
        <w:jc w:val="center"/>
        <w:rPr>
          <w:rFonts w:hint="default" w:ascii="Times New Roman" w:hAnsi="Times New Roman" w:cs="Times New Roman"/>
          <w:color w:val="auto"/>
        </w:rPr>
      </w:pPr>
    </w:p>
    <w:p>
      <w:pPr>
        <w:ind w:firstLine="560" w:firstLineChars="200"/>
        <w:jc w:val="center"/>
        <w:rPr>
          <w:rFonts w:hint="default" w:ascii="Times New Roman" w:hAnsi="Times New Roman" w:cs="Times New Roman"/>
          <w:color w:val="auto"/>
        </w:rPr>
      </w:pPr>
    </w:p>
    <w:p>
      <w:pPr>
        <w:pStyle w:val="7"/>
        <w:rPr>
          <w:rFonts w:hint="default" w:ascii="Times New Roman" w:hAnsi="Times New Roman" w:cs="Times New Roman"/>
          <w:color w:val="auto"/>
        </w:rPr>
      </w:pPr>
    </w:p>
    <w:p>
      <w:pPr>
        <w:pStyle w:val="7"/>
        <w:rPr>
          <w:rFonts w:hint="default" w:ascii="Times New Roman" w:hAnsi="Times New Roman" w:cs="Times New Roman"/>
          <w:color w:val="auto"/>
        </w:rPr>
      </w:pPr>
    </w:p>
    <w:p>
      <w:pPr>
        <w:pStyle w:val="7"/>
        <w:rPr>
          <w:rFonts w:hint="default" w:ascii="Times New Roman" w:hAnsi="Times New Roman" w:cs="Times New Roman"/>
          <w:color w:val="auto"/>
        </w:rPr>
      </w:pPr>
    </w:p>
    <w:p>
      <w:pPr>
        <w:pStyle w:val="7"/>
        <w:rPr>
          <w:rFonts w:hint="default" w:ascii="Times New Roman" w:hAnsi="Times New Roman" w:cs="Times New Roman"/>
          <w:color w:val="auto"/>
        </w:rPr>
      </w:pPr>
    </w:p>
    <w:p>
      <w:pPr>
        <w:pStyle w:val="7"/>
        <w:rPr>
          <w:rFonts w:hint="default" w:ascii="Times New Roman" w:hAnsi="Times New Roman" w:cs="Times New Roman"/>
          <w:color w:val="auto"/>
        </w:rPr>
      </w:pPr>
    </w:p>
    <w:p>
      <w:pPr>
        <w:pStyle w:val="7"/>
        <w:rPr>
          <w:rFonts w:hint="default" w:ascii="Times New Roman" w:hAnsi="Times New Roman" w:cs="Times New Roman"/>
          <w:color w:val="auto"/>
        </w:rPr>
      </w:pPr>
    </w:p>
    <w:p>
      <w:pPr>
        <w:ind w:firstLine="560" w:firstLineChars="200"/>
        <w:jc w:val="center"/>
        <w:rPr>
          <w:rFonts w:hint="default" w:ascii="Times New Roman" w:hAnsi="Times New Roman" w:cs="Times New Roman"/>
          <w:color w:val="auto"/>
        </w:rPr>
      </w:pPr>
      <w:r>
        <w:rPr>
          <w:rFonts w:hint="default" w:ascii="Times New Roman" w:hAnsi="Times New Roman" w:cs="Times New Roman"/>
          <w:color w:val="auto"/>
        </w:rPr>
        <w:t>图1.4-1安全评价工作程序框图</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3"/>
        <w:bidi w:val="0"/>
        <w:jc w:val="center"/>
        <w:rPr>
          <w:rFonts w:hint="default" w:ascii="Times New Roman" w:hAnsi="Times New Roman" w:cs="Times New Roman"/>
          <w:color w:val="auto"/>
          <w:lang w:val="en-US" w:eastAsia="zh-CN"/>
        </w:rPr>
      </w:pPr>
      <w:bookmarkStart w:id="16" w:name="_Toc3263"/>
      <w:bookmarkStart w:id="17" w:name="_Toc23698"/>
      <w:bookmarkStart w:id="18" w:name="_Toc29418"/>
      <w:r>
        <w:rPr>
          <w:rFonts w:hint="default" w:ascii="Times New Roman" w:hAnsi="Times New Roman" w:cs="Times New Roman"/>
          <w:color w:val="auto"/>
          <w:lang w:val="en-US" w:eastAsia="zh-CN"/>
        </w:rPr>
        <w:t>2建设项目概况</w:t>
      </w:r>
      <w:bookmarkEnd w:id="16"/>
      <w:bookmarkEnd w:id="17"/>
      <w:bookmarkEnd w:id="18"/>
    </w:p>
    <w:p>
      <w:pPr>
        <w:pStyle w:val="4"/>
        <w:bidi w:val="0"/>
        <w:rPr>
          <w:rFonts w:hint="default" w:ascii="Times New Roman" w:hAnsi="Times New Roman" w:cs="Times New Roman"/>
          <w:color w:val="auto"/>
          <w:lang w:val="en-US" w:eastAsia="zh-CN"/>
        </w:rPr>
      </w:pPr>
      <w:bookmarkStart w:id="19" w:name="_Toc22238"/>
      <w:bookmarkStart w:id="20" w:name="_Toc11546"/>
      <w:bookmarkStart w:id="21" w:name="_Toc3823"/>
      <w:r>
        <w:rPr>
          <w:rFonts w:hint="default" w:ascii="Times New Roman" w:hAnsi="Times New Roman" w:cs="Times New Roman"/>
          <w:color w:val="auto"/>
          <w:lang w:val="en-US" w:eastAsia="zh-CN"/>
        </w:rPr>
        <w:t>2.1建设项目简介及项目由来</w:t>
      </w:r>
      <w:bookmarkEnd w:id="19"/>
      <w:bookmarkEnd w:id="20"/>
      <w:bookmarkEnd w:id="21"/>
    </w:p>
    <w:p>
      <w:pPr>
        <w:ind w:firstLine="56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1、建设单位简介</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 xml:space="preserve">名称：江西心连心化学工业有限公司 </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 xml:space="preserve">类型：有限责任公司 </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 xml:space="preserve">法定代表人：尚德伟 </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 xml:space="preserve">注册资本：贰拾柒亿元整 </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 xml:space="preserve">成立日期：2016年9月11日 </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厂址：江西省九江市彭泽县矶山工业园区（经认定的化工园区）</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经营范围：尿素、复合肥料、复混肥料、缓释肥料、控释肥料、三聚氰胺、滴灌肥、掺混肥料、水溶性肥料、水溶肥料、复合微生物肥料、生物有机肥、农用微生物菌剂、有机肥料、有机-无机复混肥料、土壤调理剂、叶面肥、化工产品（不含危险化学品和易制毒化学品）的生产与销售。磷酸一铵、磷酸二铵、氯化钾、氯化铵、硫酸钾、硫酸铵的委托加工和销售以及进口肥料的代理与销售；货物与技术的进出口业务；增量配电业务；危险化学品生产（凭有效许可证经营至2024年8月23日）；危险化学品经营（凭有效许可证经营至2023年9月1日）。一般项目：专用化学产品制造（不含危险化学品），专用化学产品销售（不含危险化学品）。</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企业概况：江西心连心化学工业有限公司原名为九江心连心化肥有限公司，2021年12月17日经彭泽县市场监督管理局变更。是河南心连心化学工业集团股份有限公司的全资子公司。其投资方河南心连心化学工业集团股份有限公司是2003年8月在原河南新乡化肥总厂基础上改制成的股份制民营企业。公司下辖河南神州重型封头有限公司、新乡市玉源化工有限公司、河南心连心化工设备有限公司、新乡市心连心吊装有限公司、新乡市气体有限公司、心连心宾馆6个子公司。构建了以化肥生产为主、相关经营为辅的企业集团架构。公司占地面积60多万平方米，拥有员工2600多名，各类中高级专业技术人员500余人。总资产19亿元。</w:t>
      </w:r>
    </w:p>
    <w:p>
      <w:pPr>
        <w:keepNext w:val="0"/>
        <w:keepLines w:val="0"/>
        <w:widowControl/>
        <w:suppressLineNumbers w:val="0"/>
        <w:ind w:firstLine="560" w:firstLineChars="200"/>
        <w:jc w:val="left"/>
        <w:rPr>
          <w:rFonts w:hint="eastAsia" w:cs="Times New Roman"/>
          <w:color w:val="auto"/>
          <w:lang w:eastAsia="zh-CN"/>
        </w:rPr>
      </w:pPr>
      <w:r>
        <w:rPr>
          <w:rFonts w:hint="default" w:ascii="Times New Roman" w:hAnsi="Times New Roman" w:eastAsia="宋体" w:cs="Times New Roman"/>
          <w:color w:val="auto"/>
          <w:kern w:val="0"/>
          <w:sz w:val="28"/>
          <w:szCs w:val="28"/>
          <w:lang w:val="en-US" w:eastAsia="zh-CN" w:bidi="ar"/>
        </w:rPr>
        <w:t>江西心连心化学工业有限公司</w:t>
      </w:r>
      <w:r>
        <w:rPr>
          <w:rFonts w:hint="eastAsia" w:cs="Times New Roman"/>
          <w:color w:val="auto"/>
          <w:kern w:val="0"/>
          <w:sz w:val="28"/>
          <w:szCs w:val="28"/>
          <w:lang w:val="en-US" w:eastAsia="zh-CN" w:bidi="ar"/>
        </w:rPr>
        <w:t>的厂区</w:t>
      </w:r>
      <w:r>
        <w:rPr>
          <w:rFonts w:hint="default" w:ascii="Times New Roman" w:hAnsi="Times New Roman" w:cs="Times New Roman"/>
          <w:color w:val="auto"/>
        </w:rPr>
        <w:t>目前</w:t>
      </w:r>
      <w:r>
        <w:rPr>
          <w:rFonts w:hint="eastAsia" w:cs="Times New Roman"/>
          <w:color w:val="auto"/>
          <w:lang w:eastAsia="zh-CN"/>
        </w:rPr>
        <w:t>以该项目西侧的用地红线为界，分为老厂区和新厂区（复合肥基地）。老厂区与新厂区之间隔有一座山地，两厂之间的山地建设有约</w:t>
      </w:r>
      <w:r>
        <w:rPr>
          <w:rFonts w:hint="eastAsia" w:cs="Times New Roman"/>
          <w:color w:val="auto"/>
          <w:lang w:val="en-US" w:eastAsia="zh-CN"/>
        </w:rPr>
        <w:t>200m的隧道铺设管线，两厂区之间</w:t>
      </w:r>
      <w:r>
        <w:rPr>
          <w:rFonts w:hint="eastAsia" w:cs="Times New Roman"/>
          <w:color w:val="auto"/>
          <w:lang w:eastAsia="zh-CN"/>
        </w:rPr>
        <w:t>间距约</w:t>
      </w:r>
      <w:r>
        <w:rPr>
          <w:rFonts w:hint="eastAsia" w:cs="Times New Roman"/>
          <w:color w:val="auto"/>
          <w:lang w:val="en-US" w:eastAsia="zh-CN"/>
        </w:rPr>
        <w:t>900m。</w:t>
      </w:r>
      <w:r>
        <w:rPr>
          <w:rFonts w:hint="eastAsia" w:cs="Times New Roman"/>
          <w:color w:val="auto"/>
          <w:lang w:eastAsia="zh-CN"/>
        </w:rPr>
        <w:t>该项目主要介绍与项目相关的生产装置情况。</w:t>
      </w:r>
    </w:p>
    <w:p>
      <w:pPr>
        <w:keepNext w:val="0"/>
        <w:keepLines w:val="0"/>
        <w:widowControl/>
        <w:suppressLineNumbers w:val="0"/>
        <w:ind w:firstLine="560" w:firstLineChars="200"/>
        <w:jc w:val="left"/>
        <w:rPr>
          <w:rFonts w:hint="default" w:cs="Times New Roman"/>
          <w:color w:val="auto"/>
          <w:lang w:val="en-US" w:eastAsia="zh-CN"/>
        </w:rPr>
      </w:pPr>
      <w:r>
        <w:rPr>
          <w:rFonts w:hint="eastAsia" w:cs="Times New Roman"/>
          <w:color w:val="auto"/>
          <w:lang w:eastAsia="zh-CN"/>
        </w:rPr>
        <w:t>老厂区建设有年产</w:t>
      </w:r>
      <w:r>
        <w:rPr>
          <w:rFonts w:hint="eastAsia" w:cs="Times New Roman"/>
          <w:color w:val="auto"/>
          <w:lang w:val="en-US" w:eastAsia="zh-CN"/>
        </w:rPr>
        <w:t>60万吨合成氨、52万吨尿素、40万吨二甲醚（一期20万吨二甲醚）等项目。“年产60万吨合成氨、52万吨尿素、40万吨二甲醚（一期20万吨二甲醚）项目”于2021年6月23日通过安全设施竣工验收评审。</w:t>
      </w:r>
    </w:p>
    <w:p>
      <w:pPr>
        <w:keepNext w:val="0"/>
        <w:keepLines w:val="0"/>
        <w:widowControl/>
        <w:suppressLineNumbers w:val="0"/>
        <w:ind w:firstLine="560" w:firstLineChars="200"/>
        <w:jc w:val="left"/>
        <w:rPr>
          <w:rFonts w:hint="default" w:ascii="Times New Roman" w:hAnsi="Times New Roman" w:eastAsia="宋体" w:cs="Times New Roman"/>
          <w:color w:val="auto"/>
          <w:lang w:val="en-US" w:eastAsia="zh-CN"/>
        </w:rPr>
      </w:pPr>
      <w:r>
        <w:rPr>
          <w:rFonts w:hint="eastAsia" w:cs="Times New Roman"/>
          <w:color w:val="auto"/>
          <w:lang w:eastAsia="zh-CN"/>
        </w:rPr>
        <w:t>新厂区</w:t>
      </w:r>
      <w:r>
        <w:rPr>
          <w:rFonts w:hint="default" w:ascii="Times New Roman" w:hAnsi="Times New Roman" w:cs="Times New Roman"/>
          <w:color w:val="auto"/>
        </w:rPr>
        <w:t>已在</w:t>
      </w:r>
      <w:r>
        <w:rPr>
          <w:rFonts w:hint="default" w:ascii="Times New Roman" w:hAnsi="Times New Roman" w:eastAsia="宋体" w:cs="Times New Roman"/>
          <w:color w:val="auto"/>
          <w:kern w:val="0"/>
          <w:sz w:val="28"/>
          <w:szCs w:val="28"/>
          <w:lang w:val="en-US" w:eastAsia="zh-CN" w:bidi="ar"/>
        </w:rPr>
        <w:t>江西省九江市彭泽县矶山工业园区</w:t>
      </w:r>
      <w:r>
        <w:rPr>
          <w:rFonts w:hint="default" w:ascii="Times New Roman" w:hAnsi="Times New Roman" w:cs="Times New Roman"/>
          <w:color w:val="auto"/>
          <w:kern w:val="0"/>
          <w:sz w:val="28"/>
          <w:szCs w:val="28"/>
          <w:lang w:val="en-US" w:eastAsia="zh-CN" w:bidi="ar"/>
        </w:rPr>
        <w:t>征地</w:t>
      </w:r>
      <w:r>
        <w:rPr>
          <w:rFonts w:hint="default" w:ascii="Times New Roman" w:hAnsi="Times New Roman" w:cs="Times New Roman"/>
          <w:color w:val="auto"/>
        </w:rPr>
        <w:t>约</w:t>
      </w:r>
      <w:r>
        <w:rPr>
          <w:rFonts w:hint="default" w:ascii="Times New Roman" w:hAnsi="Times New Roman" w:cs="Times New Roman"/>
          <w:color w:val="auto"/>
          <w:lang w:val="en-US" w:eastAsia="zh-CN"/>
        </w:rPr>
        <w:t>270亩，</w:t>
      </w:r>
      <w:r>
        <w:rPr>
          <w:rFonts w:hint="default" w:ascii="Times New Roman" w:hAnsi="Times New Roman" w:cs="Times New Roman"/>
          <w:color w:val="auto"/>
        </w:rPr>
        <w:t>目前已建</w:t>
      </w:r>
      <w:r>
        <w:rPr>
          <w:rFonts w:hint="eastAsia" w:cs="Times New Roman"/>
          <w:color w:val="auto"/>
          <w:lang w:eastAsia="zh-CN"/>
        </w:rPr>
        <w:t>年产</w:t>
      </w:r>
      <w:r>
        <w:rPr>
          <w:rFonts w:hint="default" w:ascii="Times New Roman" w:hAnsi="Times New Roman" w:cs="Times New Roman"/>
          <w:color w:val="auto"/>
        </w:rPr>
        <w:t>40万吨</w:t>
      </w:r>
      <w:r>
        <w:rPr>
          <w:rFonts w:hint="default" w:ascii="Times New Roman" w:hAnsi="Times New Roman" w:cs="Times New Roman"/>
          <w:color w:val="auto"/>
          <w:lang w:eastAsia="zh-CN"/>
        </w:rPr>
        <w:t>复合肥</w:t>
      </w:r>
      <w:r>
        <w:rPr>
          <w:rFonts w:hint="default" w:ascii="Times New Roman" w:hAnsi="Times New Roman" w:cs="Times New Roman"/>
          <w:color w:val="auto"/>
        </w:rPr>
        <w:t>生产装置</w:t>
      </w:r>
      <w:r>
        <w:rPr>
          <w:rFonts w:hint="eastAsia" w:cs="Times New Roman"/>
          <w:color w:val="auto"/>
          <w:lang w:eastAsia="zh-CN"/>
        </w:rPr>
        <w:t>和正在建设年产4万吨硫酸钾项目</w:t>
      </w:r>
      <w:r>
        <w:rPr>
          <w:rFonts w:hint="default" w:ascii="Times New Roman" w:hAnsi="Times New Roman" w:cs="Times New Roman"/>
          <w:color w:val="auto"/>
        </w:rPr>
        <w:t>。</w:t>
      </w:r>
      <w:r>
        <w:rPr>
          <w:rFonts w:hint="eastAsia" w:cs="Times New Roman"/>
          <w:color w:val="auto"/>
          <w:lang w:eastAsia="zh-CN"/>
        </w:rPr>
        <w:t>“年产40万吨复合肥生产装置”于</w:t>
      </w:r>
      <w:r>
        <w:rPr>
          <w:rFonts w:hint="eastAsia" w:cs="Times New Roman"/>
          <w:color w:val="auto"/>
          <w:lang w:val="en-US" w:eastAsia="zh-CN"/>
        </w:rPr>
        <w:t>2020年8月31日通过安全预评价评审，于2021年1月28日通过安全设计专篇评审，目前正在进行安全设施竣工验收。“年产4万吨硫酸钾项目”于2022年12月27日通过安全预评价评审。</w:t>
      </w:r>
    </w:p>
    <w:p>
      <w:pPr>
        <w:numPr>
          <w:ilvl w:val="0"/>
          <w:numId w:val="1"/>
        </w:num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项目由来</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新型生态肥的生产和使用，是现代化肥工业及农业科技发展过程极其重要的内容。复合肥去产能化，淘汰的是单元素、低养分、同类化的复合肥，而高浓度、功能型、缓控释、有机类复合肥符合国家产业转型升级的政策。随着农村改革开放，农民科学种田的积极性空前高涨，为新型生态肥的推广应用创造了重要条件。随着我国对农业的日益重视及投入的增加，广大农副业人员迫切需要肥效高、利用率高、易运输、使用方便、安全可靠的新型生态肥。因而公司围绕国家“减肥”政策，根据企业优劣势分析，跟进技术发展方向，向高技术、高附加值、低消耗、低排放的新工艺和新型环保生态肥料方向发展，实现产品多元化。</w:t>
      </w:r>
    </w:p>
    <w:p>
      <w:pPr>
        <w:ind w:firstLine="560" w:firstLineChars="200"/>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江西心连心化学工业有限公司为了调整企业产品结构，扩大生产规模，实现新的经济增长点，增强产品的市场竞争能力，采用目前国内外的先进技术、清洁生产和节能先进工艺进行转鼓氨化造粒复合肥</w:t>
      </w:r>
      <w:r>
        <w:rPr>
          <w:rFonts w:hint="default" w:ascii="Times New Roman" w:hAnsi="Times New Roman" w:cs="Times New Roman"/>
          <w:color w:val="auto"/>
          <w:kern w:val="0"/>
          <w:sz w:val="28"/>
          <w:szCs w:val="28"/>
          <w:lang w:val="en-US" w:eastAsia="zh-CN" w:bidi="ar"/>
        </w:rPr>
        <w:t>项目</w:t>
      </w:r>
      <w:r>
        <w:rPr>
          <w:rFonts w:hint="default" w:ascii="Times New Roman" w:hAnsi="Times New Roman" w:eastAsia="宋体" w:cs="Times New Roman"/>
          <w:color w:val="auto"/>
          <w:kern w:val="0"/>
          <w:sz w:val="28"/>
          <w:szCs w:val="28"/>
          <w:lang w:val="en-US" w:eastAsia="zh-CN" w:bidi="ar"/>
        </w:rPr>
        <w:t>的建设，是符合国家产业政策和市场需求的。因此，在江西心连心化学工业有限公司尽快落实该项目是非常必要的，项目投资的必要性是肯定的，经济效益是好的。</w:t>
      </w:r>
    </w:p>
    <w:p>
      <w:pPr>
        <w:ind w:firstLine="56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rPr>
        <w:t>正是在这种背景下，该公司拟在</w:t>
      </w:r>
      <w:r>
        <w:rPr>
          <w:rFonts w:hint="default" w:ascii="Times New Roman" w:hAnsi="Times New Roman" w:eastAsia="宋体" w:cs="Times New Roman"/>
          <w:color w:val="auto"/>
          <w:kern w:val="0"/>
          <w:sz w:val="28"/>
          <w:szCs w:val="28"/>
          <w:lang w:val="en-US" w:eastAsia="zh-CN" w:bidi="ar"/>
        </w:rPr>
        <w:t>江西省九江市彭泽县矶山工业园区（经认定的化工园区）江西心连心化学工业有限公司复合肥基地</w:t>
      </w:r>
      <w:r>
        <w:rPr>
          <w:rFonts w:hint="default" w:ascii="Times New Roman" w:hAnsi="Times New Roman" w:cs="Times New Roman"/>
          <w:color w:val="auto"/>
        </w:rPr>
        <w:t>预留用地范围内投资建设</w:t>
      </w:r>
      <w:r>
        <w:rPr>
          <w:rFonts w:hint="default" w:ascii="Times New Roman" w:hAnsi="Times New Roman" w:cs="Times New Roman"/>
          <w:color w:val="auto"/>
          <w:lang w:eastAsia="zh-CN"/>
        </w:rPr>
        <w:t>年产15万吨转鼓氨化造粒复合肥项目</w:t>
      </w:r>
      <w:r>
        <w:rPr>
          <w:rFonts w:hint="default" w:ascii="Times New Roman" w:hAnsi="Times New Roman" w:cs="Times New Roman"/>
          <w:color w:val="auto"/>
          <w:lang w:val="en-US" w:eastAsia="zh-CN"/>
        </w:rPr>
        <w:t>。</w:t>
      </w: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22" w:name="_Toc24506"/>
      <w:bookmarkStart w:id="23" w:name="_Toc32578"/>
      <w:bookmarkStart w:id="24" w:name="_Toc29382"/>
      <w:r>
        <w:rPr>
          <w:rFonts w:hint="default" w:ascii="Times New Roman" w:hAnsi="Times New Roman" w:eastAsia="楷体" w:cs="Times New Roman"/>
          <w:b/>
          <w:bCs/>
          <w:color w:val="auto"/>
          <w:kern w:val="2"/>
          <w:sz w:val="32"/>
          <w:szCs w:val="32"/>
          <w:lang w:val="en-US" w:eastAsia="zh-CN" w:bidi="ar-SA"/>
        </w:rPr>
        <w:t>2.2建设项目概况</w:t>
      </w:r>
      <w:bookmarkEnd w:id="22"/>
      <w:bookmarkEnd w:id="23"/>
      <w:bookmarkEnd w:id="24"/>
    </w:p>
    <w:p>
      <w:pPr>
        <w:ind w:firstLine="56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rPr>
        <w:t>项目名称：年产15万吨转鼓氨化造粒复合肥</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建设单位：</w:t>
      </w:r>
      <w:r>
        <w:rPr>
          <w:rFonts w:hint="default" w:ascii="Times New Roman" w:hAnsi="Times New Roman" w:eastAsia="宋体" w:cs="Times New Roman"/>
          <w:color w:val="auto"/>
          <w:kern w:val="0"/>
          <w:sz w:val="28"/>
          <w:szCs w:val="28"/>
          <w:lang w:val="en-US" w:eastAsia="zh-CN" w:bidi="ar"/>
        </w:rPr>
        <w:t>江西心连心化学工业有限公司</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建设性质：</w:t>
      </w:r>
      <w:r>
        <w:rPr>
          <w:rFonts w:hint="default" w:ascii="Times New Roman" w:hAnsi="Times New Roman" w:cs="Times New Roman"/>
          <w:color w:val="auto"/>
          <w:lang w:eastAsia="zh-CN"/>
        </w:rPr>
        <w:t>新</w:t>
      </w:r>
      <w:r>
        <w:rPr>
          <w:rFonts w:hint="default" w:ascii="Times New Roman" w:hAnsi="Times New Roman" w:cs="Times New Roman"/>
          <w:color w:val="auto"/>
        </w:rPr>
        <w:t>建</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建设地点：项目选址位于</w:t>
      </w:r>
      <w:r>
        <w:rPr>
          <w:rFonts w:hint="default" w:ascii="Times New Roman" w:hAnsi="Times New Roman" w:eastAsia="宋体" w:cs="Times New Roman"/>
          <w:color w:val="auto"/>
          <w:kern w:val="0"/>
          <w:sz w:val="28"/>
          <w:szCs w:val="28"/>
          <w:lang w:val="en-US" w:eastAsia="zh-CN" w:bidi="ar"/>
        </w:rPr>
        <w:t>江西省九江市彭泽县矶山工业园区（经认定的化工园区</w:t>
      </w:r>
      <w:r>
        <w:rPr>
          <w:rFonts w:hint="default" w:ascii="Times New Roman" w:hAnsi="Times New Roman" w:cs="Times New Roman"/>
          <w:color w:val="auto"/>
          <w:kern w:val="0"/>
          <w:sz w:val="28"/>
          <w:szCs w:val="28"/>
          <w:lang w:val="en-US" w:eastAsia="zh-CN" w:bidi="ar"/>
        </w:rPr>
        <w:t>，长江一公里外</w:t>
      </w:r>
      <w:r>
        <w:rPr>
          <w:rFonts w:hint="default" w:ascii="Times New Roman" w:hAnsi="Times New Roman" w:eastAsia="宋体" w:cs="Times New Roman"/>
          <w:color w:val="auto"/>
          <w:kern w:val="0"/>
          <w:sz w:val="28"/>
          <w:szCs w:val="28"/>
          <w:lang w:val="en-US" w:eastAsia="zh-CN" w:bidi="ar"/>
        </w:rPr>
        <w:t>）江西心连心化学工业有限公司</w:t>
      </w:r>
      <w:r>
        <w:rPr>
          <w:rFonts w:hint="eastAsia" w:cs="Times New Roman"/>
          <w:color w:val="auto"/>
          <w:kern w:val="0"/>
          <w:sz w:val="28"/>
          <w:szCs w:val="28"/>
          <w:lang w:val="en-US" w:eastAsia="zh-CN" w:bidi="ar"/>
        </w:rPr>
        <w:t>复合肥基地</w:t>
      </w:r>
      <w:r>
        <w:rPr>
          <w:rFonts w:hint="default" w:ascii="Times New Roman" w:hAnsi="Times New Roman" w:cs="Times New Roman"/>
          <w:color w:val="auto"/>
        </w:rPr>
        <w:t>预留用地范围内</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建设规模：</w:t>
      </w:r>
      <w:r>
        <w:rPr>
          <w:rFonts w:hint="default" w:ascii="Times New Roman" w:hAnsi="Times New Roman" w:cs="Times New Roman"/>
          <w:color w:val="auto"/>
          <w:lang w:val="en-US" w:eastAsia="zh-CN"/>
        </w:rPr>
        <w:t>年产15万吨转鼓氨化造粒复合肥项目</w:t>
      </w:r>
    </w:p>
    <w:p>
      <w:pPr>
        <w:ind w:firstLine="56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行业类别：</w:t>
      </w:r>
      <w:r>
        <w:rPr>
          <w:rFonts w:hint="default" w:ascii="Times New Roman" w:hAnsi="Times New Roman" w:cs="Times New Roman"/>
          <w:color w:val="auto"/>
          <w:lang w:val="en-US" w:eastAsia="zh-CN"/>
        </w:rPr>
        <w:t>C2624复混肥料制造</w:t>
      </w:r>
    </w:p>
    <w:p>
      <w:pPr>
        <w:ind w:firstLine="56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产品方案：（1）主产品：</w:t>
      </w:r>
      <w:r>
        <w:rPr>
          <w:rFonts w:hint="default" w:ascii="Times New Roman" w:hAnsi="Times New Roman" w:cs="Times New Roman"/>
          <w:color w:val="auto"/>
          <w:lang w:val="en-US" w:eastAsia="zh-CN"/>
        </w:rPr>
        <w:t>转鼓氨化复合肥8万吨</w:t>
      </w:r>
      <w:r>
        <w:rPr>
          <w:rFonts w:hint="default" w:ascii="Times New Roman" w:hAnsi="Times New Roman" w:cs="Times New Roman"/>
          <w:color w:val="auto"/>
        </w:rPr>
        <w:t>/年</w:t>
      </w:r>
      <w:r>
        <w:rPr>
          <w:rFonts w:hint="default" w:ascii="Times New Roman" w:hAnsi="Times New Roman" w:cs="Times New Roman"/>
          <w:color w:val="auto"/>
          <w:lang w:eastAsia="zh-CN"/>
        </w:rPr>
        <w:t>（其中氨化复合肥根据投料量比例的不同分为</w:t>
      </w:r>
      <w:r>
        <w:rPr>
          <w:rFonts w:hint="default" w:ascii="Times New Roman" w:hAnsi="Times New Roman" w:cs="Times New Roman"/>
          <w:color w:val="auto"/>
          <w:lang w:val="en-US" w:eastAsia="zh-CN"/>
        </w:rPr>
        <w:t>4万吨/年</w:t>
      </w:r>
      <w:r>
        <w:rPr>
          <w:rFonts w:hint="default" w:ascii="Times New Roman" w:hAnsi="Times New Roman" w:cs="Times New Roman"/>
          <w:color w:val="auto"/>
          <w:lang w:eastAsia="zh-CN"/>
        </w:rPr>
        <w:t>15-14-14S、</w:t>
      </w:r>
      <w:r>
        <w:rPr>
          <w:rFonts w:hint="default" w:ascii="Times New Roman" w:hAnsi="Times New Roman" w:cs="Times New Roman"/>
          <w:color w:val="auto"/>
          <w:lang w:val="en-US" w:eastAsia="zh-CN"/>
        </w:rPr>
        <w:t>4万吨/年</w:t>
      </w:r>
      <w:r>
        <w:rPr>
          <w:rFonts w:hint="default" w:ascii="Times New Roman" w:hAnsi="Times New Roman" w:cs="Times New Roman"/>
          <w:color w:val="auto"/>
          <w:lang w:eastAsia="zh-CN"/>
        </w:rPr>
        <w:t>14-16-15S两种规格）、转鼓氨酸复合肥</w:t>
      </w:r>
      <w:r>
        <w:rPr>
          <w:rFonts w:hint="default" w:ascii="Times New Roman" w:hAnsi="Times New Roman" w:cs="Times New Roman"/>
          <w:color w:val="auto"/>
          <w:lang w:val="en-US" w:eastAsia="zh-CN"/>
        </w:rPr>
        <w:t>7</w:t>
      </w:r>
      <w:r>
        <w:rPr>
          <w:rFonts w:hint="default" w:ascii="Times New Roman" w:hAnsi="Times New Roman" w:cs="Times New Roman"/>
          <w:color w:val="auto"/>
          <w:lang w:eastAsia="zh-CN"/>
        </w:rPr>
        <w:t>万吨/年</w:t>
      </w:r>
      <w:r>
        <w:rPr>
          <w:rFonts w:hint="default" w:ascii="Times New Roman" w:hAnsi="Times New Roman" w:cs="Times New Roman"/>
          <w:color w:val="auto"/>
        </w:rPr>
        <w:t>。（2）副产品：</w:t>
      </w:r>
      <w:r>
        <w:rPr>
          <w:rFonts w:hint="default" w:ascii="Times New Roman" w:hAnsi="Times New Roman" w:cs="Times New Roman"/>
          <w:color w:val="auto"/>
          <w:lang w:eastAsia="zh-CN"/>
        </w:rPr>
        <w:t>3</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%工业盐酸</w:t>
      </w:r>
      <w:r>
        <w:rPr>
          <w:rFonts w:hint="default" w:ascii="Times New Roman" w:hAnsi="Times New Roman" w:cs="Times New Roman"/>
          <w:color w:val="auto"/>
          <w:lang w:val="en-US" w:eastAsia="zh-CN"/>
        </w:rPr>
        <w:t>30249.4吨/年</w:t>
      </w:r>
      <w:r>
        <w:rPr>
          <w:rFonts w:hint="default" w:ascii="Times New Roman" w:hAnsi="Times New Roman" w:cs="Times New Roman"/>
          <w:color w:val="auto"/>
        </w:rPr>
        <w:t>。</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项目建设内容：该项目建设内容具体见表2.2-2。</w:t>
      </w:r>
    </w:p>
    <w:p>
      <w:pPr>
        <w:pStyle w:val="10"/>
        <w:ind w:firstLine="31680"/>
        <w:jc w:val="center"/>
        <w:rPr>
          <w:rFonts w:hint="default" w:ascii="Times New Roman" w:hAnsi="Times New Roman" w:cs="Times New Roman"/>
          <w:color w:val="auto"/>
        </w:rPr>
      </w:pPr>
      <w:r>
        <w:rPr>
          <w:rFonts w:hint="default" w:ascii="Times New Roman" w:hAnsi="Times New Roman" w:cs="Times New Roman"/>
          <w:color w:val="auto"/>
        </w:rPr>
        <w:t>表2.2-2项目组成一览表</w:t>
      </w:r>
    </w:p>
    <w:tbl>
      <w:tblPr>
        <w:tblStyle w:val="19"/>
        <w:tblW w:w="903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24"/>
        <w:gridCol w:w="1586"/>
        <w:gridCol w:w="4619"/>
        <w:gridCol w:w="17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1124" w:type="dxa"/>
            <w:vAlign w:val="center"/>
          </w:tcPr>
          <w:p>
            <w:pPr>
              <w:pStyle w:val="10"/>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工程类别</w:t>
            </w:r>
          </w:p>
        </w:tc>
        <w:tc>
          <w:tcPr>
            <w:tcW w:w="1586" w:type="dxa"/>
            <w:vAlign w:val="center"/>
          </w:tcPr>
          <w:p>
            <w:pPr>
              <w:pStyle w:val="10"/>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建设物名称</w:t>
            </w:r>
          </w:p>
        </w:tc>
        <w:tc>
          <w:tcPr>
            <w:tcW w:w="4619" w:type="dxa"/>
            <w:vAlign w:val="center"/>
          </w:tcPr>
          <w:p>
            <w:pPr>
              <w:pStyle w:val="10"/>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装置名称</w:t>
            </w:r>
          </w:p>
        </w:tc>
        <w:tc>
          <w:tcPr>
            <w:tcW w:w="1706" w:type="dxa"/>
            <w:vAlign w:val="center"/>
          </w:tcPr>
          <w:p>
            <w:pPr>
              <w:pStyle w:val="10"/>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04" w:hRule="atLeast"/>
          <w:jc w:val="center"/>
        </w:trPr>
        <w:tc>
          <w:tcPr>
            <w:tcW w:w="1124" w:type="dxa"/>
            <w:vAlign w:val="center"/>
          </w:tcPr>
          <w:p>
            <w:pPr>
              <w:pStyle w:val="10"/>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1586" w:type="dxa"/>
            <w:vAlign w:val="center"/>
          </w:tcPr>
          <w:p>
            <w:pPr>
              <w:pStyle w:val="10"/>
              <w:spacing w:line="240" w:lineRule="auto"/>
              <w:ind w:lef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氨化车间</w:t>
            </w:r>
          </w:p>
        </w:tc>
        <w:tc>
          <w:tcPr>
            <w:tcW w:w="4619" w:type="dxa"/>
            <w:vAlign w:val="center"/>
          </w:tcPr>
          <w:p>
            <w:pPr>
              <w:pStyle w:val="10"/>
              <w:spacing w:line="240" w:lineRule="auto"/>
              <w:ind w:lef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转鼓氨化造粒复合肥生产装置及配套设施（与氨酸复合肥共用，根据产品规格的需要进行切换）</w:t>
            </w:r>
          </w:p>
        </w:tc>
        <w:tc>
          <w:tcPr>
            <w:tcW w:w="1706" w:type="dxa"/>
            <w:vAlign w:val="center"/>
          </w:tcPr>
          <w:p>
            <w:pPr>
              <w:pStyle w:val="10"/>
              <w:spacing w:line="240" w:lineRule="auto"/>
              <w:ind w:lef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 w:hRule="atLeast"/>
          <w:jc w:val="center"/>
        </w:trPr>
        <w:tc>
          <w:tcPr>
            <w:tcW w:w="1124" w:type="dxa"/>
            <w:vMerge w:val="restart"/>
            <w:vAlign w:val="center"/>
          </w:tcPr>
          <w:p>
            <w:pPr>
              <w:pStyle w:val="10"/>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储运工程</w:t>
            </w:r>
          </w:p>
        </w:tc>
        <w:tc>
          <w:tcPr>
            <w:tcW w:w="1586" w:type="dxa"/>
            <w:vAlign w:val="center"/>
          </w:tcPr>
          <w:p>
            <w:pPr>
              <w:pStyle w:val="10"/>
              <w:spacing w:line="240" w:lineRule="auto"/>
              <w:ind w:lef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硫酸罐区</w:t>
            </w:r>
          </w:p>
        </w:tc>
        <w:tc>
          <w:tcPr>
            <w:tcW w:w="4619" w:type="dxa"/>
            <w:vAlign w:val="center"/>
          </w:tcPr>
          <w:p>
            <w:pPr>
              <w:pStyle w:val="10"/>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新建</w:t>
            </w:r>
            <w:r>
              <w:rPr>
                <w:rFonts w:hint="default" w:ascii="Times New Roman" w:hAnsi="Times New Roman" w:cs="Times New Roman"/>
                <w:color w:val="auto"/>
                <w:sz w:val="21"/>
                <w:szCs w:val="21"/>
              </w:rPr>
              <w:t>1台</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00m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硫酸储罐</w:t>
            </w:r>
          </w:p>
        </w:tc>
        <w:tc>
          <w:tcPr>
            <w:tcW w:w="1706" w:type="dxa"/>
            <w:vAlign w:val="center"/>
          </w:tcPr>
          <w:p>
            <w:pPr>
              <w:pStyle w:val="10"/>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 w:hRule="atLeast"/>
          <w:jc w:val="center"/>
        </w:trPr>
        <w:tc>
          <w:tcPr>
            <w:tcW w:w="1124" w:type="dxa"/>
            <w:vMerge w:val="continue"/>
            <w:vAlign w:val="center"/>
          </w:tcPr>
          <w:p>
            <w:pPr>
              <w:pStyle w:val="10"/>
              <w:spacing w:line="240" w:lineRule="auto"/>
              <w:ind w:left="0" w:firstLine="0" w:firstLineChars="0"/>
              <w:jc w:val="center"/>
              <w:rPr>
                <w:rFonts w:hint="default" w:ascii="Times New Roman" w:hAnsi="Times New Roman" w:cs="Times New Roman"/>
                <w:color w:val="auto"/>
              </w:rPr>
            </w:pPr>
          </w:p>
        </w:tc>
        <w:tc>
          <w:tcPr>
            <w:tcW w:w="1586"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盐酸罐区</w:t>
            </w:r>
          </w:p>
        </w:tc>
        <w:tc>
          <w:tcPr>
            <w:tcW w:w="4619"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新建</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台</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lang w:eastAsia="zh-CN"/>
              </w:rPr>
              <w:t>00m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盐酸储罐</w:t>
            </w:r>
          </w:p>
        </w:tc>
        <w:tc>
          <w:tcPr>
            <w:tcW w:w="1706"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 w:hRule="atLeast"/>
          <w:jc w:val="center"/>
        </w:trPr>
        <w:tc>
          <w:tcPr>
            <w:tcW w:w="1124" w:type="dxa"/>
            <w:vMerge w:val="continue"/>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p>
        </w:tc>
        <w:tc>
          <w:tcPr>
            <w:tcW w:w="1586"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原料库</w:t>
            </w:r>
          </w:p>
        </w:tc>
        <w:tc>
          <w:tcPr>
            <w:tcW w:w="4619"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储存该项目原辅料（氯化钾、磷酸一铵、填充料、氯化铵、防结块剂膏、防结块剂粉、包装袋）</w:t>
            </w:r>
          </w:p>
        </w:tc>
        <w:tc>
          <w:tcPr>
            <w:tcW w:w="1706"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 w:hRule="atLeast"/>
          <w:jc w:val="center"/>
        </w:trPr>
        <w:tc>
          <w:tcPr>
            <w:tcW w:w="1124" w:type="dxa"/>
            <w:vMerge w:val="continue"/>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p>
        </w:tc>
        <w:tc>
          <w:tcPr>
            <w:tcW w:w="1586"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成品库</w:t>
            </w:r>
            <w:r>
              <w:rPr>
                <w:rFonts w:hint="eastAsia" w:cs="Times New Roman"/>
                <w:color w:val="auto"/>
                <w:sz w:val="21"/>
                <w:szCs w:val="21"/>
                <w:lang w:eastAsia="zh-CN"/>
              </w:rPr>
              <w:t>一和成品库二</w:t>
            </w:r>
          </w:p>
        </w:tc>
        <w:tc>
          <w:tcPr>
            <w:tcW w:w="4619"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储存原有高塔复合肥；</w:t>
            </w:r>
            <w:r>
              <w:rPr>
                <w:rFonts w:hint="default" w:ascii="Times New Roman" w:hAnsi="Times New Roman" w:cs="Times New Roman"/>
                <w:color w:val="auto"/>
                <w:sz w:val="21"/>
                <w:szCs w:val="21"/>
                <w:lang w:eastAsia="zh-CN"/>
              </w:rPr>
              <w:t>储存转鼓氨化复合肥和转鼓氨酸复合肥</w:t>
            </w:r>
          </w:p>
        </w:tc>
        <w:tc>
          <w:tcPr>
            <w:tcW w:w="1706"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依托原有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24" w:type="dxa"/>
            <w:vMerge w:val="restart"/>
            <w:vAlign w:val="center"/>
          </w:tcPr>
          <w:p>
            <w:pPr>
              <w:pStyle w:val="10"/>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1586" w:type="dxa"/>
            <w:vAlign w:val="center"/>
          </w:tcPr>
          <w:p>
            <w:pPr>
              <w:pStyle w:val="10"/>
              <w:spacing w:line="240" w:lineRule="auto"/>
              <w:ind w:lef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供配电</w:t>
            </w:r>
          </w:p>
        </w:tc>
        <w:tc>
          <w:tcPr>
            <w:tcW w:w="4619" w:type="dxa"/>
            <w:vAlign w:val="center"/>
          </w:tcPr>
          <w:p>
            <w:pPr>
              <w:pStyle w:val="10"/>
              <w:spacing w:line="240" w:lineRule="auto"/>
              <w:ind w:lef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在氨化车间2层包装楼设有配电间，新增1台</w:t>
            </w:r>
            <w:r>
              <w:rPr>
                <w:rFonts w:hint="eastAsia" w:cs="Times New Roman"/>
                <w:color w:val="auto"/>
                <w:sz w:val="21"/>
                <w:szCs w:val="21"/>
                <w:lang w:val="en-US" w:eastAsia="zh-CN"/>
              </w:rPr>
              <w:t>250</w:t>
            </w:r>
            <w:r>
              <w:rPr>
                <w:rFonts w:hint="default" w:ascii="Times New Roman" w:hAnsi="Times New Roman" w:cs="Times New Roman"/>
                <w:color w:val="auto"/>
                <w:sz w:val="21"/>
                <w:szCs w:val="21"/>
                <w:lang w:val="en-US" w:eastAsia="zh-CN"/>
              </w:rPr>
              <w:t>0KVA变压器</w:t>
            </w:r>
          </w:p>
        </w:tc>
        <w:tc>
          <w:tcPr>
            <w:tcW w:w="1706" w:type="dxa"/>
            <w:vAlign w:val="center"/>
          </w:tcPr>
          <w:p>
            <w:pPr>
              <w:pStyle w:val="10"/>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24" w:type="dxa"/>
            <w:vMerge w:val="continue"/>
            <w:vAlign w:val="center"/>
          </w:tcPr>
          <w:p>
            <w:pPr>
              <w:pStyle w:val="10"/>
              <w:spacing w:line="240" w:lineRule="auto"/>
              <w:ind w:left="0" w:firstLine="0" w:firstLineChars="0"/>
              <w:jc w:val="center"/>
              <w:rPr>
                <w:rFonts w:hint="default" w:ascii="Times New Roman" w:hAnsi="Times New Roman" w:cs="Times New Roman"/>
                <w:color w:val="auto"/>
                <w:sz w:val="21"/>
                <w:szCs w:val="21"/>
              </w:rPr>
            </w:pPr>
          </w:p>
        </w:tc>
        <w:tc>
          <w:tcPr>
            <w:tcW w:w="1586"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给排水</w:t>
            </w:r>
          </w:p>
        </w:tc>
        <w:tc>
          <w:tcPr>
            <w:tcW w:w="4619"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依托九江心连心清洁生产综合利用项目的净水厂供应生产用水、依托九江心连心清洁生产综合利用项目脱盐水站供应脱盐水、依托九江心连心清洁生产综合利用项目循环水站提供循环水；依托原有高塔复合肥项目设置的消防水系统</w:t>
            </w:r>
          </w:p>
        </w:tc>
        <w:tc>
          <w:tcPr>
            <w:tcW w:w="1706" w:type="dxa"/>
            <w:vAlign w:val="center"/>
          </w:tcPr>
          <w:p>
            <w:pPr>
              <w:pStyle w:val="10"/>
              <w:spacing w:line="240" w:lineRule="auto"/>
              <w:ind w:lef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依托原有九江心连心清洁生产综合利用项目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24" w:type="dxa"/>
            <w:vMerge w:val="continue"/>
            <w:vAlign w:val="center"/>
          </w:tcPr>
          <w:p>
            <w:pPr>
              <w:pStyle w:val="10"/>
              <w:spacing w:line="240" w:lineRule="auto"/>
              <w:ind w:left="0" w:firstLine="0" w:firstLineChars="0"/>
              <w:jc w:val="center"/>
              <w:rPr>
                <w:rFonts w:hint="default" w:ascii="Times New Roman" w:hAnsi="Times New Roman" w:cs="Times New Roman"/>
                <w:color w:val="auto"/>
                <w:sz w:val="21"/>
                <w:szCs w:val="21"/>
              </w:rPr>
            </w:pPr>
          </w:p>
        </w:tc>
        <w:tc>
          <w:tcPr>
            <w:tcW w:w="1586"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蒸汽系统</w:t>
            </w:r>
          </w:p>
        </w:tc>
        <w:tc>
          <w:tcPr>
            <w:tcW w:w="4619"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依托九江心连心清洁生产综合利用项目的</w:t>
            </w:r>
            <w:r>
              <w:rPr>
                <w:rFonts w:hint="eastAsia" w:cs="Times New Roman"/>
                <w:color w:val="auto"/>
                <w:sz w:val="21"/>
                <w:szCs w:val="21"/>
                <w:lang w:val="en-US" w:eastAsia="zh-CN"/>
              </w:rPr>
              <w:t>动力站次中压2.5MPa饱和蒸汽管网</w:t>
            </w:r>
          </w:p>
        </w:tc>
        <w:tc>
          <w:tcPr>
            <w:tcW w:w="1706"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依托原有九江心连心清洁生产综合利用项目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24" w:type="dxa"/>
            <w:vMerge w:val="continue"/>
            <w:vAlign w:val="center"/>
          </w:tcPr>
          <w:p>
            <w:pPr>
              <w:pStyle w:val="10"/>
              <w:spacing w:line="240" w:lineRule="auto"/>
              <w:ind w:left="0" w:firstLine="0" w:firstLineChars="0"/>
              <w:jc w:val="center"/>
              <w:rPr>
                <w:rFonts w:hint="default" w:ascii="Times New Roman" w:hAnsi="Times New Roman" w:cs="Times New Roman"/>
                <w:color w:val="auto"/>
                <w:sz w:val="21"/>
                <w:szCs w:val="21"/>
              </w:rPr>
            </w:pPr>
          </w:p>
        </w:tc>
        <w:tc>
          <w:tcPr>
            <w:tcW w:w="1586"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空压系统</w:t>
            </w:r>
          </w:p>
        </w:tc>
        <w:tc>
          <w:tcPr>
            <w:tcW w:w="4619"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依托已建项目设置在复合肥车间设置的空压系统，供应工艺用压缩空气和仪表用压缩空气</w:t>
            </w:r>
          </w:p>
        </w:tc>
        <w:tc>
          <w:tcPr>
            <w:tcW w:w="1706"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依托原有复合肥车间</w:t>
            </w:r>
          </w:p>
        </w:tc>
      </w:tr>
    </w:tbl>
    <w:p>
      <w:pPr>
        <w:ind w:firstLine="560" w:firstLineChars="200"/>
        <w:rPr>
          <w:rFonts w:hint="default" w:ascii="Times New Roman" w:hAnsi="Times New Roman" w:cs="Times New Roman"/>
          <w:color w:val="auto"/>
        </w:rPr>
      </w:pPr>
      <w:r>
        <w:rPr>
          <w:rFonts w:hint="default" w:ascii="Times New Roman" w:hAnsi="Times New Roman" w:cs="Times New Roman"/>
          <w:color w:val="auto"/>
        </w:rPr>
        <w:t>项目前期工作：</w:t>
      </w:r>
    </w:p>
    <w:p>
      <w:pPr>
        <w:numPr>
          <w:ilvl w:val="0"/>
          <w:numId w:val="0"/>
        </w:num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该项目</w:t>
      </w:r>
      <w:r>
        <w:rPr>
          <w:rFonts w:hint="default" w:ascii="Times New Roman" w:hAnsi="Times New Roman" w:cs="Times New Roman"/>
          <w:color w:val="auto"/>
          <w:lang w:val="en-US" w:eastAsia="zh-CN"/>
        </w:rPr>
        <w:t>202</w:t>
      </w:r>
      <w:r>
        <w:rPr>
          <w:rFonts w:hint="eastAsia" w:cs="Times New Roman"/>
          <w:color w:val="auto"/>
          <w:lang w:val="en-US" w:eastAsia="zh-CN"/>
        </w:rPr>
        <w:t>3</w:t>
      </w:r>
      <w:r>
        <w:rPr>
          <w:rFonts w:hint="default" w:ascii="Times New Roman" w:hAnsi="Times New Roman" w:cs="Times New Roman"/>
          <w:color w:val="auto"/>
          <w:lang w:val="en-US" w:eastAsia="zh-CN"/>
        </w:rPr>
        <w:t>年</w:t>
      </w:r>
      <w:r>
        <w:rPr>
          <w:rFonts w:hint="eastAsia" w:cs="Times New Roman"/>
          <w:color w:val="auto"/>
          <w:lang w:val="en-US" w:eastAsia="zh-CN"/>
        </w:rPr>
        <w:t>4</w:t>
      </w:r>
      <w:r>
        <w:rPr>
          <w:rFonts w:hint="default" w:ascii="Times New Roman" w:hAnsi="Times New Roman" w:cs="Times New Roman"/>
          <w:color w:val="auto"/>
          <w:lang w:val="en-US" w:eastAsia="zh-CN"/>
        </w:rPr>
        <w:t>月1</w:t>
      </w:r>
      <w:r>
        <w:rPr>
          <w:rFonts w:hint="eastAsia" w:cs="Times New Roman"/>
          <w:color w:val="auto"/>
          <w:lang w:val="en-US" w:eastAsia="zh-CN"/>
        </w:rPr>
        <w:t>9</w:t>
      </w:r>
      <w:r>
        <w:rPr>
          <w:rFonts w:hint="default" w:ascii="Times New Roman" w:hAnsi="Times New Roman" w:cs="Times New Roman"/>
          <w:color w:val="auto"/>
          <w:lang w:val="en-US" w:eastAsia="zh-CN"/>
        </w:rPr>
        <w:t>日由彭泽县发展和改革委员会取得备案，项目统一代码为：2112-360430-04-01-899613。</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该项目在</w:t>
      </w:r>
      <w:r>
        <w:rPr>
          <w:rFonts w:hint="default" w:ascii="Times New Roman" w:hAnsi="Times New Roman" w:eastAsia="宋体" w:cs="Times New Roman"/>
          <w:color w:val="auto"/>
          <w:kern w:val="0"/>
          <w:sz w:val="28"/>
          <w:szCs w:val="28"/>
          <w:lang w:val="en-US" w:eastAsia="zh-CN" w:bidi="ar"/>
        </w:rPr>
        <w:t>江西心连心化学工业有限公司</w:t>
      </w:r>
      <w:r>
        <w:rPr>
          <w:rFonts w:hint="default" w:ascii="Times New Roman" w:hAnsi="Times New Roman" w:cs="Times New Roman"/>
          <w:color w:val="auto"/>
        </w:rPr>
        <w:t>现有预留用地内进行建设，该公司项目用地整体规划，于2021年取得了</w:t>
      </w:r>
      <w:r>
        <w:rPr>
          <w:rFonts w:hint="default" w:ascii="Times New Roman" w:hAnsi="Times New Roman" w:cs="Times New Roman"/>
          <w:color w:val="auto"/>
          <w:lang w:eastAsia="zh-CN"/>
        </w:rPr>
        <w:t>彭泽县</w:t>
      </w:r>
      <w:r>
        <w:rPr>
          <w:rFonts w:hint="default" w:ascii="Times New Roman" w:hAnsi="Times New Roman" w:cs="Times New Roman"/>
          <w:color w:val="auto"/>
        </w:rPr>
        <w:t>自然资源局颁发的土地证，详见附件。</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可行性研究报告：《</w:t>
      </w:r>
      <w:r>
        <w:rPr>
          <w:rFonts w:hint="default" w:ascii="Times New Roman" w:hAnsi="Times New Roman" w:eastAsia="宋体" w:cs="Times New Roman"/>
          <w:color w:val="auto"/>
          <w:kern w:val="0"/>
          <w:sz w:val="28"/>
          <w:szCs w:val="28"/>
          <w:lang w:val="en-US" w:eastAsia="zh-CN" w:bidi="ar"/>
        </w:rPr>
        <w:t>江西心连心化学工业有限公司</w:t>
      </w:r>
      <w:r>
        <w:rPr>
          <w:rFonts w:hint="default" w:ascii="Times New Roman" w:hAnsi="Times New Roman" w:cs="Times New Roman"/>
          <w:color w:val="auto"/>
          <w:lang w:eastAsia="zh-CN"/>
        </w:rPr>
        <w:t>年产15万吨转鼓氨化造粒复合肥项目</w:t>
      </w:r>
      <w:r>
        <w:rPr>
          <w:rFonts w:hint="default" w:ascii="Times New Roman" w:hAnsi="Times New Roman" w:cs="Times New Roman"/>
          <w:color w:val="auto"/>
        </w:rPr>
        <w:t>可行性研究报告》由</w:t>
      </w:r>
      <w:r>
        <w:rPr>
          <w:rFonts w:hint="default" w:ascii="Times New Roman" w:hAnsi="Times New Roman" w:cs="Times New Roman"/>
          <w:color w:val="auto"/>
          <w:kern w:val="0"/>
          <w:sz w:val="28"/>
          <w:szCs w:val="28"/>
          <w:lang w:val="en-US" w:eastAsia="zh-CN" w:bidi="ar"/>
        </w:rPr>
        <w:t>山东鸿运工程计有限公司</w:t>
      </w:r>
      <w:r>
        <w:rPr>
          <w:rFonts w:hint="default" w:ascii="Times New Roman" w:hAnsi="Times New Roman" w:cs="Times New Roman"/>
          <w:color w:val="auto"/>
        </w:rPr>
        <w:t>编制。</w:t>
      </w:r>
    </w:p>
    <w:p>
      <w:pPr>
        <w:numPr>
          <w:ilvl w:val="0"/>
          <w:numId w:val="0"/>
        </w:numPr>
        <w:bidi w:val="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rPr>
        <w:t>总图设计单位：</w:t>
      </w:r>
      <w:r>
        <w:rPr>
          <w:rFonts w:hint="default" w:ascii="Times New Roman" w:hAnsi="Times New Roman" w:cs="Times New Roman"/>
          <w:color w:val="auto"/>
          <w:lang w:eastAsia="zh-CN"/>
        </w:rPr>
        <w:t>山东鸿运工程计有限公司</w:t>
      </w:r>
      <w:r>
        <w:rPr>
          <w:rFonts w:hint="default" w:ascii="Times New Roman" w:hAnsi="Times New Roman" w:cs="Times New Roman"/>
          <w:color w:val="auto"/>
        </w:rPr>
        <w:t>，化工石化医药行业甲级。</w:t>
      </w:r>
    </w:p>
    <w:p>
      <w:pPr>
        <w:numPr>
          <w:ilvl w:val="0"/>
          <w:numId w:val="0"/>
        </w:numPr>
        <w:bidi w:val="0"/>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lang w:eastAsia="zh-CN"/>
        </w:rPr>
        <w:t>该项目总占地面积约</w:t>
      </w:r>
      <w:r>
        <w:rPr>
          <w:rFonts w:hint="default" w:ascii="Times New Roman" w:hAnsi="Times New Roman" w:cs="Times New Roman"/>
          <w:color w:val="auto"/>
          <w:sz w:val="28"/>
          <w:szCs w:val="28"/>
          <w:lang w:val="en-US" w:eastAsia="zh-CN"/>
        </w:rPr>
        <w:t>40</w:t>
      </w:r>
      <w:r>
        <w:rPr>
          <w:rFonts w:hint="default" w:ascii="Times New Roman" w:hAnsi="Times New Roman" w:cs="Times New Roman"/>
          <w:color w:val="auto"/>
          <w:sz w:val="28"/>
          <w:szCs w:val="28"/>
          <w:lang w:eastAsia="zh-CN"/>
        </w:rPr>
        <w:t>亩；拟投资</w:t>
      </w:r>
      <w:r>
        <w:rPr>
          <w:rFonts w:hint="default" w:ascii="Times New Roman" w:hAnsi="Times New Roman" w:cs="Times New Roman"/>
          <w:color w:val="auto"/>
          <w:sz w:val="28"/>
          <w:szCs w:val="28"/>
          <w:lang w:val="en-US" w:eastAsia="zh-CN"/>
        </w:rPr>
        <w:t>9142</w:t>
      </w:r>
      <w:r>
        <w:rPr>
          <w:rFonts w:hint="default" w:ascii="Times New Roman" w:hAnsi="Times New Roman" w:cs="Times New Roman"/>
          <w:color w:val="auto"/>
          <w:sz w:val="28"/>
          <w:szCs w:val="28"/>
          <w:lang w:eastAsia="zh-CN"/>
        </w:rPr>
        <w:t>万元人民币，安全投入拟为</w:t>
      </w:r>
      <w:r>
        <w:rPr>
          <w:rFonts w:hint="default" w:ascii="Times New Roman" w:hAnsi="Times New Roman" w:cs="Times New Roman"/>
          <w:color w:val="auto"/>
          <w:sz w:val="28"/>
          <w:szCs w:val="28"/>
          <w:lang w:val="en-US" w:eastAsia="zh-CN"/>
        </w:rPr>
        <w:t>731</w:t>
      </w:r>
      <w:r>
        <w:rPr>
          <w:rFonts w:hint="default" w:ascii="Times New Roman" w:hAnsi="Times New Roman" w:cs="Times New Roman"/>
          <w:color w:val="auto"/>
          <w:sz w:val="28"/>
          <w:szCs w:val="28"/>
          <w:lang w:eastAsia="zh-CN"/>
        </w:rPr>
        <w:t>万元人民币。</w:t>
      </w:r>
    </w:p>
    <w:p>
      <w:pPr>
        <w:pStyle w:val="5"/>
        <w:bidi w:val="0"/>
        <w:jc w:val="center"/>
        <w:rPr>
          <w:rStyle w:val="24"/>
          <w:rFonts w:hint="default" w:ascii="Times New Roman" w:hAnsi="Times New Roman" w:cs="Times New Roman"/>
          <w:b/>
          <w:bCs/>
          <w:color w:val="auto"/>
          <w:lang w:val="en-US" w:eastAsia="zh-CN"/>
        </w:rPr>
      </w:pPr>
      <w:r>
        <w:rPr>
          <w:rFonts w:hint="default" w:ascii="Times New Roman" w:hAnsi="Times New Roman" w:cs="Times New Roman"/>
          <w:color w:val="auto"/>
          <w:lang w:val="en-US" w:eastAsia="zh-CN"/>
        </w:rPr>
        <w:t>2.2.1建设项目选址概况</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1、地理位置及交通状况</w:t>
      </w:r>
    </w:p>
    <w:p>
      <w:pPr>
        <w:bidi w:val="0"/>
        <w:ind w:firstLine="560" w:firstLineChars="200"/>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val="en-US" w:eastAsia="zh-CN"/>
        </w:rPr>
        <w:t>该项目拟建设于</w:t>
      </w:r>
      <w:r>
        <w:rPr>
          <w:rFonts w:hint="default" w:ascii="Times New Roman" w:hAnsi="Times New Roman" w:cs="Times New Roman"/>
          <w:color w:val="auto"/>
        </w:rPr>
        <w:t>江西省彭泽县工业园矶山化工区</w:t>
      </w:r>
      <w:r>
        <w:rPr>
          <w:rFonts w:hint="default" w:ascii="Times New Roman" w:hAnsi="Times New Roman" w:cs="Times New Roman"/>
          <w:color w:val="auto"/>
          <w:lang w:eastAsia="zh-CN"/>
        </w:rPr>
        <w:t>江西心连心化学工业有限公司新规划用地内，该项目地理坐标为东经</w:t>
      </w:r>
      <w:r>
        <w:rPr>
          <w:rFonts w:hint="default" w:ascii="Times New Roman" w:hAnsi="Times New Roman" w:cs="Times New Roman"/>
          <w:color w:val="auto"/>
          <w:lang w:val="en-US" w:eastAsia="zh-CN"/>
        </w:rPr>
        <w:t>116°60′11.61″，北纬29°93′94.00″，该项目总占地面积8亩</w:t>
      </w:r>
      <w:r>
        <w:rPr>
          <w:rFonts w:hint="default" w:ascii="Times New Roman" w:hAnsi="Times New Roman" w:cs="Times New Roman"/>
          <w:color w:val="auto"/>
          <w:vertAlign w:val="baseline"/>
          <w:lang w:val="en-US" w:eastAsia="zh-CN"/>
        </w:rPr>
        <w:t>；该地距长江约1.8km，南靠301省道，离彭泽县城约6km，距九江市约68km。其东北侧7km为彭泽县马当镇。</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彭泽县位于</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HYPERLINK "http://baike.baidu.com/view/7824.htm"</w:instrText>
      </w:r>
      <w:r>
        <w:rPr>
          <w:rFonts w:hint="default" w:ascii="Times New Roman" w:hAnsi="Times New Roman" w:cs="Times New Roman"/>
          <w:color w:val="auto"/>
        </w:rPr>
        <w:fldChar w:fldCharType="separate"/>
      </w:r>
      <w:r>
        <w:rPr>
          <w:rFonts w:hint="default" w:ascii="Times New Roman" w:hAnsi="Times New Roman" w:cs="Times New Roman"/>
          <w:color w:val="auto"/>
        </w:rPr>
        <w:t>江西</w:t>
      </w:r>
      <w:r>
        <w:rPr>
          <w:rFonts w:hint="default" w:ascii="Times New Roman" w:hAnsi="Times New Roman" w:cs="Times New Roman"/>
          <w:color w:val="auto"/>
        </w:rPr>
        <w:fldChar w:fldCharType="end"/>
      </w:r>
      <w:r>
        <w:rPr>
          <w:rFonts w:hint="default" w:ascii="Times New Roman" w:hAnsi="Times New Roman" w:cs="Times New Roman"/>
          <w:color w:val="auto"/>
        </w:rPr>
        <w:t>省最北部，长江中下游南岸，</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HYPERLINK "http://baike.baidu.com/view/8920.htm"</w:instrText>
      </w:r>
      <w:r>
        <w:rPr>
          <w:rFonts w:hint="default" w:ascii="Times New Roman" w:hAnsi="Times New Roman" w:cs="Times New Roman"/>
          <w:color w:val="auto"/>
        </w:rPr>
        <w:fldChar w:fldCharType="separate"/>
      </w:r>
      <w:r>
        <w:rPr>
          <w:rFonts w:hint="default" w:ascii="Times New Roman" w:hAnsi="Times New Roman" w:cs="Times New Roman"/>
          <w:color w:val="auto"/>
        </w:rPr>
        <w:t>九江</w:t>
      </w:r>
      <w:r>
        <w:rPr>
          <w:rFonts w:hint="default" w:ascii="Times New Roman" w:hAnsi="Times New Roman" w:cs="Times New Roman"/>
          <w:color w:val="auto"/>
        </w:rPr>
        <w:fldChar w:fldCharType="end"/>
      </w:r>
      <w:r>
        <w:rPr>
          <w:rFonts w:hint="default" w:ascii="Times New Roman" w:hAnsi="Times New Roman" w:cs="Times New Roman"/>
          <w:color w:val="auto"/>
        </w:rPr>
        <w:t>市东北角上。彭泽水陆交通十分便利，濒临长江，有中型客运码头1座，5000吨级货运码头7座，距九江—景德镇高速公路20km，连接安徽、江苏、上海的省际水泥公路和2008年竣工的铜陵—九江铁路穿境而过，距九江机场70km。彭泽港距武汉港约330km，距上海港</w:t>
      </w:r>
      <w:r>
        <w:rPr>
          <w:rFonts w:hint="default" w:ascii="Times New Roman" w:hAnsi="Times New Roman" w:cs="Times New Roman"/>
          <w:color w:val="auto"/>
          <w:lang w:eastAsia="zh-CN"/>
        </w:rPr>
        <w:t>约</w:t>
      </w:r>
      <w:r>
        <w:rPr>
          <w:rFonts w:hint="default" w:ascii="Times New Roman" w:hAnsi="Times New Roman" w:cs="Times New Roman"/>
          <w:color w:val="auto"/>
        </w:rPr>
        <w:t>600km。江西省正在实施沿江产业带开发战略，彭泽是全省临江岸线最长的县，拥有黄金江岸线42km，可为大钢铁、大水泥、重化工、大耗水、大吞量的产业及仓储物流、出口加工贸易的项目提供充足的水源和便利的运输。</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彭泽工业园成立于2003年3月，2006年3月被江西省政府（赣府字[2006]11号）批准为省级开发区。园区位于彭泽县城东面，形成棉纺、化工、建材、制造四大产业主导工业经济发展的格局。工业园区总体布局实行一园三区，是以精细化工、印染等产业为核心，集存储、生产、加工、运输为一体的生态化工集中控制区。</w:t>
      </w:r>
      <w:r>
        <w:rPr>
          <w:rFonts w:hint="eastAsia" w:cs="Times New Roman"/>
          <w:color w:val="auto"/>
          <w:lang w:eastAsia="zh-CN"/>
        </w:rPr>
        <w:t>在</w:t>
      </w:r>
      <w:r>
        <w:rPr>
          <w:rFonts w:hint="default" w:ascii="Times New Roman" w:hAnsi="Times New Roman" w:cs="Times New Roman"/>
          <w:color w:val="auto"/>
        </w:rPr>
        <w:t>《关于公布全省化工园区名单（第一批）的通知》赣工信石化字〔2021〕92号</w:t>
      </w:r>
      <w:r>
        <w:rPr>
          <w:rFonts w:hint="eastAsia" w:cs="Times New Roman"/>
          <w:color w:val="auto"/>
          <w:lang w:eastAsia="zh-CN"/>
        </w:rPr>
        <w:t>中，江西省九江市彭泽县矶山工业园区列为经认定的化工园区</w:t>
      </w:r>
      <w:r>
        <w:rPr>
          <w:rFonts w:hint="default" w:ascii="Times New Roman" w:hAnsi="Times New Roman" w:cs="Times New Roman"/>
          <w:color w:val="auto"/>
        </w:rPr>
        <w:t>。</w:t>
      </w:r>
    </w:p>
    <w:p>
      <w:pPr>
        <w:bidi w:val="0"/>
        <w:ind w:firstLine="56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2、项目外部依托条件</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1）水源依托</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彭泽县工业园矶山化工区铺设管网可满足园区化工大量用水的需要，长江水为化工园区生产、生活的供水水源。</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2）电源依托</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江西省彭泽县工业园矶山化工区内供电为</w:t>
      </w:r>
      <w:r>
        <w:rPr>
          <w:rFonts w:hint="eastAsia" w:cs="Times New Roman"/>
          <w:color w:val="auto"/>
          <w:lang w:val="en-US" w:eastAsia="zh-CN"/>
        </w:rPr>
        <w:t>双重电源</w:t>
      </w:r>
      <w:r>
        <w:rPr>
          <w:rFonts w:hint="default" w:ascii="Times New Roman" w:hAnsi="Times New Roman" w:cs="Times New Roman"/>
          <w:color w:val="auto"/>
          <w:lang w:val="en-US" w:eastAsia="zh-CN"/>
        </w:rPr>
        <w:t>供电，一路为园区西面的兰丰110KV变电站接入10KV线路，一路为园区东面的泉山110KV变电站接入10KV线路。江西省彭泽县工业园矶山化工区内供电主要为兰丰110KV变电站和泉山110KV变电站。110KV兰丰变电站供电容量3.15万KVA，坐落综合园区，距矶山生态化工集中区约4公里。泉山110KV变电站供电容量4.15万KVA，距离综合园与矶山生态化工集中区约2公里。</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3）消防依托</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彭泽县消防</w:t>
      </w:r>
      <w:r>
        <w:rPr>
          <w:rFonts w:hint="eastAsia" w:cs="Times New Roman"/>
          <w:color w:val="auto"/>
          <w:lang w:val="en-US" w:eastAsia="zh-CN"/>
        </w:rPr>
        <w:t>救援</w:t>
      </w:r>
      <w:r>
        <w:rPr>
          <w:rFonts w:hint="default" w:ascii="Times New Roman" w:hAnsi="Times New Roman" w:cs="Times New Roman"/>
          <w:color w:val="auto"/>
          <w:lang w:val="en-US" w:eastAsia="zh-CN"/>
        </w:rPr>
        <w:t>大队设有执勤车辆8辆（1辆21t水罐消防车、2辆8t泡沫水罐消防车、1辆5t水罐消防车、1辆2.5t水罐消防车、1辆2.5t泡沫水罐消防车、1辆13.5t举高喷射消防车、1辆抢险救援消防车）。车载灭火剂总量为水52.5t、普通泡沫 6t；库存灭火剂为轻水泡沫2t。</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消防大队设置三个专职的消防营房，现大队营房地址在彭浪路，矶山工业园内有一处营房为工业园专职消防队营房，另在培罗成大道新建了二队营房。该消防大队与工业园距离：现大队距矶山工业园为6.3km，用时估计为9min；疏港通道修通后，消防大队与项目选址地距离仅有3.5km。</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园区于南垅路与公园路交叉口布置1座一级消防站，用地面积为1.70公顷，责任区为整个园区，以满足园区消防要求。消防站配备专职消防人员及重型泡沫消防车、干粉泡沫联用车、抢险救援消防车等消防设施。</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4）医疗依托</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医疗依托彭泽县人民医院，医院为二级甲等医院，地处江西省彭泽县龙城镇山南新区龙翔路001号，医院包括急诊科、内科、外科、耳鼻喉科，顾客、皮肤科、检验科等。其中急诊科承担院内外各类急性中毒、创伤、脏器功能衰竭等危重病症前期救治工作，抢救成功率较高。在1998年抗洪救灾工作、2003年防治非典工作中，特别是县域内几次重大交通事故救治工作反应迅速，较好的完成各项任务。急诊绿色通道建设日趋完善，24小时可提供急诊急救服务。</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急诊科科室工作面积200余平，拥有较先进的除颤起搏监护仪、呼吸机、洗胃机等各类抢救配套设施，配备救护车两台。现有工作人员22人，其中副主任医师1名，主治医师3名，主管护师3名；年均急诊1万人次，120接诊1100人次。</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5）其他</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园区设有完善的排涝设施，排涝站的标高为13.5米，位于园区低点。园区防洪排涝设施为55千瓦轴流排水泵5台，能满足周边企业在强降雨时的排水能力。</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园区配套的污水处理厂设计能力为3万吨/日，其中一期处理能力为</w:t>
      </w:r>
      <w:r>
        <w:rPr>
          <w:rFonts w:hint="eastAsia" w:cs="Times New Roman"/>
          <w:color w:val="auto"/>
          <w:lang w:val="en-US" w:eastAsia="zh-CN"/>
        </w:rPr>
        <w:t>1</w:t>
      </w:r>
      <w:r>
        <w:rPr>
          <w:rFonts w:hint="default" w:ascii="Times New Roman" w:hAnsi="Times New Roman" w:cs="Times New Roman"/>
          <w:color w:val="auto"/>
          <w:lang w:val="en-US" w:eastAsia="zh-CN"/>
        </w:rPr>
        <w:t>5000吨/日。工业生产废水经工厂处理达到三级标准后可排入园区污水管网。</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彭泽县矶山工业园长江辰字堤防洪墙墙顶设计高度为20.60-20.70m，防洪等级设计为五级堤防，防洪设计为100年一遇。</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3、厂址周边环境</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1）项目周边居民区分布情况</w:t>
      </w:r>
    </w:p>
    <w:p>
      <w:pPr>
        <w:bidi w:val="0"/>
        <w:ind w:firstLine="560" w:firstLineChars="20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rPr>
        <w:t>依据现场踏勘情况和该公司提供资料，</w:t>
      </w:r>
      <w:r>
        <w:rPr>
          <w:rFonts w:hint="default" w:ascii="Times New Roman" w:hAnsi="Times New Roman" w:cs="Times New Roman"/>
          <w:color w:val="auto"/>
          <w:kern w:val="2"/>
          <w:sz w:val="28"/>
          <w:szCs w:val="28"/>
        </w:rPr>
        <w:t>拟建厂址位于</w:t>
      </w:r>
      <w:r>
        <w:rPr>
          <w:rFonts w:hint="default" w:ascii="Times New Roman" w:hAnsi="Times New Roman" w:cs="Times New Roman"/>
          <w:color w:val="auto"/>
          <w:sz w:val="28"/>
          <w:szCs w:val="28"/>
        </w:rPr>
        <w:t>彭泽工业园矶山工业区</w:t>
      </w:r>
      <w:r>
        <w:rPr>
          <w:rFonts w:hint="default" w:ascii="Times New Roman" w:hAnsi="Times New Roman" w:cs="Times New Roman"/>
          <w:color w:val="auto"/>
          <w:kern w:val="2"/>
          <w:sz w:val="28"/>
          <w:szCs w:val="28"/>
        </w:rPr>
        <w:t>，</w:t>
      </w:r>
      <w:r>
        <w:rPr>
          <w:rFonts w:hint="default" w:ascii="Times New Roman" w:hAnsi="Times New Roman" w:cs="Times New Roman"/>
          <w:color w:val="auto"/>
          <w:sz w:val="28"/>
          <w:szCs w:val="28"/>
        </w:rPr>
        <w:t>拟建厂址</w:t>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lang w:eastAsia="zh-CN"/>
        </w:rPr>
        <w:t>000m范围内存在居民区</w:t>
      </w:r>
      <w:r>
        <w:rPr>
          <w:rFonts w:hint="default" w:ascii="Times New Roman" w:hAnsi="Times New Roman" w:cs="Times New Roman"/>
          <w:color w:val="auto"/>
          <w:sz w:val="28"/>
          <w:szCs w:val="28"/>
        </w:rPr>
        <w:t>。该</w:t>
      </w:r>
      <w:r>
        <w:rPr>
          <w:rFonts w:hint="default" w:ascii="Times New Roman" w:hAnsi="Times New Roman" w:cs="Times New Roman"/>
          <w:color w:val="auto"/>
          <w:kern w:val="2"/>
          <w:sz w:val="28"/>
          <w:szCs w:val="28"/>
        </w:rPr>
        <w:t>厂址</w:t>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lang w:eastAsia="zh-CN"/>
        </w:rPr>
        <w:t>000m范围内周边居民区</w:t>
      </w:r>
      <w:r>
        <w:rPr>
          <w:rFonts w:hint="default" w:ascii="Times New Roman" w:hAnsi="Times New Roman" w:cs="Times New Roman"/>
          <w:color w:val="auto"/>
          <w:sz w:val="28"/>
          <w:szCs w:val="28"/>
        </w:rPr>
        <w:t>见表</w:t>
      </w:r>
      <w:r>
        <w:rPr>
          <w:rFonts w:hint="default" w:ascii="Times New Roman" w:hAnsi="Times New Roman" w:cs="Times New Roman"/>
          <w:color w:val="auto"/>
          <w:sz w:val="28"/>
          <w:szCs w:val="28"/>
          <w:lang w:eastAsia="zh-CN"/>
        </w:rPr>
        <w:t>2</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en-US" w:eastAsia="zh-CN"/>
        </w:rPr>
        <w:t>1。</w:t>
      </w:r>
    </w:p>
    <w:p>
      <w:p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表2.</w:t>
      </w:r>
      <w:r>
        <w:rPr>
          <w:rFonts w:hint="eastAsia" w:cs="Times New Roman"/>
          <w:color w:val="auto"/>
          <w:sz w:val="28"/>
          <w:szCs w:val="28"/>
          <w:lang w:val="en-US" w:eastAsia="zh-CN"/>
        </w:rPr>
        <w:t>2</w:t>
      </w:r>
      <w:r>
        <w:rPr>
          <w:rFonts w:hint="default" w:ascii="Times New Roman" w:hAnsi="Times New Roman" w:cs="Times New Roman"/>
          <w:color w:val="auto"/>
          <w:sz w:val="28"/>
          <w:szCs w:val="28"/>
          <w:lang w:val="en-US" w:eastAsia="zh-CN"/>
        </w:rPr>
        <w:t>-1 拟建项目周边居民区分布表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5"/>
        <w:gridCol w:w="1283"/>
        <w:gridCol w:w="2052"/>
        <w:gridCol w:w="3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1543"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周边敏感目标</w:t>
            </w:r>
          </w:p>
        </w:tc>
        <w:tc>
          <w:tcPr>
            <w:tcW w:w="691"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方位</w:t>
            </w:r>
          </w:p>
        </w:tc>
        <w:tc>
          <w:tcPr>
            <w:tcW w:w="110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距离厂界（m）</w:t>
            </w:r>
          </w:p>
        </w:tc>
        <w:tc>
          <w:tcPr>
            <w:tcW w:w="165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规模（人）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43"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茅屋里</w:t>
            </w:r>
          </w:p>
        </w:tc>
        <w:tc>
          <w:tcPr>
            <w:tcW w:w="691"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WS</w:t>
            </w:r>
          </w:p>
        </w:tc>
        <w:tc>
          <w:tcPr>
            <w:tcW w:w="110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1320</w:t>
            </w:r>
          </w:p>
        </w:tc>
        <w:tc>
          <w:tcPr>
            <w:tcW w:w="165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约130人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43"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南山村</w:t>
            </w:r>
          </w:p>
        </w:tc>
        <w:tc>
          <w:tcPr>
            <w:tcW w:w="691"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110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2160</w:t>
            </w:r>
          </w:p>
        </w:tc>
        <w:tc>
          <w:tcPr>
            <w:tcW w:w="165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约506人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43"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红星村</w:t>
            </w:r>
          </w:p>
        </w:tc>
        <w:tc>
          <w:tcPr>
            <w:tcW w:w="691"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110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2600</w:t>
            </w:r>
          </w:p>
        </w:tc>
        <w:tc>
          <w:tcPr>
            <w:tcW w:w="165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约828人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543"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西边邬家</w:t>
            </w:r>
          </w:p>
        </w:tc>
        <w:tc>
          <w:tcPr>
            <w:tcW w:w="691"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WS</w:t>
            </w:r>
          </w:p>
        </w:tc>
        <w:tc>
          <w:tcPr>
            <w:tcW w:w="110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771</w:t>
            </w:r>
          </w:p>
        </w:tc>
        <w:tc>
          <w:tcPr>
            <w:tcW w:w="165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约180人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543"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东边邬家</w:t>
            </w:r>
          </w:p>
        </w:tc>
        <w:tc>
          <w:tcPr>
            <w:tcW w:w="691"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WS</w:t>
            </w:r>
          </w:p>
        </w:tc>
        <w:tc>
          <w:tcPr>
            <w:tcW w:w="110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600</w:t>
            </w:r>
          </w:p>
        </w:tc>
        <w:tc>
          <w:tcPr>
            <w:tcW w:w="165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约100人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543"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园区管委会</w:t>
            </w:r>
          </w:p>
        </w:tc>
        <w:tc>
          <w:tcPr>
            <w:tcW w:w="691"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SE</w:t>
            </w:r>
          </w:p>
        </w:tc>
        <w:tc>
          <w:tcPr>
            <w:tcW w:w="110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1483</w:t>
            </w:r>
          </w:p>
        </w:tc>
        <w:tc>
          <w:tcPr>
            <w:tcW w:w="165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约40人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543"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零散饭店</w:t>
            </w:r>
          </w:p>
        </w:tc>
        <w:tc>
          <w:tcPr>
            <w:tcW w:w="691"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SE</w:t>
            </w:r>
          </w:p>
        </w:tc>
        <w:tc>
          <w:tcPr>
            <w:tcW w:w="110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1600</w:t>
            </w:r>
          </w:p>
        </w:tc>
        <w:tc>
          <w:tcPr>
            <w:tcW w:w="165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p>
        </w:tc>
      </w:tr>
    </w:tbl>
    <w:p>
      <w:pPr>
        <w:numPr>
          <w:ilvl w:val="0"/>
          <w:numId w:val="2"/>
        </w:numPr>
        <w:bidi w:val="0"/>
        <w:ind w:firstLine="560" w:firstLineChars="200"/>
        <w:jc w:val="both"/>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项目周边企业分布情况</w:t>
      </w:r>
    </w:p>
    <w:p>
      <w:pPr>
        <w:numPr>
          <w:ilvl w:val="0"/>
          <w:numId w:val="0"/>
        </w:numPr>
        <w:bidi w:val="0"/>
        <w:ind w:firstLine="560" w:firstLineChars="200"/>
        <w:jc w:val="both"/>
        <w:rPr>
          <w:rFonts w:hint="default" w:ascii="Times New Roman" w:hAnsi="Times New Roman"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该拟建项目所在地为彭泽矶山工业园的南界，东北侧为</w:t>
      </w:r>
      <w:bookmarkStart w:id="166" w:name="_GoBack"/>
      <w:r>
        <w:rPr>
          <w:rFonts w:hint="default" w:ascii="Times New Roman" w:hAnsi="Times New Roman" w:eastAsia="宋体" w:cs="Times New Roman"/>
          <w:color w:val="auto"/>
          <w:sz w:val="28"/>
          <w:szCs w:val="28"/>
          <w:lang w:val="en-US" w:eastAsia="zh-CN"/>
        </w:rPr>
        <w:t>九江杜威橡胶科技有限公司</w:t>
      </w:r>
      <w:bookmarkEnd w:id="166"/>
      <w:r>
        <w:rPr>
          <w:rFonts w:hint="default" w:ascii="Times New Roman" w:hAnsi="Times New Roman" w:eastAsia="宋体" w:cs="Times New Roman"/>
          <w:color w:val="auto"/>
          <w:sz w:val="28"/>
          <w:szCs w:val="28"/>
          <w:lang w:val="en-US" w:eastAsia="zh-CN"/>
        </w:rPr>
        <w:t>（与厂界距离170m）和江西善水科技发展有限公司预留用地；西北侧为江西善渊药业有限公司（与厂界距离290m）；西侧为山地；南侧为空地。</w:t>
      </w:r>
    </w:p>
    <w:p>
      <w:pPr>
        <w:numPr>
          <w:ilvl w:val="0"/>
          <w:numId w:val="0"/>
        </w:num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表2.</w:t>
      </w:r>
      <w:r>
        <w:rPr>
          <w:rFonts w:hint="eastAsia" w:cs="Times New Roman"/>
          <w:color w:val="auto"/>
          <w:sz w:val="28"/>
          <w:szCs w:val="28"/>
          <w:lang w:val="en-US" w:eastAsia="zh-CN"/>
        </w:rPr>
        <w:t>2</w:t>
      </w:r>
      <w:r>
        <w:rPr>
          <w:rFonts w:hint="default" w:ascii="Times New Roman" w:hAnsi="Times New Roman" w:cs="Times New Roman"/>
          <w:color w:val="auto"/>
          <w:sz w:val="28"/>
          <w:szCs w:val="28"/>
          <w:lang w:val="en-US" w:eastAsia="zh-CN"/>
        </w:rPr>
        <w:t>-2 拟建项目周边企业分布表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44"/>
        <w:gridCol w:w="3578"/>
        <w:gridCol w:w="1018"/>
        <w:gridCol w:w="1590"/>
        <w:gridCol w:w="185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0" w:type="pct"/>
            <w:shd w:val="clear" w:color="auto" w:fill="auto"/>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序号</w:t>
            </w:r>
          </w:p>
        </w:tc>
        <w:tc>
          <w:tcPr>
            <w:tcW w:w="1927" w:type="pct"/>
            <w:shd w:val="clear" w:color="auto" w:fill="auto"/>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周边企业</w:t>
            </w:r>
          </w:p>
        </w:tc>
        <w:tc>
          <w:tcPr>
            <w:tcW w:w="548" w:type="pct"/>
            <w:shd w:val="clear" w:color="auto" w:fill="auto"/>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方位</w:t>
            </w:r>
          </w:p>
        </w:tc>
        <w:tc>
          <w:tcPr>
            <w:tcW w:w="856" w:type="pct"/>
            <w:shd w:val="clear" w:color="auto" w:fill="auto"/>
            <w:noWrap w:val="0"/>
            <w:vAlign w:val="center"/>
          </w:tcPr>
          <w:p>
            <w:pPr>
              <w:spacing w:line="240" w:lineRule="auto"/>
              <w:ind w:firstLine="6" w:firstLineChars="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厂址距离（m）</w:t>
            </w:r>
          </w:p>
        </w:tc>
        <w:tc>
          <w:tcPr>
            <w:tcW w:w="997" w:type="pct"/>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与该项目间距（m）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0" w:type="pct"/>
            <w:shd w:val="clear" w:color="auto" w:fill="auto"/>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927" w:type="pct"/>
            <w:shd w:val="clear" w:color="auto" w:fill="auto"/>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九江杜威橡胶科技有限公司</w:t>
            </w:r>
          </w:p>
        </w:tc>
        <w:tc>
          <w:tcPr>
            <w:tcW w:w="548" w:type="pct"/>
            <w:shd w:val="clear" w:color="auto" w:fill="auto"/>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东北</w:t>
            </w:r>
          </w:p>
        </w:tc>
        <w:tc>
          <w:tcPr>
            <w:tcW w:w="856" w:type="pct"/>
            <w:shd w:val="clear" w:color="auto" w:fill="auto"/>
            <w:noWrap w:val="0"/>
            <w:vAlign w:val="center"/>
          </w:tcPr>
          <w:p>
            <w:pPr>
              <w:spacing w:line="240" w:lineRule="auto"/>
              <w:ind w:firstLine="6" w:firstLineChars="3"/>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170</w:t>
            </w:r>
          </w:p>
        </w:tc>
        <w:tc>
          <w:tcPr>
            <w:tcW w:w="997"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0" w:type="pct"/>
            <w:shd w:val="clear" w:color="auto" w:fill="auto"/>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927" w:type="pct"/>
            <w:shd w:val="clear" w:color="auto" w:fill="auto"/>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江西善渊药业有限公司</w:t>
            </w:r>
          </w:p>
        </w:tc>
        <w:tc>
          <w:tcPr>
            <w:tcW w:w="548" w:type="pct"/>
            <w:shd w:val="clear" w:color="auto" w:fill="auto"/>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西北</w:t>
            </w:r>
          </w:p>
        </w:tc>
        <w:tc>
          <w:tcPr>
            <w:tcW w:w="856" w:type="pct"/>
            <w:shd w:val="clear" w:color="auto" w:fill="auto"/>
            <w:noWrap w:val="0"/>
            <w:vAlign w:val="center"/>
          </w:tcPr>
          <w:p>
            <w:pPr>
              <w:spacing w:line="240" w:lineRule="auto"/>
              <w:ind w:firstLine="6" w:firstLineChars="3"/>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290</w:t>
            </w:r>
          </w:p>
        </w:tc>
        <w:tc>
          <w:tcPr>
            <w:tcW w:w="997"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395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0" w:type="pct"/>
            <w:shd w:val="clear" w:color="auto" w:fill="auto"/>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927" w:type="pct"/>
            <w:shd w:val="clear" w:color="auto" w:fill="auto"/>
            <w:noWrap w:val="0"/>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江西善水科技发展有限公司预留用地</w:t>
            </w:r>
          </w:p>
        </w:tc>
        <w:tc>
          <w:tcPr>
            <w:tcW w:w="548" w:type="pct"/>
            <w:shd w:val="clear" w:color="auto" w:fill="auto"/>
            <w:noWrap w:val="0"/>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东北</w:t>
            </w:r>
          </w:p>
        </w:tc>
        <w:tc>
          <w:tcPr>
            <w:tcW w:w="856" w:type="pct"/>
            <w:shd w:val="clear" w:color="auto" w:fill="auto"/>
            <w:noWrap w:val="0"/>
            <w:vAlign w:val="center"/>
          </w:tcPr>
          <w:p>
            <w:pPr>
              <w:spacing w:line="240" w:lineRule="auto"/>
              <w:ind w:firstLine="6" w:firstLineChars="3"/>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997"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r>
    </w:tbl>
    <w:p>
      <w:pPr>
        <w:numPr>
          <w:ilvl w:val="0"/>
          <w:numId w:val="2"/>
        </w:numPr>
        <w:bidi w:val="0"/>
        <w:ind w:left="0" w:leftChars="0" w:firstLine="560" w:firstLineChars="200"/>
        <w:jc w:val="both"/>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项目周边交通、河流等其他分布情况</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依据</w:t>
      </w:r>
      <w:r>
        <w:rPr>
          <w:rFonts w:hint="default" w:ascii="Times New Roman" w:hAnsi="Times New Roman" w:cs="Times New Roman"/>
          <w:color w:val="auto"/>
        </w:rPr>
        <w:t>现场踏勘情况和该公司提供资料</w:t>
      </w:r>
      <w:r>
        <w:rPr>
          <w:rFonts w:hint="default" w:ascii="Times New Roman" w:hAnsi="Times New Roman" w:eastAsia="宋体" w:cs="Times New Roman"/>
          <w:color w:val="auto"/>
          <w:lang w:eastAsia="zh-CN"/>
        </w:rPr>
        <w:t>，该项目东面距</w:t>
      </w:r>
      <w:r>
        <w:rPr>
          <w:rFonts w:hint="default" w:ascii="Times New Roman" w:hAnsi="Times New Roman" w:eastAsia="宋体" w:cs="Times New Roman"/>
          <w:color w:val="auto"/>
          <w:lang w:val="en-US" w:eastAsia="zh-CN"/>
        </w:rPr>
        <w:t>省道大于100m，规划红线距离长江大于1km。</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厂址周边1000m范围内无商业中心、公园及重要公共设施。项目周边1000m范围内无基本农田保护区、基本草原、畜禽遗传资源保护区、畜禽规模化养殖场（养殖小区）、渔业水域以及种子、种畜禽、水产苗种生产基地；项目周边1000m范围内无湖泊、风景名胜区和自然保护区。项目周边无军事禁区、军事管理区；项目周边无法律、行政法规规定予以保护的其他区域。</w:t>
      </w:r>
    </w:p>
    <w:p>
      <w:pPr>
        <w:keepNext/>
        <w:keepLines/>
        <w:widowControl w:val="0"/>
        <w:spacing w:line="600" w:lineRule="exact"/>
        <w:ind w:left="0" w:leftChars="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2.2.2建设项目拟采用的主要技术、工艺方法（方式）和国内外同类建设项目水平对比情况</w:t>
      </w:r>
    </w:p>
    <w:p>
      <w:pPr>
        <w:bidi w:val="0"/>
        <w:ind w:firstLine="56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rPr>
        <w:t>江西心连心化学工业有限公司</w:t>
      </w:r>
      <w:r>
        <w:rPr>
          <w:rFonts w:hint="default" w:ascii="Times New Roman" w:hAnsi="Times New Roman" w:cs="Times New Roman"/>
          <w:color w:val="auto"/>
          <w:lang w:eastAsia="zh-CN"/>
        </w:rPr>
        <w:t>年产15万吨转鼓氨化造粒复合肥项目</w:t>
      </w:r>
      <w:r>
        <w:rPr>
          <w:rFonts w:hint="default" w:ascii="Times New Roman" w:hAnsi="Times New Roman" w:cs="Times New Roman"/>
          <w:color w:val="auto"/>
        </w:rPr>
        <w:t>采用转鼓</w:t>
      </w:r>
      <w:r>
        <w:rPr>
          <w:rFonts w:hint="default" w:ascii="Times New Roman" w:hAnsi="Times New Roman" w:cs="Times New Roman"/>
          <w:color w:val="auto"/>
          <w:lang w:eastAsia="zh-CN"/>
        </w:rPr>
        <w:t>造粒</w:t>
      </w:r>
      <w:r>
        <w:rPr>
          <w:rFonts w:hint="default" w:ascii="Times New Roman" w:hAnsi="Times New Roman" w:cs="Times New Roman"/>
          <w:color w:val="auto"/>
        </w:rPr>
        <w:t>工艺为核心工艺。江西心连心化学工业有限公司</w:t>
      </w:r>
      <w:r>
        <w:rPr>
          <w:rFonts w:hint="default" w:ascii="Times New Roman" w:hAnsi="Times New Roman" w:cs="Times New Roman"/>
          <w:color w:val="auto"/>
          <w:lang w:eastAsia="zh-CN"/>
        </w:rPr>
        <w:t>与</w:t>
      </w:r>
      <w:r>
        <w:rPr>
          <w:rFonts w:hint="eastAsia" w:cs="Times New Roman"/>
          <w:color w:val="auto"/>
          <w:lang w:eastAsia="zh-CN"/>
        </w:rPr>
        <w:t>河南心连心化学工业集团有限公司</w:t>
      </w:r>
      <w:r>
        <w:rPr>
          <w:rFonts w:hint="default" w:ascii="Times New Roman" w:hAnsi="Times New Roman" w:cs="Times New Roman"/>
          <w:color w:val="auto"/>
          <w:lang w:eastAsia="zh-CN"/>
        </w:rPr>
        <w:t>签订了技术合作协议</w:t>
      </w:r>
      <w:r>
        <w:rPr>
          <w:rFonts w:hint="eastAsia" w:cs="Times New Roman"/>
          <w:color w:val="auto"/>
          <w:lang w:eastAsia="zh-CN"/>
        </w:rPr>
        <w:t>，</w:t>
      </w:r>
      <w:r>
        <w:rPr>
          <w:rFonts w:hint="default" w:ascii="Times New Roman" w:hAnsi="Times New Roman" w:cs="Times New Roman"/>
          <w:color w:val="auto"/>
          <w:lang w:eastAsia="zh-CN"/>
        </w:rPr>
        <w:t>详见附件。</w:t>
      </w:r>
    </w:p>
    <w:p>
      <w:pPr>
        <w:jc w:val="center"/>
        <w:rPr>
          <w:rFonts w:hint="default" w:ascii="Times New Roman" w:hAnsi="Times New Roman" w:cs="Times New Roman"/>
          <w:color w:val="auto"/>
          <w:lang w:val="en-US" w:eastAsia="zh-CN"/>
        </w:rPr>
      </w:pPr>
      <w:r>
        <w:rPr>
          <w:rFonts w:hint="default" w:ascii="Times New Roman" w:hAnsi="Times New Roman" w:cs="Times New Roman"/>
          <w:color w:val="auto"/>
        </w:rPr>
        <w:t>表2.2-</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工艺技术</w:t>
      </w:r>
      <w:r>
        <w:rPr>
          <w:rFonts w:hint="eastAsia" w:cs="Times New Roman"/>
          <w:color w:val="auto"/>
          <w:lang w:val="en-US" w:eastAsia="zh-CN"/>
        </w:rPr>
        <w:t>在</w:t>
      </w:r>
      <w:r>
        <w:rPr>
          <w:rFonts w:hint="default" w:ascii="Times New Roman" w:hAnsi="Times New Roman" w:cs="Times New Roman"/>
          <w:color w:val="auto"/>
          <w:lang w:val="en-US" w:eastAsia="zh-CN"/>
        </w:rPr>
        <w:t>国内</w:t>
      </w:r>
      <w:r>
        <w:rPr>
          <w:rFonts w:hint="eastAsia" w:cs="Times New Roman"/>
          <w:color w:val="auto"/>
          <w:lang w:val="en-US" w:eastAsia="zh-CN"/>
        </w:rPr>
        <w:t>同类企业情况</w:t>
      </w:r>
      <w:r>
        <w:rPr>
          <w:rFonts w:hint="default" w:ascii="Times New Roman" w:hAnsi="Times New Roman" w:cs="Times New Roman"/>
          <w:color w:val="auto"/>
          <w:lang w:val="en-US" w:eastAsia="zh-CN"/>
        </w:rPr>
        <w:t>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5043"/>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pct"/>
            <w:shd w:val="clear" w:color="auto" w:fill="auto"/>
          </w:tcPr>
          <w:p>
            <w:pPr>
              <w:adjustRightInd w:val="0"/>
              <w:snapToGrid w:val="0"/>
              <w:spacing w:line="240" w:lineRule="auto"/>
              <w:jc w:val="center"/>
              <w:textAlignment w:val="center"/>
              <w:rPr>
                <w:rFonts w:ascii="Times New Roman" w:hAnsi="Times New Roman"/>
                <w:b/>
                <w:bCs/>
                <w:color w:val="auto"/>
                <w:sz w:val="21"/>
                <w:szCs w:val="21"/>
              </w:rPr>
            </w:pPr>
            <w:r>
              <w:rPr>
                <w:rFonts w:ascii="Times New Roman" w:hAnsi="Times New Roman"/>
                <w:b/>
                <w:bCs/>
                <w:color w:val="auto"/>
                <w:sz w:val="21"/>
                <w:szCs w:val="21"/>
              </w:rPr>
              <w:t>装置</w:t>
            </w:r>
          </w:p>
        </w:tc>
        <w:tc>
          <w:tcPr>
            <w:tcW w:w="2715" w:type="pct"/>
            <w:shd w:val="clear" w:color="auto" w:fill="auto"/>
          </w:tcPr>
          <w:p>
            <w:pPr>
              <w:adjustRightInd w:val="0"/>
              <w:snapToGrid w:val="0"/>
              <w:spacing w:line="240" w:lineRule="auto"/>
              <w:jc w:val="center"/>
              <w:textAlignment w:val="center"/>
              <w:rPr>
                <w:rFonts w:ascii="Times New Roman" w:hAnsi="Times New Roman"/>
                <w:b/>
                <w:bCs/>
                <w:color w:val="auto"/>
                <w:sz w:val="21"/>
                <w:szCs w:val="21"/>
              </w:rPr>
            </w:pPr>
            <w:r>
              <w:rPr>
                <w:rFonts w:ascii="Times New Roman" w:hAnsi="Times New Roman"/>
                <w:b/>
                <w:bCs/>
                <w:color w:val="auto"/>
                <w:sz w:val="21"/>
                <w:szCs w:val="21"/>
              </w:rPr>
              <w:t>国内生产厂家名称及生产规模</w:t>
            </w:r>
          </w:p>
        </w:tc>
        <w:tc>
          <w:tcPr>
            <w:tcW w:w="1529" w:type="pct"/>
            <w:shd w:val="clear" w:color="auto" w:fill="auto"/>
          </w:tcPr>
          <w:p>
            <w:pPr>
              <w:adjustRightInd w:val="0"/>
              <w:snapToGrid w:val="0"/>
              <w:spacing w:line="240" w:lineRule="auto"/>
              <w:jc w:val="center"/>
              <w:textAlignment w:val="center"/>
              <w:rPr>
                <w:rFonts w:ascii="Times New Roman" w:hAnsi="Times New Roman"/>
                <w:b/>
                <w:bCs/>
                <w:color w:val="auto"/>
                <w:sz w:val="21"/>
                <w:szCs w:val="21"/>
              </w:rPr>
            </w:pPr>
            <w:r>
              <w:rPr>
                <w:rFonts w:ascii="Times New Roman" w:hAnsi="Times New Roman"/>
                <w:b/>
                <w:bCs/>
                <w:color w:val="auto"/>
                <w:sz w:val="21"/>
                <w:szCs w:val="21"/>
              </w:rPr>
              <w:t>装置建设时间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pct"/>
            <w:vMerge w:val="restart"/>
            <w:shd w:val="clear" w:color="auto" w:fill="auto"/>
            <w:vAlign w:val="center"/>
          </w:tcPr>
          <w:p>
            <w:pPr>
              <w:adjustRightInd w:val="0"/>
              <w:snapToGrid w:val="0"/>
              <w:spacing w:line="240" w:lineRule="auto"/>
              <w:jc w:val="center"/>
              <w:textAlignment w:val="center"/>
              <w:rPr>
                <w:rFonts w:hint="default" w:ascii="Times New Roman" w:hAnsi="Times New Roman" w:eastAsia="宋体"/>
                <w:color w:val="auto"/>
                <w:sz w:val="21"/>
                <w:szCs w:val="21"/>
                <w:lang w:val="en-US" w:eastAsia="zh-CN"/>
              </w:rPr>
            </w:pPr>
            <w:r>
              <w:rPr>
                <w:rFonts w:hint="eastAsia" w:asciiTheme="minorEastAsia" w:hAnsiTheme="minorEastAsia"/>
                <w:color w:val="auto"/>
                <w:sz w:val="21"/>
                <w:szCs w:val="21"/>
                <w:lang w:val="en-US" w:eastAsia="zh-CN"/>
              </w:rPr>
              <w:t>转鼓造粒复合肥装置</w:t>
            </w:r>
          </w:p>
        </w:tc>
        <w:tc>
          <w:tcPr>
            <w:tcW w:w="2715" w:type="pct"/>
            <w:shd w:val="clear" w:color="auto" w:fill="auto"/>
            <w:vAlign w:val="center"/>
          </w:tcPr>
          <w:p>
            <w:pPr>
              <w:adjustRightInd w:val="0"/>
              <w:snapToGrid w:val="0"/>
              <w:spacing w:line="240" w:lineRule="auto"/>
              <w:textAlignment w:val="center"/>
              <w:rPr>
                <w:rFonts w:ascii="Times New Roman" w:hAnsi="Times New Roman"/>
                <w:color w:val="auto"/>
                <w:sz w:val="21"/>
                <w:szCs w:val="21"/>
              </w:rPr>
            </w:pPr>
            <w:r>
              <w:rPr>
                <w:rFonts w:hint="eastAsia" w:asciiTheme="minorEastAsia" w:hAnsiTheme="minorEastAsia"/>
                <w:color w:val="auto"/>
                <w:sz w:val="21"/>
                <w:szCs w:val="21"/>
              </w:rPr>
              <w:t>安徽道儿集团10万吨氨化氨酸项目</w:t>
            </w:r>
          </w:p>
        </w:tc>
        <w:tc>
          <w:tcPr>
            <w:tcW w:w="1529" w:type="pct"/>
            <w:shd w:val="clear" w:color="auto" w:fill="auto"/>
            <w:vAlign w:val="center"/>
          </w:tcPr>
          <w:p>
            <w:pPr>
              <w:spacing w:line="240" w:lineRule="auto"/>
              <w:jc w:val="center"/>
              <w:rPr>
                <w:rFonts w:asciiTheme="minorEastAsia" w:hAnsiTheme="minorEastAsia"/>
                <w:color w:val="auto"/>
                <w:sz w:val="21"/>
                <w:szCs w:val="21"/>
              </w:rPr>
            </w:pPr>
            <w:r>
              <w:rPr>
                <w:rFonts w:hint="eastAsia" w:asciiTheme="minorEastAsia" w:hAnsiTheme="minorEastAsia"/>
                <w:color w:val="auto"/>
                <w:sz w:val="21"/>
                <w:szCs w:val="21"/>
              </w:rPr>
              <w:t>2002年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pct"/>
            <w:vMerge w:val="continue"/>
            <w:shd w:val="clear" w:color="auto" w:fill="auto"/>
          </w:tcPr>
          <w:p>
            <w:pPr>
              <w:adjustRightInd w:val="0"/>
              <w:snapToGrid w:val="0"/>
              <w:spacing w:line="240" w:lineRule="auto"/>
              <w:jc w:val="center"/>
              <w:textAlignment w:val="center"/>
              <w:rPr>
                <w:rFonts w:ascii="Times New Roman" w:hAnsi="Times New Roman"/>
                <w:color w:val="auto"/>
                <w:sz w:val="21"/>
                <w:szCs w:val="21"/>
              </w:rPr>
            </w:pPr>
          </w:p>
        </w:tc>
        <w:tc>
          <w:tcPr>
            <w:tcW w:w="2715" w:type="pct"/>
            <w:shd w:val="clear" w:color="auto" w:fill="auto"/>
            <w:vAlign w:val="center"/>
          </w:tcPr>
          <w:p>
            <w:pPr>
              <w:adjustRightInd w:val="0"/>
              <w:snapToGrid w:val="0"/>
              <w:spacing w:line="240" w:lineRule="auto"/>
              <w:textAlignment w:val="center"/>
              <w:rPr>
                <w:rFonts w:ascii="Times New Roman" w:hAnsi="Times New Roman"/>
                <w:color w:val="auto"/>
                <w:sz w:val="21"/>
                <w:szCs w:val="21"/>
              </w:rPr>
            </w:pPr>
            <w:r>
              <w:rPr>
                <w:rFonts w:hint="eastAsia" w:asciiTheme="minorEastAsia" w:hAnsiTheme="minorEastAsia"/>
                <w:color w:val="auto"/>
                <w:sz w:val="21"/>
                <w:szCs w:val="21"/>
              </w:rPr>
              <w:t>山东红日集团10万吨混肥改氨酸氨化项目</w:t>
            </w:r>
          </w:p>
        </w:tc>
        <w:tc>
          <w:tcPr>
            <w:tcW w:w="1529" w:type="pct"/>
            <w:shd w:val="clear" w:color="auto" w:fill="auto"/>
            <w:vAlign w:val="center"/>
          </w:tcPr>
          <w:p>
            <w:pPr>
              <w:spacing w:line="24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2009年开车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pct"/>
            <w:vMerge w:val="continue"/>
            <w:shd w:val="clear" w:color="auto" w:fill="auto"/>
          </w:tcPr>
          <w:p>
            <w:pPr>
              <w:adjustRightInd w:val="0"/>
              <w:snapToGrid w:val="0"/>
              <w:spacing w:line="240" w:lineRule="auto"/>
              <w:jc w:val="center"/>
              <w:textAlignment w:val="center"/>
              <w:rPr>
                <w:rFonts w:ascii="Times New Roman" w:hAnsi="Times New Roman"/>
                <w:color w:val="auto"/>
                <w:sz w:val="21"/>
                <w:szCs w:val="21"/>
              </w:rPr>
            </w:pPr>
          </w:p>
        </w:tc>
        <w:tc>
          <w:tcPr>
            <w:tcW w:w="2715" w:type="pct"/>
            <w:shd w:val="clear" w:color="auto" w:fill="auto"/>
            <w:vAlign w:val="center"/>
          </w:tcPr>
          <w:p>
            <w:pPr>
              <w:adjustRightInd w:val="0"/>
              <w:snapToGrid w:val="0"/>
              <w:spacing w:line="240" w:lineRule="auto"/>
              <w:textAlignment w:val="center"/>
              <w:rPr>
                <w:rFonts w:ascii="Times New Roman" w:hAnsi="Times New Roman"/>
                <w:color w:val="auto"/>
                <w:sz w:val="21"/>
                <w:szCs w:val="21"/>
              </w:rPr>
            </w:pPr>
            <w:r>
              <w:rPr>
                <w:rFonts w:hint="eastAsia" w:asciiTheme="minorEastAsia" w:hAnsiTheme="minorEastAsia"/>
                <w:color w:val="auto"/>
                <w:sz w:val="21"/>
                <w:szCs w:val="21"/>
              </w:rPr>
              <w:t>湖北洋丰集团15万吨氨化项目</w:t>
            </w:r>
          </w:p>
        </w:tc>
        <w:tc>
          <w:tcPr>
            <w:tcW w:w="1529" w:type="pct"/>
            <w:shd w:val="clear" w:color="auto" w:fill="auto"/>
            <w:vAlign w:val="center"/>
          </w:tcPr>
          <w:p>
            <w:pPr>
              <w:adjustRightInd w:val="0"/>
              <w:snapToGrid w:val="0"/>
              <w:spacing w:line="240" w:lineRule="auto"/>
              <w:jc w:val="center"/>
              <w:textAlignment w:val="center"/>
              <w:rPr>
                <w:rFonts w:ascii="Times New Roman" w:hAnsi="Times New Roman"/>
                <w:color w:val="auto"/>
                <w:sz w:val="21"/>
                <w:szCs w:val="21"/>
              </w:rPr>
            </w:pPr>
            <w:r>
              <w:rPr>
                <w:rFonts w:hint="eastAsia" w:asciiTheme="minorEastAsia" w:hAnsiTheme="minorEastAsia"/>
                <w:color w:val="auto"/>
                <w:sz w:val="21"/>
                <w:szCs w:val="21"/>
              </w:rPr>
              <w:t>2012年开车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pct"/>
            <w:vMerge w:val="continue"/>
            <w:shd w:val="clear" w:color="auto" w:fill="auto"/>
          </w:tcPr>
          <w:p>
            <w:pPr>
              <w:adjustRightInd w:val="0"/>
              <w:snapToGrid w:val="0"/>
              <w:spacing w:line="240" w:lineRule="auto"/>
              <w:jc w:val="center"/>
              <w:textAlignment w:val="center"/>
              <w:rPr>
                <w:rFonts w:ascii="Times New Roman" w:hAnsi="Times New Roman"/>
                <w:color w:val="auto"/>
                <w:sz w:val="21"/>
                <w:szCs w:val="21"/>
              </w:rPr>
            </w:pPr>
          </w:p>
        </w:tc>
        <w:tc>
          <w:tcPr>
            <w:tcW w:w="2715" w:type="pct"/>
            <w:shd w:val="clear" w:color="auto" w:fill="auto"/>
            <w:vAlign w:val="center"/>
          </w:tcPr>
          <w:p>
            <w:pPr>
              <w:adjustRightInd w:val="0"/>
              <w:snapToGrid w:val="0"/>
              <w:spacing w:line="240" w:lineRule="auto"/>
              <w:textAlignment w:val="center"/>
              <w:rPr>
                <w:rFonts w:ascii="Times New Roman" w:hAnsi="Times New Roman"/>
                <w:color w:val="auto"/>
                <w:sz w:val="21"/>
                <w:szCs w:val="21"/>
              </w:rPr>
            </w:pPr>
            <w:r>
              <w:rPr>
                <w:rFonts w:hint="eastAsia" w:asciiTheme="minorEastAsia" w:hAnsiTheme="minorEastAsia"/>
                <w:color w:val="auto"/>
                <w:sz w:val="21"/>
                <w:szCs w:val="21"/>
              </w:rPr>
              <w:t>浙江巨龙集团3万吨氨化造粒改造项目</w:t>
            </w:r>
          </w:p>
        </w:tc>
        <w:tc>
          <w:tcPr>
            <w:tcW w:w="1529" w:type="pct"/>
            <w:shd w:val="clear" w:color="auto" w:fill="auto"/>
            <w:vAlign w:val="center"/>
          </w:tcPr>
          <w:p>
            <w:pPr>
              <w:spacing w:line="24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1999年开车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pct"/>
            <w:vMerge w:val="continue"/>
            <w:shd w:val="clear" w:color="auto" w:fill="auto"/>
          </w:tcPr>
          <w:p>
            <w:pPr>
              <w:adjustRightInd w:val="0"/>
              <w:snapToGrid w:val="0"/>
              <w:spacing w:line="240" w:lineRule="auto"/>
              <w:jc w:val="center"/>
              <w:textAlignment w:val="center"/>
              <w:rPr>
                <w:rFonts w:ascii="Times New Roman" w:hAnsi="Times New Roman"/>
                <w:color w:val="auto"/>
                <w:sz w:val="21"/>
                <w:szCs w:val="21"/>
              </w:rPr>
            </w:pPr>
          </w:p>
        </w:tc>
        <w:tc>
          <w:tcPr>
            <w:tcW w:w="2715" w:type="pct"/>
            <w:shd w:val="clear" w:color="auto" w:fill="auto"/>
            <w:vAlign w:val="center"/>
          </w:tcPr>
          <w:p>
            <w:pPr>
              <w:adjustRightInd w:val="0"/>
              <w:snapToGrid w:val="0"/>
              <w:spacing w:line="240" w:lineRule="auto"/>
              <w:textAlignment w:val="center"/>
              <w:rPr>
                <w:rFonts w:ascii="Times New Roman" w:hAnsi="Times New Roman"/>
                <w:color w:val="auto"/>
                <w:sz w:val="21"/>
                <w:szCs w:val="21"/>
              </w:rPr>
            </w:pPr>
            <w:r>
              <w:rPr>
                <w:rFonts w:hint="eastAsia" w:asciiTheme="minorEastAsia" w:hAnsiTheme="minorEastAsia"/>
                <w:color w:val="auto"/>
                <w:sz w:val="21"/>
                <w:szCs w:val="21"/>
              </w:rPr>
              <w:t>浙江巨龙集团10万吨氨化造粒项目</w:t>
            </w:r>
          </w:p>
        </w:tc>
        <w:tc>
          <w:tcPr>
            <w:tcW w:w="1529" w:type="pct"/>
            <w:shd w:val="clear" w:color="auto" w:fill="auto"/>
            <w:vAlign w:val="center"/>
          </w:tcPr>
          <w:p>
            <w:pPr>
              <w:spacing w:line="24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2002年开车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pct"/>
            <w:vMerge w:val="continue"/>
            <w:shd w:val="clear" w:color="auto" w:fill="auto"/>
          </w:tcPr>
          <w:p>
            <w:pPr>
              <w:adjustRightInd w:val="0"/>
              <w:snapToGrid w:val="0"/>
              <w:spacing w:line="240" w:lineRule="auto"/>
              <w:jc w:val="center"/>
              <w:textAlignment w:val="center"/>
              <w:rPr>
                <w:rFonts w:ascii="Times New Roman" w:hAnsi="Times New Roman"/>
                <w:color w:val="auto"/>
                <w:sz w:val="21"/>
                <w:szCs w:val="21"/>
              </w:rPr>
            </w:pPr>
          </w:p>
        </w:tc>
        <w:tc>
          <w:tcPr>
            <w:tcW w:w="2715" w:type="pct"/>
            <w:shd w:val="clear" w:color="auto" w:fill="auto"/>
            <w:vAlign w:val="center"/>
          </w:tcPr>
          <w:p>
            <w:pPr>
              <w:adjustRightInd w:val="0"/>
              <w:snapToGrid w:val="0"/>
              <w:spacing w:line="240" w:lineRule="auto"/>
              <w:textAlignment w:val="center"/>
              <w:rPr>
                <w:rFonts w:ascii="Times New Roman" w:hAnsi="Times New Roman"/>
                <w:color w:val="auto"/>
                <w:sz w:val="21"/>
                <w:szCs w:val="21"/>
              </w:rPr>
            </w:pPr>
            <w:r>
              <w:rPr>
                <w:rFonts w:hint="eastAsia" w:asciiTheme="minorEastAsia" w:hAnsiTheme="minorEastAsia"/>
                <w:color w:val="auto"/>
                <w:sz w:val="21"/>
                <w:szCs w:val="21"/>
              </w:rPr>
              <w:t>湖北华强年产十五万吨氨化造粒项目</w:t>
            </w:r>
          </w:p>
        </w:tc>
        <w:tc>
          <w:tcPr>
            <w:tcW w:w="1529" w:type="pct"/>
            <w:shd w:val="clear" w:color="auto" w:fill="auto"/>
            <w:vAlign w:val="center"/>
          </w:tcPr>
          <w:p>
            <w:pPr>
              <w:spacing w:line="24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2015年开车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pct"/>
            <w:vMerge w:val="continue"/>
            <w:shd w:val="clear" w:color="auto" w:fill="auto"/>
          </w:tcPr>
          <w:p>
            <w:pPr>
              <w:adjustRightInd w:val="0"/>
              <w:snapToGrid w:val="0"/>
              <w:spacing w:line="240" w:lineRule="auto"/>
              <w:jc w:val="center"/>
              <w:textAlignment w:val="center"/>
              <w:rPr>
                <w:rFonts w:ascii="Times New Roman" w:hAnsi="Times New Roman"/>
                <w:color w:val="auto"/>
                <w:sz w:val="21"/>
                <w:szCs w:val="21"/>
              </w:rPr>
            </w:pPr>
          </w:p>
        </w:tc>
        <w:tc>
          <w:tcPr>
            <w:tcW w:w="2715" w:type="pct"/>
            <w:shd w:val="clear" w:color="auto" w:fill="auto"/>
            <w:vAlign w:val="center"/>
          </w:tcPr>
          <w:p>
            <w:pPr>
              <w:adjustRightInd w:val="0"/>
              <w:snapToGrid w:val="0"/>
              <w:spacing w:line="240" w:lineRule="auto"/>
              <w:textAlignment w:val="center"/>
              <w:rPr>
                <w:rFonts w:ascii="Times New Roman" w:hAnsi="Times New Roman"/>
                <w:color w:val="auto"/>
                <w:sz w:val="21"/>
                <w:szCs w:val="21"/>
              </w:rPr>
            </w:pPr>
            <w:r>
              <w:rPr>
                <w:rFonts w:hint="eastAsia" w:asciiTheme="minorEastAsia" w:hAnsiTheme="minorEastAsia"/>
                <w:color w:val="auto"/>
                <w:sz w:val="21"/>
                <w:szCs w:val="21"/>
              </w:rPr>
              <w:t>河南新乡15万吨喷浆项目</w:t>
            </w:r>
          </w:p>
        </w:tc>
        <w:tc>
          <w:tcPr>
            <w:tcW w:w="1529" w:type="pct"/>
            <w:shd w:val="clear" w:color="auto" w:fill="auto"/>
            <w:vAlign w:val="center"/>
          </w:tcPr>
          <w:p>
            <w:pPr>
              <w:adjustRightInd w:val="0"/>
              <w:snapToGrid w:val="0"/>
              <w:spacing w:line="240" w:lineRule="auto"/>
              <w:jc w:val="center"/>
              <w:textAlignment w:val="center"/>
              <w:rPr>
                <w:rFonts w:ascii="Times New Roman" w:hAnsi="Times New Roman"/>
                <w:color w:val="auto"/>
                <w:sz w:val="21"/>
                <w:szCs w:val="21"/>
              </w:rPr>
            </w:pPr>
            <w:r>
              <w:rPr>
                <w:rFonts w:hint="eastAsia" w:asciiTheme="minorEastAsia" w:hAnsiTheme="minorEastAsia"/>
                <w:color w:val="auto"/>
                <w:sz w:val="21"/>
                <w:szCs w:val="21"/>
              </w:rPr>
              <w:t>2020年开车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pct"/>
            <w:vMerge w:val="continue"/>
            <w:shd w:val="clear" w:color="auto" w:fill="auto"/>
          </w:tcPr>
          <w:p>
            <w:pPr>
              <w:adjustRightInd w:val="0"/>
              <w:snapToGrid w:val="0"/>
              <w:spacing w:line="240" w:lineRule="auto"/>
              <w:jc w:val="center"/>
              <w:textAlignment w:val="center"/>
              <w:rPr>
                <w:rFonts w:ascii="Times New Roman" w:hAnsi="Times New Roman"/>
                <w:color w:val="auto"/>
                <w:sz w:val="21"/>
                <w:szCs w:val="21"/>
              </w:rPr>
            </w:pPr>
          </w:p>
        </w:tc>
        <w:tc>
          <w:tcPr>
            <w:tcW w:w="2715" w:type="pct"/>
            <w:shd w:val="clear" w:color="auto" w:fill="auto"/>
            <w:vAlign w:val="center"/>
          </w:tcPr>
          <w:p>
            <w:pPr>
              <w:adjustRightInd w:val="0"/>
              <w:snapToGrid w:val="0"/>
              <w:spacing w:line="240" w:lineRule="auto"/>
              <w:textAlignment w:val="center"/>
              <w:rPr>
                <w:rFonts w:ascii="Times New Roman" w:hAnsi="Times New Roman"/>
                <w:color w:val="auto"/>
                <w:sz w:val="21"/>
                <w:szCs w:val="21"/>
              </w:rPr>
            </w:pPr>
            <w:r>
              <w:rPr>
                <w:rFonts w:hint="eastAsia" w:asciiTheme="minorEastAsia" w:hAnsiTheme="minorEastAsia"/>
                <w:color w:val="auto"/>
                <w:sz w:val="21"/>
                <w:szCs w:val="21"/>
              </w:rPr>
              <w:t>安徽辉隆15万吨喷浆项目</w:t>
            </w:r>
          </w:p>
        </w:tc>
        <w:tc>
          <w:tcPr>
            <w:tcW w:w="1529" w:type="pct"/>
            <w:shd w:val="clear" w:color="auto" w:fill="auto"/>
            <w:vAlign w:val="center"/>
          </w:tcPr>
          <w:p>
            <w:pPr>
              <w:adjustRightInd w:val="0"/>
              <w:snapToGrid w:val="0"/>
              <w:spacing w:line="240" w:lineRule="auto"/>
              <w:jc w:val="center"/>
              <w:textAlignment w:val="center"/>
              <w:rPr>
                <w:rFonts w:ascii="Times New Roman" w:hAnsi="Times New Roman"/>
                <w:color w:val="auto"/>
                <w:sz w:val="21"/>
                <w:szCs w:val="21"/>
              </w:rPr>
            </w:pPr>
            <w:r>
              <w:rPr>
                <w:rFonts w:hint="eastAsia" w:asciiTheme="minorEastAsia" w:hAnsiTheme="minorEastAsia"/>
                <w:color w:val="auto"/>
                <w:sz w:val="21"/>
                <w:szCs w:val="21"/>
              </w:rPr>
              <w:t>2023年开车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pct"/>
            <w:vMerge w:val="continue"/>
            <w:shd w:val="clear" w:color="auto" w:fill="auto"/>
          </w:tcPr>
          <w:p>
            <w:pPr>
              <w:adjustRightInd w:val="0"/>
              <w:snapToGrid w:val="0"/>
              <w:spacing w:line="240" w:lineRule="auto"/>
              <w:jc w:val="center"/>
              <w:textAlignment w:val="center"/>
              <w:rPr>
                <w:rFonts w:ascii="Times New Roman" w:hAnsi="Times New Roman"/>
                <w:color w:val="auto"/>
                <w:sz w:val="21"/>
                <w:szCs w:val="21"/>
              </w:rPr>
            </w:pPr>
          </w:p>
        </w:tc>
        <w:tc>
          <w:tcPr>
            <w:tcW w:w="2715" w:type="pct"/>
            <w:shd w:val="clear" w:color="auto" w:fill="auto"/>
            <w:vAlign w:val="center"/>
          </w:tcPr>
          <w:p>
            <w:pPr>
              <w:adjustRightInd w:val="0"/>
              <w:snapToGrid w:val="0"/>
              <w:spacing w:line="240" w:lineRule="auto"/>
              <w:textAlignment w:val="center"/>
              <w:rPr>
                <w:rFonts w:ascii="Times New Roman" w:hAnsi="Times New Roman"/>
                <w:color w:val="auto"/>
                <w:sz w:val="21"/>
                <w:szCs w:val="21"/>
              </w:rPr>
            </w:pPr>
            <w:r>
              <w:rPr>
                <w:rFonts w:hint="eastAsia" w:asciiTheme="minorEastAsia" w:hAnsiTheme="minorEastAsia"/>
                <w:color w:val="auto"/>
                <w:sz w:val="21"/>
                <w:szCs w:val="21"/>
              </w:rPr>
              <w:t>湖北鄂中20万吨氨化氨酸项目</w:t>
            </w:r>
          </w:p>
        </w:tc>
        <w:tc>
          <w:tcPr>
            <w:tcW w:w="1529" w:type="pct"/>
            <w:shd w:val="clear" w:color="auto" w:fill="auto"/>
            <w:vAlign w:val="center"/>
          </w:tcPr>
          <w:p>
            <w:pPr>
              <w:spacing w:line="240" w:lineRule="auto"/>
              <w:jc w:val="center"/>
              <w:rPr>
                <w:rFonts w:hint="eastAsia" w:asciiTheme="minorEastAsia" w:hAnsiTheme="minorEastAsia"/>
                <w:color w:val="auto"/>
                <w:sz w:val="21"/>
                <w:szCs w:val="21"/>
              </w:rPr>
            </w:pPr>
            <w:r>
              <w:rPr>
                <w:rFonts w:asciiTheme="minorEastAsia" w:hAnsiTheme="minorEastAsia"/>
                <w:color w:val="auto"/>
                <w:sz w:val="21"/>
                <w:szCs w:val="21"/>
              </w:rPr>
              <w:t>202</w:t>
            </w:r>
            <w:r>
              <w:rPr>
                <w:rFonts w:hint="eastAsia" w:asciiTheme="minorEastAsia" w:hAnsiTheme="minorEastAsia"/>
                <w:color w:val="auto"/>
                <w:sz w:val="21"/>
                <w:szCs w:val="21"/>
              </w:rPr>
              <w:t>3年开车</w:t>
            </w:r>
          </w:p>
        </w:tc>
      </w:tr>
    </w:tbl>
    <w:p>
      <w:pPr>
        <w:keepNext/>
        <w:keepLines/>
        <w:widowControl w:val="0"/>
        <w:spacing w:line="600" w:lineRule="exact"/>
        <w:ind w:left="0" w:leftChars="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2.2.3上下游生产装置及与现有及在建生产装置间的关系</w:t>
      </w:r>
    </w:p>
    <w:p>
      <w:pPr>
        <w:numPr>
          <w:ilvl w:val="0"/>
          <w:numId w:val="3"/>
        </w:numPr>
        <w:ind w:firstLine="560" w:firstLineChars="200"/>
        <w:rPr>
          <w:rFonts w:hint="default" w:ascii="Times New Roman" w:hAnsi="Times New Roman" w:cs="Times New Roman"/>
          <w:color w:val="auto"/>
        </w:rPr>
      </w:pPr>
      <w:r>
        <w:rPr>
          <w:rFonts w:hint="default" w:ascii="Times New Roman" w:hAnsi="Times New Roman" w:cs="Times New Roman"/>
          <w:color w:val="auto"/>
        </w:rPr>
        <w:t>该项目上下游生产装置</w:t>
      </w:r>
    </w:p>
    <w:p>
      <w:pPr>
        <w:ind w:firstLine="560" w:firstLineChars="200"/>
        <w:rPr>
          <w:rFonts w:hint="eastAsia" w:ascii="Times New Roman" w:hAnsi="Times New Roman" w:eastAsia="宋体" w:cs="Times New Roman"/>
          <w:color w:val="auto"/>
          <w:lang w:eastAsia="zh-CN"/>
        </w:rPr>
      </w:pPr>
      <w:r>
        <w:rPr>
          <w:rFonts w:hint="default" w:ascii="Times New Roman" w:hAnsi="Times New Roman" w:cs="Times New Roman"/>
          <w:color w:val="auto"/>
        </w:rPr>
        <w:t>该项目为</w:t>
      </w:r>
      <w:r>
        <w:rPr>
          <w:rFonts w:hint="default" w:ascii="Times New Roman" w:hAnsi="Times New Roman" w:cs="Times New Roman"/>
          <w:color w:val="auto"/>
          <w:lang w:eastAsia="zh-CN"/>
        </w:rPr>
        <w:t>转鼓造粒复合肥</w:t>
      </w:r>
      <w:r>
        <w:rPr>
          <w:rFonts w:hint="default" w:ascii="Times New Roman" w:hAnsi="Times New Roman" w:cs="Times New Roman"/>
          <w:color w:val="auto"/>
        </w:rPr>
        <w:t>生产装置，</w:t>
      </w:r>
      <w:r>
        <w:rPr>
          <w:rFonts w:hint="eastAsia" w:cs="Times New Roman"/>
          <w:color w:val="auto"/>
          <w:lang w:eastAsia="zh-CN"/>
        </w:rPr>
        <w:t>不</w:t>
      </w:r>
      <w:r>
        <w:rPr>
          <w:rFonts w:hint="default" w:ascii="Times New Roman" w:hAnsi="Times New Roman" w:cs="Times New Roman"/>
          <w:color w:val="auto"/>
        </w:rPr>
        <w:t>涉及上下游关系</w:t>
      </w:r>
      <w:r>
        <w:rPr>
          <w:rFonts w:hint="eastAsia" w:cs="Times New Roman"/>
          <w:color w:val="auto"/>
          <w:lang w:eastAsia="zh-CN"/>
        </w:rPr>
        <w:t>。</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2.与</w:t>
      </w:r>
      <w:r>
        <w:rPr>
          <w:rFonts w:hint="default" w:ascii="Times New Roman" w:hAnsi="Times New Roman" w:cs="Times New Roman"/>
          <w:color w:val="auto"/>
          <w:lang w:eastAsia="zh-CN"/>
        </w:rPr>
        <w:t>现有</w:t>
      </w:r>
      <w:r>
        <w:rPr>
          <w:rFonts w:hint="default" w:ascii="Times New Roman" w:hAnsi="Times New Roman" w:cs="Times New Roman"/>
          <w:color w:val="auto"/>
        </w:rPr>
        <w:t>装置之间的关系</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1）选址</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该项目建设在</w:t>
      </w:r>
      <w:r>
        <w:rPr>
          <w:rFonts w:hint="default" w:ascii="Times New Roman" w:hAnsi="Times New Roman" w:cs="Times New Roman"/>
          <w:color w:val="auto"/>
          <w:lang w:eastAsia="zh-CN"/>
        </w:rPr>
        <w:t>该公司</w:t>
      </w:r>
      <w:r>
        <w:rPr>
          <w:rFonts w:hint="default" w:ascii="Times New Roman" w:hAnsi="Times New Roman" w:cs="Times New Roman"/>
          <w:color w:val="auto"/>
        </w:rPr>
        <w:t>预留空地内；</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2）公用及辅助工程</w:t>
      </w:r>
    </w:p>
    <w:p>
      <w:pPr>
        <w:ind w:firstLine="56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三废处理、消防设施、生活办公设施等不拟建，依托</w:t>
      </w:r>
      <w:r>
        <w:rPr>
          <w:rFonts w:hint="default" w:ascii="Times New Roman" w:hAnsi="Times New Roman" w:cs="Times New Roman"/>
          <w:color w:val="auto"/>
          <w:lang w:eastAsia="zh-CN"/>
        </w:rPr>
        <w:t>现有</w:t>
      </w:r>
      <w:r>
        <w:rPr>
          <w:rFonts w:hint="eastAsia" w:cs="Times New Roman"/>
          <w:color w:val="auto"/>
          <w:lang w:eastAsia="zh-CN"/>
        </w:rPr>
        <w:t>装置</w:t>
      </w:r>
      <w:r>
        <w:rPr>
          <w:rFonts w:hint="eastAsia" w:cs="Times New Roman"/>
          <w:color w:val="auto"/>
          <w:lang w:val="en-US" w:eastAsia="zh-CN"/>
        </w:rPr>
        <w:t>/</w:t>
      </w:r>
      <w:r>
        <w:rPr>
          <w:rFonts w:hint="default" w:ascii="Times New Roman" w:hAnsi="Times New Roman" w:cs="Times New Roman"/>
          <w:color w:val="auto"/>
          <w:lang w:eastAsia="zh-CN"/>
        </w:rPr>
        <w:t>项目</w:t>
      </w:r>
      <w:r>
        <w:rPr>
          <w:rFonts w:hint="default" w:ascii="Times New Roman" w:hAnsi="Times New Roman" w:cs="Times New Roman"/>
          <w:color w:val="auto"/>
        </w:rPr>
        <w:t>。给排水工程</w:t>
      </w:r>
      <w:r>
        <w:rPr>
          <w:rFonts w:hint="default" w:ascii="Times New Roman" w:hAnsi="Times New Roman" w:cs="Times New Roman"/>
          <w:color w:val="auto"/>
          <w:lang w:eastAsia="zh-CN"/>
        </w:rPr>
        <w:t>不拟建，依托原有九江心连心清洁生产综合利用项目。</w:t>
      </w:r>
    </w:p>
    <w:p>
      <w:pPr>
        <w:ind w:firstLine="56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3）储运</w:t>
      </w:r>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该项目涉及的原料氨和尿素来源于原有九江心连心清洁生产综合利用项目供应。</w:t>
      </w:r>
      <w:r>
        <w:rPr>
          <w:rFonts w:hint="eastAsia" w:cs="Times New Roman"/>
          <w:color w:val="auto"/>
          <w:lang w:val="en-US" w:eastAsia="zh-CN"/>
        </w:rPr>
        <w:t>该项目的产品依托原有成品库一和成品库二储存。</w:t>
      </w:r>
    </w:p>
    <w:p>
      <w:pPr>
        <w:ind w:firstLine="56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）与</w:t>
      </w:r>
      <w:r>
        <w:rPr>
          <w:rFonts w:hint="default" w:ascii="Times New Roman" w:hAnsi="Times New Roman" w:cs="Times New Roman"/>
          <w:color w:val="auto"/>
          <w:lang w:eastAsia="zh-CN"/>
        </w:rPr>
        <w:t>现有和在建项目</w:t>
      </w:r>
      <w:r>
        <w:rPr>
          <w:rFonts w:hint="default" w:ascii="Times New Roman" w:hAnsi="Times New Roman" w:cs="Times New Roman"/>
          <w:color w:val="auto"/>
        </w:rPr>
        <w:t>生产</w:t>
      </w:r>
      <w:r>
        <w:rPr>
          <w:rFonts w:hint="default" w:ascii="Times New Roman" w:hAnsi="Times New Roman" w:cs="Times New Roman"/>
          <w:color w:val="auto"/>
          <w:lang w:eastAsia="zh-CN"/>
        </w:rPr>
        <w:t>和储存</w:t>
      </w:r>
      <w:r>
        <w:rPr>
          <w:rFonts w:hint="default" w:ascii="Times New Roman" w:hAnsi="Times New Roman" w:cs="Times New Roman"/>
          <w:color w:val="auto"/>
        </w:rPr>
        <w:t>装置的上下游关系</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九江心连心清洁生产综合利用项目生产的氨和尿素作为该项目的原料</w:t>
      </w:r>
      <w:r>
        <w:rPr>
          <w:rFonts w:hint="default" w:ascii="Times New Roman" w:hAnsi="Times New Roman" w:cs="Times New Roman"/>
          <w:color w:val="auto"/>
          <w:lang w:eastAsia="zh-CN"/>
        </w:rPr>
        <w:t>。</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sz w:val="28"/>
        </w:rPr>
        <mc:AlternateContent>
          <mc:Choice Requires="wps">
            <w:drawing>
              <wp:anchor distT="0" distB="0" distL="114300" distR="114300" simplePos="0" relativeHeight="251668480" behindDoc="0" locked="0" layoutInCell="1" allowOverlap="1">
                <wp:simplePos x="0" y="0"/>
                <wp:positionH relativeFrom="column">
                  <wp:posOffset>1712595</wp:posOffset>
                </wp:positionH>
                <wp:positionV relativeFrom="paragraph">
                  <wp:posOffset>21590</wp:posOffset>
                </wp:positionV>
                <wp:extent cx="428625" cy="332740"/>
                <wp:effectExtent l="4445" t="4445" r="5080" b="5715"/>
                <wp:wrapNone/>
                <wp:docPr id="1" name="文本框 1"/>
                <wp:cNvGraphicFramePr/>
                <a:graphic xmlns:a="http://schemas.openxmlformats.org/drawingml/2006/main">
                  <a:graphicData uri="http://schemas.microsoft.com/office/word/2010/wordprocessingShape">
                    <wps:wsp>
                      <wps:cNvSpPr txBox="1"/>
                      <wps:spPr>
                        <a:xfrm>
                          <a:off x="2593340" y="4093210"/>
                          <a:ext cx="428625" cy="332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宋体"/>
                                <w:sz w:val="21"/>
                                <w:szCs w:val="21"/>
                                <w:lang w:eastAsia="zh-CN"/>
                              </w:rPr>
                            </w:pPr>
                            <w:r>
                              <w:rPr>
                                <w:rFonts w:hint="eastAsia"/>
                                <w:sz w:val="21"/>
                                <w:szCs w:val="21"/>
                                <w:lang w:eastAsia="zh-CN"/>
                              </w:rPr>
                              <w:t>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85pt;margin-top:1.7pt;height:26.2pt;width:33.75pt;z-index:251668480;mso-width-relative:page;mso-height-relative:page;" fillcolor="#FFFFFF [3201]" filled="t" stroked="t" coordsize="21600,21600" o:gfxdata="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oz+Es1gAAAAgBAAAPAAAAAAAAAAEAIAAAACIAAABkcnMvZG93bnJldi54bWxQSwECFAAUAAAA&#10;CACHTuJAmkxgcWICAADCBAAADgAAAAAAAAABACAAAAAlAQAAZHJzL2Uyb0RvYy54bWxQSwUGAAAA&#10;AAYABgBZAQAA+QUAAAAA&#10;">
                <v:fill on="t" focussize="0,0"/>
                <v:stroke weight="0.5pt" color="#000000 [3204]" joinstyle="round"/>
                <v:imagedata o:title=""/>
                <o:lock v:ext="edit" aspectratio="f"/>
                <v:textbox>
                  <w:txbxContent>
                    <w:p>
                      <w:pPr>
                        <w:spacing w:line="240" w:lineRule="auto"/>
                        <w:rPr>
                          <w:rFonts w:hint="eastAsia" w:eastAsia="宋体"/>
                          <w:sz w:val="21"/>
                          <w:szCs w:val="21"/>
                          <w:lang w:eastAsia="zh-CN"/>
                        </w:rPr>
                      </w:pPr>
                      <w:r>
                        <w:rPr>
                          <w:rFonts w:hint="eastAsia"/>
                          <w:sz w:val="21"/>
                          <w:szCs w:val="21"/>
                          <w:lang w:eastAsia="zh-CN"/>
                        </w:rPr>
                        <w:t>氨</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65408" behindDoc="0" locked="0" layoutInCell="1" allowOverlap="1">
                <wp:simplePos x="0" y="0"/>
                <wp:positionH relativeFrom="column">
                  <wp:posOffset>2282190</wp:posOffset>
                </wp:positionH>
                <wp:positionV relativeFrom="paragraph">
                  <wp:posOffset>205740</wp:posOffset>
                </wp:positionV>
                <wp:extent cx="1552575" cy="514350"/>
                <wp:effectExtent l="4445" t="4445" r="5080" b="14605"/>
                <wp:wrapNone/>
                <wp:docPr id="13" name="文本框 13"/>
                <wp:cNvGraphicFramePr/>
                <a:graphic xmlns:a="http://schemas.openxmlformats.org/drawingml/2006/main">
                  <a:graphicData uri="http://schemas.microsoft.com/office/word/2010/wordprocessingShape">
                    <wps:wsp>
                      <wps:cNvSpPr txBox="1"/>
                      <wps:spPr>
                        <a:xfrm>
                          <a:off x="3515360" y="2858135"/>
                          <a:ext cx="155257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uto"/>
                              <w:rPr>
                                <w:rFonts w:ascii="Times New Roman" w:hAnsi="Times New Roman" w:cs="Times New Roman"/>
                                <w:sz w:val="21"/>
                                <w:szCs w:val="21"/>
                              </w:rPr>
                            </w:pPr>
                            <w:r>
                              <w:rPr>
                                <w:rFonts w:hint="eastAsia" w:cs="Times New Roman"/>
                                <w:sz w:val="21"/>
                                <w:szCs w:val="21"/>
                                <w:lang w:eastAsia="zh-CN"/>
                              </w:rPr>
                              <w:t>转鼓氨化</w:t>
                            </w:r>
                            <w:r>
                              <w:rPr>
                                <w:rFonts w:hint="eastAsia" w:cs="Times New Roman"/>
                                <w:sz w:val="21"/>
                                <w:szCs w:val="21"/>
                                <w:lang w:val="en-US" w:eastAsia="zh-CN"/>
                              </w:rPr>
                              <w:t>/氨酸</w:t>
                            </w:r>
                            <w:r>
                              <w:rPr>
                                <w:rFonts w:hint="eastAsia" w:ascii="Times New Roman" w:hAnsi="Times New Roman" w:cs="Times New Roman"/>
                                <w:sz w:val="21"/>
                                <w:szCs w:val="21"/>
                                <w:lang w:eastAsia="zh-CN"/>
                              </w:rPr>
                              <w:t>造粒</w:t>
                            </w:r>
                            <w:r>
                              <w:rPr>
                                <w:rFonts w:hint="eastAsia" w:cs="Times New Roman"/>
                                <w:sz w:val="21"/>
                                <w:szCs w:val="21"/>
                                <w:lang w:eastAsia="zh-CN"/>
                              </w:rPr>
                              <w:t>复合肥</w:t>
                            </w:r>
                            <w:r>
                              <w:rPr>
                                <w:rFonts w:hint="eastAsia" w:ascii="Times New Roman" w:hAnsi="Times New Roman" w:cs="宋体"/>
                                <w:sz w:val="21"/>
                                <w:szCs w:val="21"/>
                              </w:rPr>
                              <w:t>装置</w:t>
                            </w:r>
                          </w:p>
                        </w:txbxContent>
                      </wps:txbx>
                      <wps:bodyPr upright="1"/>
                    </wps:wsp>
                  </a:graphicData>
                </a:graphic>
              </wp:anchor>
            </w:drawing>
          </mc:Choice>
          <mc:Fallback>
            <w:pict>
              <v:shape id="_x0000_s1026" o:spid="_x0000_s1026" o:spt="202" type="#_x0000_t202" style="position:absolute;left:0pt;margin-left:179.7pt;margin-top:16.2pt;height:40.5pt;width:122.25pt;z-index:251665408;mso-width-relative:page;mso-height-relative:page;" fillcolor="#FFFFFF" filled="t" stroked="t" coordsize="21600,21600" o:gfxdata="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B86S1gAAAAoBAAAPAAAA&#10;AAAAAAEAIAAAACIAAABkcnMvZG93bnJldi54bWxQSwECFAAUAAAACACHTuJA+XZxVBcCAABEBAAA&#10;DgAAAAAAAAABACAAAAAlAQAAZHJzL2Uyb0RvYy54bWxQSwUGAAAAAAYABgBZAQAArgUAAAAA&#10;">
                <v:fill on="t" focussize="0,0"/>
                <v:stroke weight="0.5pt" color="#000000" joinstyle="round"/>
                <v:imagedata o:title=""/>
                <o:lock v:ext="edit" aspectratio="f"/>
                <v:textbox>
                  <w:txbxContent>
                    <w:p>
                      <w:pPr>
                        <w:spacing w:line="240" w:lineRule="auto"/>
                        <w:rPr>
                          <w:rFonts w:ascii="Times New Roman" w:hAnsi="Times New Roman" w:cs="Times New Roman"/>
                          <w:sz w:val="21"/>
                          <w:szCs w:val="21"/>
                        </w:rPr>
                      </w:pPr>
                      <w:r>
                        <w:rPr>
                          <w:rFonts w:hint="eastAsia" w:cs="Times New Roman"/>
                          <w:sz w:val="21"/>
                          <w:szCs w:val="21"/>
                          <w:lang w:eastAsia="zh-CN"/>
                        </w:rPr>
                        <w:t>转鼓氨化</w:t>
                      </w:r>
                      <w:r>
                        <w:rPr>
                          <w:rFonts w:hint="eastAsia" w:cs="Times New Roman"/>
                          <w:sz w:val="21"/>
                          <w:szCs w:val="21"/>
                          <w:lang w:val="en-US" w:eastAsia="zh-CN"/>
                        </w:rPr>
                        <w:t>/氨酸</w:t>
                      </w:r>
                      <w:r>
                        <w:rPr>
                          <w:rFonts w:hint="eastAsia" w:ascii="Times New Roman" w:hAnsi="Times New Roman" w:cs="Times New Roman"/>
                          <w:sz w:val="21"/>
                          <w:szCs w:val="21"/>
                          <w:lang w:eastAsia="zh-CN"/>
                        </w:rPr>
                        <w:t>造粒</w:t>
                      </w:r>
                      <w:r>
                        <w:rPr>
                          <w:rFonts w:hint="eastAsia" w:cs="Times New Roman"/>
                          <w:sz w:val="21"/>
                          <w:szCs w:val="21"/>
                          <w:lang w:eastAsia="zh-CN"/>
                        </w:rPr>
                        <w:t>复合肥</w:t>
                      </w:r>
                      <w:r>
                        <w:rPr>
                          <w:rFonts w:hint="eastAsia" w:ascii="Times New Roman" w:hAnsi="Times New Roman" w:cs="宋体"/>
                          <w:sz w:val="21"/>
                          <w:szCs w:val="21"/>
                        </w:rPr>
                        <w:t>装置</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63360" behindDoc="0" locked="0" layoutInCell="1" allowOverlap="1">
                <wp:simplePos x="0" y="0"/>
                <wp:positionH relativeFrom="column">
                  <wp:posOffset>72390</wp:posOffset>
                </wp:positionH>
                <wp:positionV relativeFrom="paragraph">
                  <wp:posOffset>186690</wp:posOffset>
                </wp:positionV>
                <wp:extent cx="1513840" cy="704850"/>
                <wp:effectExtent l="4445" t="4445" r="5715" b="14605"/>
                <wp:wrapNone/>
                <wp:docPr id="11" name="文本框 11"/>
                <wp:cNvGraphicFramePr/>
                <a:graphic xmlns:a="http://schemas.openxmlformats.org/drawingml/2006/main">
                  <a:graphicData uri="http://schemas.microsoft.com/office/word/2010/wordprocessingShape">
                    <wps:wsp>
                      <wps:cNvSpPr txBox="1"/>
                      <wps:spPr>
                        <a:xfrm>
                          <a:off x="1248410" y="2848610"/>
                          <a:ext cx="1513840" cy="7048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uto"/>
                              <w:rPr>
                                <w:rFonts w:hint="eastAsia" w:ascii="Times New Roman" w:hAnsi="Times New Roman" w:eastAsia="宋体" w:cs="Times New Roman"/>
                                <w:lang w:eastAsia="zh-CN"/>
                              </w:rPr>
                            </w:pPr>
                            <w:r>
                              <w:rPr>
                                <w:rFonts w:hint="eastAsia" w:ascii="Times New Roman" w:hAnsi="Times New Roman" w:cs="宋体"/>
                                <w:sz w:val="21"/>
                                <w:szCs w:val="21"/>
                                <w:lang w:eastAsia="zh-CN"/>
                              </w:rPr>
                              <w:t>九江心连心清洁生产综合利用项目</w:t>
                            </w:r>
                            <w:r>
                              <w:rPr>
                                <w:rFonts w:hint="eastAsia" w:cs="宋体"/>
                                <w:sz w:val="21"/>
                                <w:szCs w:val="21"/>
                                <w:lang w:eastAsia="zh-CN"/>
                              </w:rPr>
                              <w:t>合成氨装置和尿素生产装置</w:t>
                            </w:r>
                          </w:p>
                        </w:txbxContent>
                      </wps:txbx>
                      <wps:bodyPr upright="1"/>
                    </wps:wsp>
                  </a:graphicData>
                </a:graphic>
              </wp:anchor>
            </w:drawing>
          </mc:Choice>
          <mc:Fallback>
            <w:pict>
              <v:shape id="_x0000_s1026" o:spid="_x0000_s1026" o:spt="202" type="#_x0000_t202" style="position:absolute;left:0pt;margin-left:5.7pt;margin-top:14.7pt;height:55.5pt;width:119.2pt;z-index:251663360;mso-width-relative:page;mso-height-relative:page;" fillcolor="#FFFFFF" filled="t" stroked="t" coordsize="21600,21600" o:gfxdata="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oQr41QAAAAkBAAAPAAAAAAAA&#10;AAEAIAAAACIAAABkcnMvZG93bnJldi54bWxQSwECFAAUAAAACACHTuJAJ6aruBUCAABEBAAADgAA&#10;AAAAAAABACAAAAAkAQAAZHJzL2Uyb0RvYy54bWxQSwUGAAAAAAYABgBZAQAAqwUAAAAA&#10;">
                <v:fill on="t" focussize="0,0"/>
                <v:stroke weight="0.5pt" color="#000000" joinstyle="round"/>
                <v:imagedata o:title=""/>
                <o:lock v:ext="edit" aspectratio="f"/>
                <v:textbox>
                  <w:txbxContent>
                    <w:p>
                      <w:pPr>
                        <w:spacing w:line="240" w:lineRule="auto"/>
                        <w:rPr>
                          <w:rFonts w:hint="eastAsia" w:ascii="Times New Roman" w:hAnsi="Times New Roman" w:eastAsia="宋体" w:cs="Times New Roman"/>
                          <w:lang w:eastAsia="zh-CN"/>
                        </w:rPr>
                      </w:pPr>
                      <w:r>
                        <w:rPr>
                          <w:rFonts w:hint="eastAsia" w:ascii="Times New Roman" w:hAnsi="Times New Roman" w:cs="宋体"/>
                          <w:sz w:val="21"/>
                          <w:szCs w:val="21"/>
                          <w:lang w:eastAsia="zh-CN"/>
                        </w:rPr>
                        <w:t>九江心连心清洁生产综合利用项目</w:t>
                      </w:r>
                      <w:r>
                        <w:rPr>
                          <w:rFonts w:hint="eastAsia" w:cs="宋体"/>
                          <w:sz w:val="21"/>
                          <w:szCs w:val="21"/>
                          <w:lang w:eastAsia="zh-CN"/>
                        </w:rPr>
                        <w:t>合成氨装置和尿素生产装置</w:t>
                      </w:r>
                    </w:p>
                  </w:txbxContent>
                </v:textbox>
              </v:shape>
            </w:pict>
          </mc:Fallback>
        </mc:AlternateConten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sz w:val="28"/>
        </w:rPr>
        <mc:AlternateContent>
          <mc:Choice Requires="wps">
            <w:drawing>
              <wp:anchor distT="0" distB="0" distL="114300" distR="114300" simplePos="0" relativeHeight="251669504" behindDoc="0" locked="0" layoutInCell="1" allowOverlap="1">
                <wp:simplePos x="0" y="0"/>
                <wp:positionH relativeFrom="column">
                  <wp:posOffset>1703070</wp:posOffset>
                </wp:positionH>
                <wp:positionV relativeFrom="paragraph">
                  <wp:posOffset>164465</wp:posOffset>
                </wp:positionV>
                <wp:extent cx="523240" cy="352425"/>
                <wp:effectExtent l="4445" t="4445" r="5715" b="5080"/>
                <wp:wrapNone/>
                <wp:docPr id="2" name="文本框 2"/>
                <wp:cNvGraphicFramePr/>
                <a:graphic xmlns:a="http://schemas.openxmlformats.org/drawingml/2006/main">
                  <a:graphicData uri="http://schemas.microsoft.com/office/word/2010/wordprocessingShape">
                    <wps:wsp>
                      <wps:cNvSpPr txBox="1"/>
                      <wps:spPr>
                        <a:xfrm>
                          <a:off x="2602865" y="4493260"/>
                          <a:ext cx="523240"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宋体"/>
                                <w:sz w:val="21"/>
                                <w:szCs w:val="21"/>
                                <w:lang w:eastAsia="zh-CN"/>
                              </w:rPr>
                            </w:pPr>
                            <w:r>
                              <w:rPr>
                                <w:rFonts w:hint="eastAsia"/>
                                <w:sz w:val="21"/>
                                <w:szCs w:val="21"/>
                                <w:lang w:eastAsia="zh-CN"/>
                              </w:rPr>
                              <w:t>尿素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1pt;margin-top:12.95pt;height:27.75pt;width:41.2pt;z-index:251669504;mso-width-relative:page;mso-height-relative:page;" fillcolor="#FFFFFF [3201]" filled="t" stroked="t" coordsize="21600,21600" o:gfxdata="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dX+NtYAAAAJAQAADwAAAAAAAAABACAAAAAiAAAAZHJzL2Rvd25yZXYueG1sUEsBAhQAFAAA&#10;AAgAh07iQIoMmERjAgAAwgQAAA4AAAAAAAAAAQAgAAAAJQEAAGRycy9lMm9Eb2MueG1sUEsFBgAA&#10;AAAGAAYAWQEAAPoFAAAAAA==&#10;">
                <v:fill on="t" focussize="0,0"/>
                <v:stroke weight="0.5pt" color="#000000 [3204]" joinstyle="round"/>
                <v:imagedata o:title=""/>
                <o:lock v:ext="edit" aspectratio="f"/>
                <v:textbox>
                  <w:txbxContent>
                    <w:p>
                      <w:pPr>
                        <w:spacing w:line="240" w:lineRule="auto"/>
                        <w:rPr>
                          <w:rFonts w:hint="eastAsia" w:eastAsia="宋体"/>
                          <w:sz w:val="21"/>
                          <w:szCs w:val="21"/>
                          <w:lang w:eastAsia="zh-CN"/>
                        </w:rPr>
                      </w:pPr>
                      <w:r>
                        <w:rPr>
                          <w:rFonts w:hint="eastAsia"/>
                          <w:sz w:val="21"/>
                          <w:szCs w:val="21"/>
                          <w:lang w:eastAsia="zh-CN"/>
                        </w:rPr>
                        <w:t>尿素</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64384" behindDoc="0" locked="0" layoutInCell="1" allowOverlap="1">
                <wp:simplePos x="0" y="0"/>
                <wp:positionH relativeFrom="column">
                  <wp:posOffset>1605280</wp:posOffset>
                </wp:positionH>
                <wp:positionV relativeFrom="paragraph">
                  <wp:posOffset>10795</wp:posOffset>
                </wp:positionV>
                <wp:extent cx="648335" cy="4445"/>
                <wp:effectExtent l="0" t="45085" r="18415" b="64770"/>
                <wp:wrapNone/>
                <wp:docPr id="12" name="直接箭头连接符 12"/>
                <wp:cNvGraphicFramePr/>
                <a:graphic xmlns:a="http://schemas.openxmlformats.org/drawingml/2006/main">
                  <a:graphicData uri="http://schemas.microsoft.com/office/word/2010/wordprocessingShape">
                    <wps:wsp>
                      <wps:cNvCnPr/>
                      <wps:spPr>
                        <a:xfrm>
                          <a:off x="2762250" y="3063240"/>
                          <a:ext cx="648335" cy="444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26.4pt;margin-top:0.85pt;height:0.35pt;width:51.05pt;z-index:251664384;mso-width-relative:page;mso-height-relative:page;" filled="f" stroked="t" coordsize="21600,21600" o:gfxdata="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wKv13UAAAABwEAAA8AAAAAAAAAAQAg&#10;AAAAIgAAAGRycy9kb3ducmV2LnhtbFBLAQIUABQAAAAIAIdO4kBpKzNtEgIAAP0DAAAOAAAAAAAA&#10;AAEAIAAAACMBAABkcnMvZTJvRG9jLnhtbFBLBQYAAAAABgAGAFkBAACnBQAAAAA=&#10;">
                <v:fill on="f" focussize="0,0"/>
                <v:stroke color="#000000" joinstyle="round" endarrow="open"/>
                <v:imagedata o:title=""/>
                <o:lock v:ext="edit" aspectratio="f"/>
              </v:shape>
            </w:pict>
          </mc:Fallback>
        </mc:AlternateContent>
      </w:r>
    </w:p>
    <w:p>
      <w:pPr>
        <w:bidi w:val="0"/>
        <w:rPr>
          <w:rFonts w:hint="default" w:ascii="Times New Roman" w:hAnsi="Times New Roman" w:cs="Times New Roman"/>
          <w:color w:val="auto"/>
          <w:lang w:val="en-US" w:eastAsia="zh-CN"/>
        </w:rPr>
      </w:pPr>
    </w:p>
    <w:p>
      <w:pPr>
        <w:pStyle w:val="4"/>
        <w:bidi w:val="0"/>
        <w:rPr>
          <w:rFonts w:hint="default" w:ascii="Times New Roman" w:hAnsi="Times New Roman" w:cs="Times New Roman"/>
          <w:color w:val="auto"/>
        </w:rPr>
      </w:pPr>
      <w:bookmarkStart w:id="25" w:name="_Toc890"/>
      <w:bookmarkStart w:id="26" w:name="_Toc12133"/>
      <w:bookmarkStart w:id="27" w:name="_Toc11511"/>
      <w:r>
        <w:rPr>
          <w:rFonts w:hint="default" w:ascii="Times New Roman" w:hAnsi="Times New Roman" w:cs="Times New Roman"/>
          <w:color w:val="auto"/>
          <w:lang w:val="en-US" w:eastAsia="zh-CN"/>
        </w:rPr>
        <w:t>2.3</w:t>
      </w:r>
      <w:r>
        <w:rPr>
          <w:rFonts w:hint="default" w:ascii="Times New Roman" w:hAnsi="Times New Roman" w:cs="Times New Roman"/>
          <w:color w:val="auto"/>
        </w:rPr>
        <w:t>建设项目涉及的主要原辅材料和品种名称数量、储存</w:t>
      </w:r>
      <w:bookmarkEnd w:id="25"/>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2.3.1原、辅材料</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该项目原辅材料情况见表2.</w:t>
      </w:r>
      <w:r>
        <w:rPr>
          <w:rFonts w:hint="default" w:ascii="Times New Roman" w:hAnsi="Times New Roman" w:cs="Times New Roman"/>
          <w:color w:val="auto"/>
          <w:lang w:val="en-US" w:eastAsia="zh-CN"/>
        </w:rPr>
        <w:t>3</w:t>
      </w:r>
      <w:r>
        <w:rPr>
          <w:rFonts w:hint="default" w:ascii="Times New Roman" w:hAnsi="Times New Roman" w:cs="Times New Roman"/>
          <w:color w:val="auto"/>
        </w:rPr>
        <w:t>-1。</w:t>
      </w:r>
    </w:p>
    <w:p>
      <w:pPr>
        <w:jc w:val="center"/>
        <w:rPr>
          <w:rFonts w:hint="default" w:ascii="Times New Roman" w:hAnsi="Times New Roman" w:cs="Times New Roman"/>
          <w:color w:val="auto"/>
        </w:rPr>
      </w:pPr>
      <w:r>
        <w:rPr>
          <w:rFonts w:hint="default" w:ascii="Times New Roman" w:hAnsi="Times New Roman" w:cs="Times New Roman"/>
          <w:color w:val="auto"/>
        </w:rPr>
        <w:t>表2.</w:t>
      </w:r>
      <w:r>
        <w:rPr>
          <w:rFonts w:hint="default" w:ascii="Times New Roman" w:hAnsi="Times New Roman" w:cs="Times New Roman"/>
          <w:color w:val="auto"/>
          <w:lang w:val="en-US" w:eastAsia="zh-CN"/>
        </w:rPr>
        <w:t>3</w:t>
      </w:r>
      <w:r>
        <w:rPr>
          <w:rFonts w:hint="default" w:ascii="Times New Roman" w:hAnsi="Times New Roman" w:cs="Times New Roman"/>
          <w:color w:val="auto"/>
        </w:rPr>
        <w:t>-1 原辅材料情况一览表</w:t>
      </w:r>
    </w:p>
    <w:tbl>
      <w:tblPr>
        <w:tblStyle w:val="19"/>
        <w:tblW w:w="884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84"/>
        <w:gridCol w:w="1928"/>
        <w:gridCol w:w="709"/>
        <w:gridCol w:w="1031"/>
        <w:gridCol w:w="1264"/>
        <w:gridCol w:w="1575"/>
        <w:gridCol w:w="735"/>
        <w:gridCol w:w="10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84" w:type="dxa"/>
            <w:noWrap w:val="0"/>
            <w:vAlign w:val="center"/>
          </w:tcPr>
          <w:p>
            <w:pPr>
              <w:widowControl w:val="0"/>
              <w:spacing w:after="0" w:line="240" w:lineRule="auto"/>
              <w:ind w:left="0" w:left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序号</w:t>
            </w:r>
          </w:p>
        </w:tc>
        <w:tc>
          <w:tcPr>
            <w:tcW w:w="1928" w:type="dxa"/>
            <w:noWrap w:val="0"/>
            <w:vAlign w:val="center"/>
          </w:tcPr>
          <w:p>
            <w:pPr>
              <w:widowControl w:val="0"/>
              <w:spacing w:after="0" w:line="240" w:lineRule="auto"/>
              <w:ind w:left="0" w:left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原料、辅料名称</w:t>
            </w:r>
          </w:p>
        </w:tc>
        <w:tc>
          <w:tcPr>
            <w:tcW w:w="709" w:type="dxa"/>
            <w:noWrap w:val="0"/>
            <w:vAlign w:val="center"/>
          </w:tcPr>
          <w:p>
            <w:pPr>
              <w:widowControl w:val="0"/>
              <w:spacing w:after="0" w:line="240" w:lineRule="auto"/>
              <w:ind w:left="0" w:left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形态</w:t>
            </w:r>
          </w:p>
        </w:tc>
        <w:tc>
          <w:tcPr>
            <w:tcW w:w="1031" w:type="dxa"/>
            <w:noWrap w:val="0"/>
            <w:vAlign w:val="center"/>
          </w:tcPr>
          <w:p>
            <w:pPr>
              <w:widowControl w:val="0"/>
              <w:spacing w:after="0" w:line="240" w:lineRule="auto"/>
              <w:ind w:left="0" w:left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规格</w:t>
            </w:r>
            <w:r>
              <w:rPr>
                <w:rFonts w:hint="default" w:ascii="Times New Roman" w:hAnsi="Times New Roman" w:eastAsia="宋体" w:cs="Times New Roman"/>
                <w:bCs/>
                <w:color w:val="auto"/>
                <w:kern w:val="2"/>
                <w:sz w:val="21"/>
                <w:szCs w:val="21"/>
                <w:lang w:val="en-US" w:eastAsia="zh-CN" w:bidi="ar-SA"/>
              </w:rPr>
              <w:t>≥</w:t>
            </w:r>
          </w:p>
        </w:tc>
        <w:tc>
          <w:tcPr>
            <w:tcW w:w="1264" w:type="dxa"/>
            <w:noWrap w:val="0"/>
            <w:vAlign w:val="center"/>
          </w:tcPr>
          <w:p>
            <w:pPr>
              <w:widowControl w:val="0"/>
              <w:spacing w:after="0" w:line="240" w:lineRule="auto"/>
              <w:ind w:left="0" w:left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年消耗量/t</w:t>
            </w:r>
          </w:p>
        </w:tc>
        <w:tc>
          <w:tcPr>
            <w:tcW w:w="1575" w:type="dxa"/>
            <w:noWrap w:val="0"/>
            <w:vAlign w:val="center"/>
          </w:tcPr>
          <w:p>
            <w:pPr>
              <w:widowControl w:val="0"/>
              <w:spacing w:after="0" w:line="240" w:lineRule="auto"/>
              <w:ind w:left="0" w:left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来源</w:t>
            </w:r>
          </w:p>
        </w:tc>
        <w:tc>
          <w:tcPr>
            <w:tcW w:w="735" w:type="dxa"/>
            <w:noWrap w:val="0"/>
            <w:vAlign w:val="center"/>
          </w:tcPr>
          <w:p>
            <w:pPr>
              <w:widowControl w:val="0"/>
              <w:spacing w:after="0" w:line="240" w:lineRule="auto"/>
              <w:ind w:left="0" w:left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运输方式</w:t>
            </w:r>
          </w:p>
        </w:tc>
        <w:tc>
          <w:tcPr>
            <w:tcW w:w="1017" w:type="dxa"/>
            <w:noWrap w:val="0"/>
            <w:vAlign w:val="center"/>
          </w:tcPr>
          <w:p>
            <w:pPr>
              <w:widowControl w:val="0"/>
              <w:spacing w:after="0" w:line="240" w:lineRule="auto"/>
              <w:ind w:left="0" w:left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84" w:type="dxa"/>
            <w:noWrap w:val="0"/>
            <w:vAlign w:val="center"/>
          </w:tcPr>
          <w:p>
            <w:pPr>
              <w:numPr>
                <w:ilvl w:val="0"/>
                <w:numId w:val="4"/>
              </w:numPr>
              <w:spacing w:line="240" w:lineRule="auto"/>
              <w:ind w:left="0" w:firstLine="0"/>
              <w:jc w:val="center"/>
              <w:rPr>
                <w:rFonts w:hint="default" w:ascii="Times New Roman" w:hAnsi="Times New Roman" w:eastAsia="宋体" w:cs="Times New Roman"/>
                <w:color w:val="auto"/>
                <w:sz w:val="21"/>
                <w:szCs w:val="21"/>
              </w:rPr>
            </w:pPr>
          </w:p>
        </w:tc>
        <w:tc>
          <w:tcPr>
            <w:tcW w:w="1928"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尿素</w:t>
            </w:r>
          </w:p>
        </w:tc>
        <w:tc>
          <w:tcPr>
            <w:tcW w:w="709" w:type="dxa"/>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固</w:t>
            </w:r>
          </w:p>
        </w:tc>
        <w:tc>
          <w:tcPr>
            <w:tcW w:w="1031" w:type="dxa"/>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工业级</w:t>
            </w:r>
          </w:p>
        </w:tc>
        <w:tc>
          <w:tcPr>
            <w:tcW w:w="126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27362.322</w:t>
            </w:r>
          </w:p>
        </w:tc>
        <w:tc>
          <w:tcPr>
            <w:tcW w:w="1575"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九江心连心清洁生产综合利用项目</w:t>
            </w:r>
          </w:p>
        </w:tc>
        <w:tc>
          <w:tcPr>
            <w:tcW w:w="735"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汽车</w:t>
            </w:r>
          </w:p>
        </w:tc>
        <w:tc>
          <w:tcPr>
            <w:tcW w:w="1017"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84" w:type="dxa"/>
            <w:noWrap w:val="0"/>
            <w:vAlign w:val="center"/>
          </w:tcPr>
          <w:p>
            <w:pPr>
              <w:numPr>
                <w:ilvl w:val="0"/>
                <w:numId w:val="4"/>
              </w:numPr>
              <w:spacing w:line="240" w:lineRule="auto"/>
              <w:ind w:left="0" w:firstLine="0"/>
              <w:jc w:val="center"/>
              <w:rPr>
                <w:rFonts w:hint="default" w:ascii="Times New Roman" w:hAnsi="Times New Roman" w:eastAsia="宋体" w:cs="Times New Roman"/>
                <w:color w:val="auto"/>
                <w:sz w:val="21"/>
                <w:szCs w:val="21"/>
              </w:rPr>
            </w:pPr>
          </w:p>
        </w:tc>
        <w:tc>
          <w:tcPr>
            <w:tcW w:w="1928"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氯化铵</w:t>
            </w:r>
          </w:p>
        </w:tc>
        <w:tc>
          <w:tcPr>
            <w:tcW w:w="709"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w:t>
            </w:r>
          </w:p>
        </w:tc>
        <w:tc>
          <w:tcPr>
            <w:tcW w:w="1031" w:type="dxa"/>
            <w:noWrap w:val="0"/>
            <w:vAlign w:val="center"/>
          </w:tcPr>
          <w:p>
            <w:pPr>
              <w:spacing w:line="240" w:lineRule="auto"/>
              <w:jc w:val="center"/>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工业级</w:t>
            </w:r>
          </w:p>
        </w:tc>
        <w:tc>
          <w:tcPr>
            <w:tcW w:w="126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6989.724</w:t>
            </w:r>
          </w:p>
        </w:tc>
        <w:tc>
          <w:tcPr>
            <w:tcW w:w="1575" w:type="dxa"/>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外购</w:t>
            </w:r>
          </w:p>
        </w:tc>
        <w:tc>
          <w:tcPr>
            <w:tcW w:w="735"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汽车</w:t>
            </w:r>
          </w:p>
        </w:tc>
        <w:tc>
          <w:tcPr>
            <w:tcW w:w="1017"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84" w:type="dxa"/>
            <w:noWrap w:val="0"/>
            <w:vAlign w:val="center"/>
          </w:tcPr>
          <w:p>
            <w:pPr>
              <w:numPr>
                <w:ilvl w:val="0"/>
                <w:numId w:val="4"/>
              </w:numPr>
              <w:spacing w:line="240" w:lineRule="auto"/>
              <w:ind w:left="0" w:firstLine="0"/>
              <w:jc w:val="center"/>
              <w:rPr>
                <w:rFonts w:hint="default" w:ascii="Times New Roman" w:hAnsi="Times New Roman" w:eastAsia="宋体" w:cs="Times New Roman"/>
                <w:color w:val="auto"/>
                <w:sz w:val="21"/>
                <w:szCs w:val="21"/>
              </w:rPr>
            </w:pPr>
          </w:p>
        </w:tc>
        <w:tc>
          <w:tcPr>
            <w:tcW w:w="1928"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磷酸一铵</w:t>
            </w:r>
          </w:p>
        </w:tc>
        <w:tc>
          <w:tcPr>
            <w:tcW w:w="709"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w:t>
            </w:r>
          </w:p>
        </w:tc>
        <w:tc>
          <w:tcPr>
            <w:tcW w:w="1031" w:type="dxa"/>
            <w:noWrap w:val="0"/>
            <w:vAlign w:val="center"/>
          </w:tcPr>
          <w:p>
            <w:pPr>
              <w:spacing w:line="240" w:lineRule="auto"/>
              <w:jc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cs="Times New Roman"/>
                <w:color w:val="auto"/>
                <w:kern w:val="0"/>
                <w:sz w:val="22"/>
                <w:szCs w:val="22"/>
                <w:lang w:val="en-US" w:eastAsia="zh-CN"/>
              </w:rPr>
              <w:t>58%</w:t>
            </w:r>
          </w:p>
        </w:tc>
        <w:tc>
          <w:tcPr>
            <w:tcW w:w="1264"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41363.636</w:t>
            </w:r>
          </w:p>
        </w:tc>
        <w:tc>
          <w:tcPr>
            <w:tcW w:w="1575" w:type="dxa"/>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外购</w:t>
            </w:r>
          </w:p>
        </w:tc>
        <w:tc>
          <w:tcPr>
            <w:tcW w:w="735" w:type="dxa"/>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汽车</w:t>
            </w:r>
          </w:p>
        </w:tc>
        <w:tc>
          <w:tcPr>
            <w:tcW w:w="1017"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pPr>
              <w:numPr>
                <w:ilvl w:val="0"/>
                <w:numId w:val="4"/>
              </w:numPr>
              <w:spacing w:line="240" w:lineRule="auto"/>
              <w:ind w:left="0" w:firstLine="0"/>
              <w:jc w:val="center"/>
              <w:rPr>
                <w:rFonts w:hint="default" w:ascii="Times New Roman" w:hAnsi="Times New Roman" w:eastAsia="宋体" w:cs="Times New Roman"/>
                <w:color w:val="auto"/>
                <w:sz w:val="21"/>
                <w:szCs w:val="21"/>
              </w:rPr>
            </w:pPr>
          </w:p>
        </w:tc>
        <w:tc>
          <w:tcPr>
            <w:tcW w:w="0" w:type="auto"/>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氯化钾</w:t>
            </w:r>
          </w:p>
        </w:tc>
        <w:tc>
          <w:tcPr>
            <w:tcW w:w="709"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w:t>
            </w:r>
          </w:p>
        </w:tc>
        <w:tc>
          <w:tcPr>
            <w:tcW w:w="1031" w:type="dxa"/>
            <w:vAlign w:val="center"/>
          </w:tcPr>
          <w:p>
            <w:pPr>
              <w:spacing w:line="240" w:lineRule="auto"/>
              <w:jc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cs="Times New Roman"/>
                <w:color w:val="auto"/>
                <w:kern w:val="0"/>
                <w:sz w:val="22"/>
                <w:szCs w:val="22"/>
                <w:lang w:val="en-US" w:eastAsia="zh-CN"/>
              </w:rPr>
              <w:t>60%</w:t>
            </w:r>
          </w:p>
        </w:tc>
        <w:tc>
          <w:tcPr>
            <w:tcW w:w="1264"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31000.000</w:t>
            </w:r>
          </w:p>
        </w:tc>
        <w:tc>
          <w:tcPr>
            <w:tcW w:w="1575"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外购</w:t>
            </w:r>
          </w:p>
        </w:tc>
        <w:tc>
          <w:tcPr>
            <w:tcW w:w="735"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汽车</w:t>
            </w:r>
          </w:p>
        </w:tc>
        <w:tc>
          <w:tcPr>
            <w:tcW w:w="1017" w:type="dxa"/>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pPr>
              <w:numPr>
                <w:ilvl w:val="0"/>
                <w:numId w:val="4"/>
              </w:numPr>
              <w:spacing w:line="240" w:lineRule="auto"/>
              <w:ind w:left="0" w:firstLine="0"/>
              <w:jc w:val="center"/>
              <w:rPr>
                <w:rFonts w:hint="default" w:ascii="Times New Roman" w:hAnsi="Times New Roman" w:eastAsia="宋体" w:cs="Times New Roman"/>
                <w:color w:val="auto"/>
                <w:sz w:val="21"/>
                <w:szCs w:val="21"/>
              </w:rPr>
            </w:pPr>
          </w:p>
        </w:tc>
        <w:tc>
          <w:tcPr>
            <w:tcW w:w="0" w:type="auto"/>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氨</w:t>
            </w:r>
          </w:p>
        </w:tc>
        <w:tc>
          <w:tcPr>
            <w:tcW w:w="709" w:type="dxa"/>
            <w:vAlign w:val="center"/>
          </w:tcPr>
          <w:p>
            <w:pPr>
              <w:spacing w:line="240" w:lineRule="auto"/>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液</w:t>
            </w:r>
          </w:p>
        </w:tc>
        <w:tc>
          <w:tcPr>
            <w:tcW w:w="1031" w:type="dxa"/>
            <w:vAlign w:val="center"/>
          </w:tcPr>
          <w:p>
            <w:pPr>
              <w:spacing w:line="240" w:lineRule="auto"/>
              <w:jc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cs="Times New Roman"/>
                <w:color w:val="auto"/>
                <w:kern w:val="0"/>
                <w:sz w:val="22"/>
                <w:szCs w:val="22"/>
                <w:lang w:val="en-US" w:eastAsia="zh-CN"/>
              </w:rPr>
              <w:t>99%</w:t>
            </w:r>
          </w:p>
        </w:tc>
        <w:tc>
          <w:tcPr>
            <w:tcW w:w="1264"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8640.737</w:t>
            </w:r>
          </w:p>
        </w:tc>
        <w:tc>
          <w:tcPr>
            <w:tcW w:w="1575" w:type="dxa"/>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九江心连心清洁生产综合利用项目</w:t>
            </w:r>
          </w:p>
        </w:tc>
        <w:tc>
          <w:tcPr>
            <w:tcW w:w="735" w:type="dxa"/>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管道</w:t>
            </w:r>
          </w:p>
        </w:tc>
        <w:tc>
          <w:tcPr>
            <w:tcW w:w="1017" w:type="dxa"/>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pPr>
              <w:numPr>
                <w:ilvl w:val="0"/>
                <w:numId w:val="4"/>
              </w:numPr>
              <w:spacing w:line="240" w:lineRule="auto"/>
              <w:ind w:left="0" w:firstLine="0"/>
              <w:jc w:val="center"/>
              <w:rPr>
                <w:rFonts w:hint="default" w:ascii="Times New Roman" w:hAnsi="Times New Roman" w:eastAsia="宋体" w:cs="Times New Roman"/>
                <w:color w:val="auto"/>
                <w:sz w:val="21"/>
                <w:szCs w:val="21"/>
              </w:rPr>
            </w:pPr>
          </w:p>
        </w:tc>
        <w:tc>
          <w:tcPr>
            <w:tcW w:w="0" w:type="auto"/>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浓硫酸</w:t>
            </w:r>
          </w:p>
        </w:tc>
        <w:tc>
          <w:tcPr>
            <w:tcW w:w="709" w:type="dxa"/>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液</w:t>
            </w:r>
          </w:p>
        </w:tc>
        <w:tc>
          <w:tcPr>
            <w:tcW w:w="1031" w:type="dxa"/>
            <w:vAlign w:val="center"/>
          </w:tcPr>
          <w:p>
            <w:pPr>
              <w:spacing w:line="240" w:lineRule="auto"/>
              <w:jc w:val="center"/>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98%</w:t>
            </w:r>
          </w:p>
        </w:tc>
        <w:tc>
          <w:tcPr>
            <w:tcW w:w="1264"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31243.400</w:t>
            </w:r>
          </w:p>
        </w:tc>
        <w:tc>
          <w:tcPr>
            <w:tcW w:w="1575"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外购</w:t>
            </w:r>
          </w:p>
        </w:tc>
        <w:tc>
          <w:tcPr>
            <w:tcW w:w="735"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槽</w:t>
            </w:r>
            <w:r>
              <w:rPr>
                <w:rFonts w:hint="default" w:ascii="Times New Roman" w:hAnsi="Times New Roman" w:eastAsia="宋体" w:cs="Times New Roman"/>
                <w:color w:val="auto"/>
                <w:sz w:val="21"/>
                <w:szCs w:val="21"/>
              </w:rPr>
              <w:t>车</w:t>
            </w:r>
          </w:p>
        </w:tc>
        <w:tc>
          <w:tcPr>
            <w:tcW w:w="1017" w:type="dxa"/>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0" w:type="auto"/>
            <w:vAlign w:val="center"/>
          </w:tcPr>
          <w:p>
            <w:pPr>
              <w:numPr>
                <w:ilvl w:val="0"/>
                <w:numId w:val="4"/>
              </w:numPr>
              <w:spacing w:line="240" w:lineRule="auto"/>
              <w:ind w:left="0" w:firstLine="0"/>
              <w:jc w:val="center"/>
              <w:rPr>
                <w:rFonts w:hint="default" w:ascii="Times New Roman" w:hAnsi="Times New Roman" w:eastAsia="宋体" w:cs="Times New Roman"/>
                <w:color w:val="auto"/>
                <w:sz w:val="21"/>
                <w:szCs w:val="21"/>
              </w:rPr>
            </w:pPr>
          </w:p>
        </w:tc>
        <w:tc>
          <w:tcPr>
            <w:tcW w:w="0" w:type="auto"/>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防结块剂膏</w:t>
            </w:r>
          </w:p>
        </w:tc>
        <w:tc>
          <w:tcPr>
            <w:tcW w:w="709" w:type="dxa"/>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固</w:t>
            </w:r>
          </w:p>
        </w:tc>
        <w:tc>
          <w:tcPr>
            <w:tcW w:w="1031" w:type="dxa"/>
            <w:vAlign w:val="center"/>
          </w:tcPr>
          <w:p>
            <w:pPr>
              <w:spacing w:line="240" w:lineRule="auto"/>
              <w:jc w:val="center"/>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工业级</w:t>
            </w:r>
          </w:p>
        </w:tc>
        <w:tc>
          <w:tcPr>
            <w:tcW w:w="1264"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360</w:t>
            </w:r>
          </w:p>
        </w:tc>
        <w:tc>
          <w:tcPr>
            <w:tcW w:w="1575"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外购</w:t>
            </w:r>
          </w:p>
        </w:tc>
        <w:tc>
          <w:tcPr>
            <w:tcW w:w="735"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汽车</w:t>
            </w:r>
          </w:p>
        </w:tc>
        <w:tc>
          <w:tcPr>
            <w:tcW w:w="1017" w:type="dxa"/>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pPr>
              <w:numPr>
                <w:ilvl w:val="0"/>
                <w:numId w:val="4"/>
              </w:numPr>
              <w:spacing w:line="240" w:lineRule="auto"/>
              <w:ind w:left="0" w:firstLine="0"/>
              <w:jc w:val="center"/>
              <w:rPr>
                <w:rFonts w:hint="default" w:ascii="Times New Roman" w:hAnsi="Times New Roman" w:eastAsia="宋体" w:cs="Times New Roman"/>
                <w:color w:val="auto"/>
                <w:sz w:val="21"/>
                <w:szCs w:val="21"/>
              </w:rPr>
            </w:pPr>
          </w:p>
        </w:tc>
        <w:tc>
          <w:tcPr>
            <w:tcW w:w="0" w:type="auto"/>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防结块剂粉</w:t>
            </w:r>
          </w:p>
        </w:tc>
        <w:tc>
          <w:tcPr>
            <w:tcW w:w="709"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w:t>
            </w:r>
          </w:p>
        </w:tc>
        <w:tc>
          <w:tcPr>
            <w:tcW w:w="1031" w:type="dxa"/>
            <w:vAlign w:val="center"/>
          </w:tcPr>
          <w:p>
            <w:pPr>
              <w:spacing w:line="240" w:lineRule="auto"/>
              <w:jc w:val="center"/>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工业级</w:t>
            </w:r>
          </w:p>
        </w:tc>
        <w:tc>
          <w:tcPr>
            <w:tcW w:w="1264"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675.000</w:t>
            </w:r>
          </w:p>
        </w:tc>
        <w:tc>
          <w:tcPr>
            <w:tcW w:w="1575"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外购</w:t>
            </w:r>
          </w:p>
        </w:tc>
        <w:tc>
          <w:tcPr>
            <w:tcW w:w="735"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汽车</w:t>
            </w:r>
          </w:p>
        </w:tc>
        <w:tc>
          <w:tcPr>
            <w:tcW w:w="1017" w:type="dxa"/>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pPr>
              <w:numPr>
                <w:ilvl w:val="0"/>
                <w:numId w:val="4"/>
              </w:numPr>
              <w:spacing w:line="240" w:lineRule="auto"/>
              <w:ind w:left="0" w:firstLine="0"/>
              <w:jc w:val="center"/>
              <w:rPr>
                <w:rFonts w:hint="default" w:ascii="Times New Roman" w:hAnsi="Times New Roman" w:eastAsia="宋体" w:cs="Times New Roman"/>
                <w:color w:val="auto"/>
                <w:sz w:val="21"/>
                <w:szCs w:val="21"/>
              </w:rPr>
            </w:pPr>
          </w:p>
        </w:tc>
        <w:tc>
          <w:tcPr>
            <w:tcW w:w="0" w:type="auto"/>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填充料</w:t>
            </w:r>
          </w:p>
        </w:tc>
        <w:tc>
          <w:tcPr>
            <w:tcW w:w="709"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w:t>
            </w:r>
          </w:p>
        </w:tc>
        <w:tc>
          <w:tcPr>
            <w:tcW w:w="1031" w:type="dxa"/>
            <w:vAlign w:val="center"/>
          </w:tcPr>
          <w:p>
            <w:pPr>
              <w:spacing w:line="240" w:lineRule="auto"/>
              <w:jc w:val="center"/>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工业级</w:t>
            </w:r>
          </w:p>
        </w:tc>
        <w:tc>
          <w:tcPr>
            <w:tcW w:w="1264"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11804.869</w:t>
            </w:r>
          </w:p>
        </w:tc>
        <w:tc>
          <w:tcPr>
            <w:tcW w:w="1575"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外购</w:t>
            </w:r>
          </w:p>
        </w:tc>
        <w:tc>
          <w:tcPr>
            <w:tcW w:w="735"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汽车</w:t>
            </w:r>
          </w:p>
        </w:tc>
        <w:tc>
          <w:tcPr>
            <w:tcW w:w="1017" w:type="dxa"/>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主要成分为</w:t>
            </w:r>
            <w:r>
              <w:rPr>
                <w:rFonts w:hint="default" w:ascii="Times New Roman" w:hAnsi="Times New Roman" w:eastAsia="宋体" w:cs="Times New Roman"/>
                <w:color w:val="auto"/>
                <w:sz w:val="21"/>
                <w:szCs w:val="21"/>
              </w:rPr>
              <w:t>棒土、微量元素、缓释剂、活化剂</w:t>
            </w:r>
            <w:r>
              <w:rPr>
                <w:rFonts w:hint="default" w:ascii="Times New Roman" w:hAnsi="Times New Roman" w:eastAsia="宋体" w:cs="Times New Roman"/>
                <w:color w:val="auto"/>
                <w:sz w:val="21"/>
                <w:szCs w:val="21"/>
                <w:lang w:eastAsia="zh-CN"/>
              </w:rPr>
              <w:t>等</w:t>
            </w:r>
          </w:p>
        </w:tc>
      </w:tr>
    </w:tbl>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2.3.2产品性状及质量指标</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项目主要产品及副产品的规格及质量要求如下：</w:t>
      </w:r>
    </w:p>
    <w:p>
      <w:pPr>
        <w:numPr>
          <w:ilvl w:val="0"/>
          <w:numId w:val="5"/>
        </w:num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产品</w:t>
      </w:r>
    </w:p>
    <w:p>
      <w:pPr>
        <w:numPr>
          <w:ilvl w:val="0"/>
          <w:numId w:val="0"/>
        </w:numPr>
        <w:ind w:firstLine="56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该</w:t>
      </w:r>
      <w:r>
        <w:rPr>
          <w:rFonts w:hint="default" w:ascii="Times New Roman" w:hAnsi="Times New Roman" w:eastAsia="宋体" w:cs="Times New Roman"/>
          <w:color w:val="auto"/>
          <w:lang w:val="en-US" w:eastAsia="zh-CN"/>
        </w:rPr>
        <w:t>项目高浓度复合肥产品执行国家标准：N、P</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O</w:t>
      </w:r>
      <w:r>
        <w:rPr>
          <w:rFonts w:hint="default" w:ascii="Times New Roman" w:hAnsi="Times New Roman" w:eastAsia="宋体" w:cs="Times New Roman"/>
          <w:color w:val="auto"/>
          <w:vertAlign w:val="subscript"/>
          <w:lang w:val="en-US" w:eastAsia="zh-CN"/>
        </w:rPr>
        <w:t>5</w:t>
      </w:r>
      <w:r>
        <w:rPr>
          <w:rFonts w:hint="default" w:ascii="Times New Roman" w:hAnsi="Times New Roman" w:eastAsia="宋体" w:cs="Times New Roman"/>
          <w:color w:val="auto"/>
          <w:lang w:val="en-US" w:eastAsia="zh-CN"/>
        </w:rPr>
        <w:t>、K</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O复合肥质量符合GB/T15063-2020标准《复合肥料》中高浓度复合肥指标要求。</w:t>
      </w:r>
    </w:p>
    <w:p>
      <w:pPr>
        <w:numPr>
          <w:ilvl w:val="0"/>
          <w:numId w:val="0"/>
        </w:numPr>
        <w:ind w:firstLine="56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①氨化复合肥（15-14-14S）</w:t>
      </w:r>
    </w:p>
    <w:p>
      <w:pPr>
        <w:spacing w:line="360" w:lineRule="auto"/>
        <w:jc w:val="cente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表</w:t>
      </w:r>
      <w:r>
        <w:rPr>
          <w:rFonts w:hint="default" w:ascii="Times New Roman" w:hAnsi="Times New Roman" w:cs="Times New Roman"/>
          <w:b w:val="0"/>
          <w:bCs w:val="0"/>
          <w:color w:val="auto"/>
          <w:sz w:val="24"/>
          <w:szCs w:val="24"/>
          <w:lang w:val="en-US" w:eastAsia="zh-CN"/>
        </w:rPr>
        <w:t xml:space="preserve">2.3.2-1 </w:t>
      </w:r>
      <w:r>
        <w:rPr>
          <w:rFonts w:hint="default" w:ascii="Times New Roman" w:hAnsi="Times New Roman" w:cs="Times New Roman"/>
          <w:b w:val="0"/>
          <w:bCs w:val="0"/>
          <w:color w:val="auto"/>
          <w:sz w:val="24"/>
          <w:szCs w:val="24"/>
        </w:rPr>
        <w:t>氨化复合肥（15-14-14S）质量标准</w:t>
      </w:r>
    </w:p>
    <w:tbl>
      <w:tblPr>
        <w:tblStyle w:val="19"/>
        <w:tblW w:w="484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2155"/>
        <w:gridCol w:w="3126"/>
        <w:gridCol w:w="1077"/>
        <w:gridCol w:w="1038"/>
        <w:gridCol w:w="14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        　　目</w:t>
            </w:r>
          </w:p>
        </w:tc>
        <w:tc>
          <w:tcPr>
            <w:tcW w:w="3512" w:type="dxa"/>
            <w:gridSpan w:val="3"/>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
                <w:color w:val="auto"/>
                <w:sz w:val="21"/>
                <w:szCs w:val="21"/>
              </w:rPr>
            </w:pPr>
            <w:r>
              <w:rPr>
                <w:rFonts w:hint="eastAsia" w:cs="Times New Roman"/>
                <w:b/>
                <w:color w:val="auto"/>
                <w:sz w:val="21"/>
                <w:szCs w:val="21"/>
                <w:lang w:eastAsia="zh-CN"/>
              </w:rPr>
              <w:t>优等品</w:t>
            </w:r>
            <w:r>
              <w:rPr>
                <w:rFonts w:hint="default" w:ascii="Times New Roman" w:hAnsi="Times New Roman" w:eastAsia="宋体" w:cs="Times New Roman"/>
                <w:b/>
                <w:color w:val="auto"/>
                <w:sz w:val="21"/>
                <w:szCs w:val="21"/>
              </w:rPr>
              <w:t>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vMerge w:val="continue"/>
            <w:tcBorders>
              <w:tl2br w:val="nil"/>
              <w:tr2bl w:val="nil"/>
            </w:tcBorders>
            <w:noWrap w:val="0"/>
            <w:vAlign w:val="top"/>
          </w:tcPr>
          <w:p>
            <w:pPr>
              <w:spacing w:line="240" w:lineRule="auto"/>
              <w:ind w:firstLine="0" w:firstLineChars="0"/>
              <w:rPr>
                <w:rFonts w:hint="default" w:ascii="Times New Roman" w:hAnsi="Times New Roman" w:eastAsia="宋体" w:cs="Times New Roman"/>
                <w:b/>
                <w:color w:val="auto"/>
                <w:sz w:val="21"/>
                <w:szCs w:val="21"/>
              </w:rPr>
            </w:pPr>
          </w:p>
        </w:tc>
        <w:tc>
          <w:tcPr>
            <w:tcW w:w="1075"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高浓度</w:t>
            </w:r>
          </w:p>
        </w:tc>
        <w:tc>
          <w:tcPr>
            <w:tcW w:w="1036"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中浓度</w:t>
            </w:r>
          </w:p>
        </w:tc>
        <w:tc>
          <w:tcPr>
            <w:tcW w:w="1401"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低浓度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tcBorders>
              <w:tl2br w:val="nil"/>
              <w:tr2bl w:val="nil"/>
            </w:tcBorders>
            <w:noWrap w:val="0"/>
            <w:vAlign w:val="center"/>
          </w:tcPr>
          <w:p>
            <w:pPr>
              <w:spacing w:line="240" w:lineRule="auto"/>
              <w:ind w:firstLine="0" w:firstLineChars="0"/>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eastAsia="zh-CN"/>
              </w:rPr>
              <w:t>外观</w:t>
            </w:r>
          </w:p>
        </w:tc>
        <w:tc>
          <w:tcPr>
            <w:tcW w:w="3512" w:type="dxa"/>
            <w:gridSpan w:val="3"/>
            <w:tcBorders>
              <w:tl2br w:val="nil"/>
              <w:tr2bl w:val="nil"/>
            </w:tcBorders>
            <w:noWrap w:val="0"/>
            <w:vAlign w:val="top"/>
          </w:tcPr>
          <w:p>
            <w:pPr>
              <w:spacing w:line="240" w:lineRule="auto"/>
              <w:ind w:firstLine="0" w:firstLineChars="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eastAsia="zh-CN"/>
              </w:rPr>
              <w:t>粒状，无机械杂质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tcBorders>
              <w:tl2br w:val="nil"/>
              <w:tr2bl w:val="nil"/>
            </w:tcBorders>
            <w:noWrap w:val="0"/>
            <w:vAlign w:val="top"/>
          </w:tcPr>
          <w:p>
            <w:pPr>
              <w:spacing w:line="240" w:lineRule="auto"/>
              <w:ind w:firstLine="0" w:firstLineChars="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水溶性磷占有效磷百分率</w:t>
            </w:r>
            <w:r>
              <w:rPr>
                <w:rFonts w:hint="default" w:ascii="Times New Roman" w:hAnsi="Times New Roman" w:eastAsia="宋体" w:cs="Times New Roman"/>
                <w:bCs/>
                <w:color w:val="auto"/>
                <w:sz w:val="21"/>
                <w:szCs w:val="21"/>
                <w:vertAlign w:val="superscript"/>
              </w:rPr>
              <w:t>b</w:t>
            </w:r>
            <w:r>
              <w:rPr>
                <w:rFonts w:hint="default" w:ascii="Times New Roman" w:hAnsi="Times New Roman" w:eastAsia="宋体" w:cs="Times New Roman"/>
                <w:bCs/>
                <w:color w:val="auto"/>
                <w:sz w:val="21"/>
                <w:szCs w:val="21"/>
              </w:rPr>
              <w:t>/%             ≥</w:t>
            </w:r>
          </w:p>
        </w:tc>
        <w:tc>
          <w:tcPr>
            <w:tcW w:w="1075"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60</w:t>
            </w:r>
          </w:p>
        </w:tc>
        <w:tc>
          <w:tcPr>
            <w:tcW w:w="1036"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50</w:t>
            </w:r>
          </w:p>
        </w:tc>
        <w:tc>
          <w:tcPr>
            <w:tcW w:w="1401"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硝态氮</w:t>
            </w:r>
            <w:r>
              <w:rPr>
                <w:rFonts w:hint="default" w:ascii="Times New Roman" w:hAnsi="Times New Roman" w:eastAsia="宋体" w:cs="Times New Roman"/>
                <w:bCs/>
                <w:color w:val="auto"/>
                <w:sz w:val="21"/>
                <w:szCs w:val="21"/>
                <w:vertAlign w:val="superscript"/>
              </w:rPr>
              <w:t>c</w:t>
            </w:r>
            <w:r>
              <w:rPr>
                <w:rFonts w:hint="default" w:ascii="Times New Roman" w:hAnsi="Times New Roman" w:eastAsia="宋体" w:cs="Times New Roman"/>
                <w:bCs/>
                <w:color w:val="auto"/>
                <w:sz w:val="21"/>
                <w:szCs w:val="21"/>
              </w:rPr>
              <w:t>%</w:t>
            </w:r>
          </w:p>
        </w:tc>
        <w:tc>
          <w:tcPr>
            <w:tcW w:w="3512" w:type="dxa"/>
            <w:gridSpan w:val="3"/>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0" w:hRule="atLeast"/>
        </w:trPr>
        <w:tc>
          <w:tcPr>
            <w:tcW w:w="5271" w:type="dxa"/>
            <w:gridSpan w:val="2"/>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vertAlign w:val="superscript"/>
              </w:rPr>
            </w:pPr>
            <w:r>
              <w:rPr>
                <w:rFonts w:hint="default" w:ascii="Times New Roman" w:hAnsi="Times New Roman" w:eastAsia="宋体" w:cs="Times New Roman"/>
                <w:bCs/>
                <w:color w:val="auto"/>
                <w:sz w:val="21"/>
                <w:szCs w:val="21"/>
              </w:rPr>
              <w:t>水分</w:t>
            </w:r>
            <w:r>
              <w:rPr>
                <w:rFonts w:hint="default" w:ascii="Times New Roman" w:hAnsi="Times New Roman" w:eastAsia="宋体" w:cs="Times New Roman"/>
                <w:bCs/>
                <w:color w:val="auto"/>
                <w:sz w:val="21"/>
                <w:szCs w:val="21"/>
                <w:vertAlign w:val="superscript"/>
              </w:rPr>
              <w:t>d</w:t>
            </w:r>
            <w:r>
              <w:rPr>
                <w:rFonts w:hint="default" w:ascii="Times New Roman" w:hAnsi="Times New Roman" w:eastAsia="宋体" w:cs="Times New Roman"/>
                <w:bCs/>
                <w:color w:val="auto"/>
                <w:sz w:val="21"/>
                <w:szCs w:val="21"/>
              </w:rPr>
              <w:t>（H</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O）/%                    ≤</w:t>
            </w:r>
          </w:p>
        </w:tc>
        <w:tc>
          <w:tcPr>
            <w:tcW w:w="1075"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0.8</w:t>
            </w:r>
          </w:p>
        </w:tc>
        <w:tc>
          <w:tcPr>
            <w:tcW w:w="1036"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0.8</w:t>
            </w:r>
          </w:p>
        </w:tc>
        <w:tc>
          <w:tcPr>
            <w:tcW w:w="1401"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粒度</w:t>
            </w:r>
            <w:r>
              <w:rPr>
                <w:rFonts w:hint="default" w:ascii="Times New Roman" w:hAnsi="Times New Roman" w:eastAsia="宋体" w:cs="Times New Roman"/>
                <w:bCs/>
                <w:color w:val="auto"/>
                <w:sz w:val="21"/>
                <w:szCs w:val="21"/>
                <w:vertAlign w:val="superscript"/>
              </w:rPr>
              <w:t>e</w:t>
            </w:r>
            <w:r>
              <w:rPr>
                <w:rFonts w:hint="default" w:ascii="Times New Roman" w:hAnsi="Times New Roman" w:eastAsia="宋体" w:cs="Times New Roman"/>
                <w:bCs/>
                <w:color w:val="auto"/>
                <w:sz w:val="21"/>
                <w:szCs w:val="21"/>
              </w:rPr>
              <w:t>（1.00～4.75mm或3.35～5.60mm）/%     ≥</w:t>
            </w:r>
          </w:p>
        </w:tc>
        <w:tc>
          <w:tcPr>
            <w:tcW w:w="3512" w:type="dxa"/>
            <w:gridSpan w:val="3"/>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151" w:type="dxa"/>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氯离子</w:t>
            </w:r>
            <w:r>
              <w:rPr>
                <w:rFonts w:hint="default" w:ascii="Times New Roman" w:hAnsi="Times New Roman" w:eastAsia="宋体" w:cs="Times New Roman"/>
                <w:bCs/>
                <w:color w:val="auto"/>
                <w:sz w:val="21"/>
                <w:szCs w:val="21"/>
                <w:vertAlign w:val="superscript"/>
              </w:rPr>
              <w:t>f</w:t>
            </w:r>
            <w:r>
              <w:rPr>
                <w:rFonts w:hint="default" w:ascii="Times New Roman" w:hAnsi="Times New Roman" w:eastAsia="宋体" w:cs="Times New Roman"/>
                <w:bCs/>
                <w:color w:val="auto"/>
                <w:sz w:val="21"/>
                <w:szCs w:val="21"/>
              </w:rPr>
              <w:t xml:space="preserve">  /% </w:t>
            </w:r>
          </w:p>
        </w:tc>
        <w:tc>
          <w:tcPr>
            <w:tcW w:w="3120" w:type="dxa"/>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标识“含氯(低氯)”的产品≤</w:t>
            </w:r>
          </w:p>
        </w:tc>
        <w:tc>
          <w:tcPr>
            <w:tcW w:w="3512" w:type="dxa"/>
            <w:gridSpan w:val="3"/>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151" w:type="dxa"/>
            <w:vMerge w:val="restart"/>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单一中量元素</w:t>
            </w:r>
            <w:r>
              <w:rPr>
                <w:rFonts w:hint="default" w:ascii="Times New Roman" w:hAnsi="Times New Roman" w:eastAsia="宋体" w:cs="Times New Roman"/>
                <w:bCs/>
                <w:color w:val="auto"/>
                <w:sz w:val="21"/>
                <w:szCs w:val="21"/>
                <w:vertAlign w:val="superscript"/>
              </w:rPr>
              <w:t>g</w:t>
            </w:r>
            <w:r>
              <w:rPr>
                <w:rFonts w:hint="default" w:ascii="Times New Roman" w:hAnsi="Times New Roman" w:eastAsia="宋体" w:cs="Times New Roman"/>
                <w:bCs/>
                <w:color w:val="auto"/>
                <w:sz w:val="21"/>
                <w:szCs w:val="21"/>
              </w:rPr>
              <w:t>（以单质计）/%</w:t>
            </w:r>
          </w:p>
        </w:tc>
        <w:tc>
          <w:tcPr>
            <w:tcW w:w="3120" w:type="dxa"/>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有效钙                ≥</w:t>
            </w:r>
          </w:p>
        </w:tc>
        <w:tc>
          <w:tcPr>
            <w:tcW w:w="3512" w:type="dxa"/>
            <w:gridSpan w:val="3"/>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151" w:type="dxa"/>
            <w:vMerge w:val="continue"/>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p>
        </w:tc>
        <w:tc>
          <w:tcPr>
            <w:tcW w:w="3120" w:type="dxa"/>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有效镁                ≥</w:t>
            </w:r>
          </w:p>
        </w:tc>
        <w:tc>
          <w:tcPr>
            <w:tcW w:w="3512" w:type="dxa"/>
            <w:gridSpan w:val="3"/>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151" w:type="dxa"/>
            <w:vMerge w:val="continue"/>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p>
        </w:tc>
        <w:tc>
          <w:tcPr>
            <w:tcW w:w="3120" w:type="dxa"/>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总硫                  ≥</w:t>
            </w:r>
          </w:p>
        </w:tc>
        <w:tc>
          <w:tcPr>
            <w:tcW w:w="3512" w:type="dxa"/>
            <w:gridSpan w:val="3"/>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tcBorders>
              <w:tl2br w:val="nil"/>
              <w:tr2bl w:val="nil"/>
            </w:tcBorders>
            <w:noWrap w:val="0"/>
            <w:vAlign w:val="top"/>
          </w:tcPr>
          <w:p>
            <w:pPr>
              <w:spacing w:line="240" w:lineRule="auto"/>
              <w:ind w:firstLine="0" w:firstLineChars="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单一微量元素</w:t>
            </w:r>
            <w:r>
              <w:rPr>
                <w:rFonts w:hint="default" w:ascii="Times New Roman" w:hAnsi="Times New Roman" w:eastAsia="宋体" w:cs="Times New Roman"/>
                <w:bCs/>
                <w:color w:val="auto"/>
                <w:sz w:val="21"/>
                <w:szCs w:val="21"/>
                <w:vertAlign w:val="superscript"/>
              </w:rPr>
              <w:t>h</w:t>
            </w:r>
            <w:r>
              <w:rPr>
                <w:rFonts w:hint="default" w:ascii="Times New Roman" w:hAnsi="Times New Roman" w:eastAsia="宋体" w:cs="Times New Roman"/>
                <w:bCs/>
                <w:color w:val="auto"/>
                <w:sz w:val="21"/>
                <w:szCs w:val="21"/>
              </w:rPr>
              <w:t xml:space="preserve"> （以单质计）/%            ≥</w:t>
            </w:r>
          </w:p>
        </w:tc>
        <w:tc>
          <w:tcPr>
            <w:tcW w:w="3512" w:type="dxa"/>
            <w:gridSpan w:val="3"/>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0.02</w:t>
            </w:r>
          </w:p>
        </w:tc>
      </w:tr>
    </w:tbl>
    <w:p>
      <w:pPr>
        <w:numPr>
          <w:ilvl w:val="0"/>
          <w:numId w:val="0"/>
        </w:numPr>
        <w:ind w:firstLine="56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②氨化复合肥（15-16-14S）</w:t>
      </w:r>
    </w:p>
    <w:p>
      <w:pPr>
        <w:spacing w:line="360" w:lineRule="auto"/>
        <w:jc w:val="cente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表</w:t>
      </w:r>
      <w:r>
        <w:rPr>
          <w:rFonts w:hint="default" w:ascii="Times New Roman" w:hAnsi="Times New Roman" w:cs="Times New Roman"/>
          <w:b w:val="0"/>
          <w:bCs w:val="0"/>
          <w:color w:val="auto"/>
          <w:sz w:val="24"/>
          <w:szCs w:val="24"/>
          <w:lang w:val="en-US" w:eastAsia="zh-CN"/>
        </w:rPr>
        <w:t>2.3.2-</w:t>
      </w:r>
      <w:r>
        <w:rPr>
          <w:rFonts w:hint="eastAsia" w:cs="Times New Roman"/>
          <w:b w:val="0"/>
          <w:bCs w:val="0"/>
          <w:color w:val="auto"/>
          <w:sz w:val="24"/>
          <w:szCs w:val="24"/>
          <w:lang w:val="en-US" w:eastAsia="zh-CN"/>
        </w:rPr>
        <w:t>2</w:t>
      </w:r>
      <w:r>
        <w:rPr>
          <w:rFonts w:hint="default" w:ascii="Times New Roman" w:hAnsi="Times New Roman" w:cs="Times New Roman"/>
          <w:b w:val="0"/>
          <w:bCs w:val="0"/>
          <w:color w:val="auto"/>
          <w:sz w:val="24"/>
          <w:szCs w:val="24"/>
          <w:lang w:val="en-US" w:eastAsia="zh-CN"/>
        </w:rPr>
        <w:t xml:space="preserve"> </w:t>
      </w:r>
      <w:r>
        <w:rPr>
          <w:rFonts w:hint="default" w:ascii="Times New Roman" w:hAnsi="Times New Roman" w:cs="Times New Roman"/>
          <w:b w:val="0"/>
          <w:bCs w:val="0"/>
          <w:color w:val="auto"/>
          <w:sz w:val="24"/>
          <w:szCs w:val="24"/>
        </w:rPr>
        <w:t>氨化复合肥（15-1</w:t>
      </w:r>
      <w:r>
        <w:rPr>
          <w:rFonts w:hint="eastAsia" w:cs="Times New Roman"/>
          <w:b w:val="0"/>
          <w:bCs w:val="0"/>
          <w:color w:val="auto"/>
          <w:sz w:val="24"/>
          <w:szCs w:val="24"/>
          <w:lang w:val="en-US" w:eastAsia="zh-CN"/>
        </w:rPr>
        <w:t>6</w:t>
      </w:r>
      <w:r>
        <w:rPr>
          <w:rFonts w:hint="default" w:ascii="Times New Roman" w:hAnsi="Times New Roman" w:cs="Times New Roman"/>
          <w:b w:val="0"/>
          <w:bCs w:val="0"/>
          <w:color w:val="auto"/>
          <w:sz w:val="24"/>
          <w:szCs w:val="24"/>
        </w:rPr>
        <w:t>-14S）质量标准</w:t>
      </w:r>
    </w:p>
    <w:tbl>
      <w:tblPr>
        <w:tblStyle w:val="19"/>
        <w:tblW w:w="484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2155"/>
        <w:gridCol w:w="3126"/>
        <w:gridCol w:w="1077"/>
        <w:gridCol w:w="1038"/>
        <w:gridCol w:w="14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        　　目</w:t>
            </w:r>
          </w:p>
        </w:tc>
        <w:tc>
          <w:tcPr>
            <w:tcW w:w="3512" w:type="dxa"/>
            <w:gridSpan w:val="3"/>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
                <w:color w:val="auto"/>
                <w:sz w:val="21"/>
                <w:szCs w:val="21"/>
              </w:rPr>
            </w:pPr>
            <w:r>
              <w:rPr>
                <w:rFonts w:hint="eastAsia" w:cs="Times New Roman"/>
                <w:b/>
                <w:color w:val="auto"/>
                <w:sz w:val="21"/>
                <w:szCs w:val="21"/>
                <w:lang w:eastAsia="zh-CN"/>
              </w:rPr>
              <w:t>优等品</w:t>
            </w:r>
            <w:r>
              <w:rPr>
                <w:rFonts w:hint="default" w:ascii="Times New Roman" w:hAnsi="Times New Roman" w:eastAsia="宋体" w:cs="Times New Roman"/>
                <w:b/>
                <w:color w:val="auto"/>
                <w:sz w:val="21"/>
                <w:szCs w:val="21"/>
              </w:rPr>
              <w:t>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vMerge w:val="continue"/>
            <w:tcBorders>
              <w:tl2br w:val="nil"/>
              <w:tr2bl w:val="nil"/>
            </w:tcBorders>
            <w:noWrap w:val="0"/>
            <w:vAlign w:val="top"/>
          </w:tcPr>
          <w:p>
            <w:pPr>
              <w:spacing w:line="240" w:lineRule="auto"/>
              <w:ind w:firstLine="0" w:firstLineChars="0"/>
              <w:rPr>
                <w:rFonts w:hint="default" w:ascii="Times New Roman" w:hAnsi="Times New Roman" w:eastAsia="宋体" w:cs="Times New Roman"/>
                <w:b/>
                <w:color w:val="auto"/>
                <w:sz w:val="21"/>
                <w:szCs w:val="21"/>
              </w:rPr>
            </w:pPr>
          </w:p>
        </w:tc>
        <w:tc>
          <w:tcPr>
            <w:tcW w:w="1075"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高浓度</w:t>
            </w:r>
          </w:p>
        </w:tc>
        <w:tc>
          <w:tcPr>
            <w:tcW w:w="1036"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中浓度</w:t>
            </w:r>
          </w:p>
        </w:tc>
        <w:tc>
          <w:tcPr>
            <w:tcW w:w="1401"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低浓度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tcBorders>
              <w:tl2br w:val="nil"/>
              <w:tr2bl w:val="nil"/>
            </w:tcBorders>
            <w:noWrap w:val="0"/>
            <w:vAlign w:val="center"/>
          </w:tcPr>
          <w:p>
            <w:pPr>
              <w:spacing w:line="240" w:lineRule="auto"/>
              <w:ind w:firstLine="0" w:firstLineChars="0"/>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eastAsia="zh-CN"/>
              </w:rPr>
              <w:t>外观</w:t>
            </w:r>
          </w:p>
        </w:tc>
        <w:tc>
          <w:tcPr>
            <w:tcW w:w="3512" w:type="dxa"/>
            <w:gridSpan w:val="3"/>
            <w:tcBorders>
              <w:tl2br w:val="nil"/>
              <w:tr2bl w:val="nil"/>
            </w:tcBorders>
            <w:noWrap w:val="0"/>
            <w:vAlign w:val="top"/>
          </w:tcPr>
          <w:p>
            <w:pPr>
              <w:spacing w:line="240" w:lineRule="auto"/>
              <w:ind w:firstLine="0" w:firstLineChars="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eastAsia="zh-CN"/>
              </w:rPr>
              <w:t>粒状，无机械杂质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tcBorders>
              <w:tl2br w:val="nil"/>
              <w:tr2bl w:val="nil"/>
            </w:tcBorders>
            <w:noWrap w:val="0"/>
            <w:vAlign w:val="top"/>
          </w:tcPr>
          <w:p>
            <w:pPr>
              <w:spacing w:line="240" w:lineRule="auto"/>
              <w:ind w:firstLine="0" w:firstLineChars="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水溶性磷占有效磷百分率</w:t>
            </w:r>
            <w:r>
              <w:rPr>
                <w:rFonts w:hint="default" w:ascii="Times New Roman" w:hAnsi="Times New Roman" w:eastAsia="宋体" w:cs="Times New Roman"/>
                <w:bCs/>
                <w:color w:val="auto"/>
                <w:sz w:val="21"/>
                <w:szCs w:val="21"/>
                <w:vertAlign w:val="superscript"/>
              </w:rPr>
              <w:t>b</w:t>
            </w:r>
            <w:r>
              <w:rPr>
                <w:rFonts w:hint="default" w:ascii="Times New Roman" w:hAnsi="Times New Roman" w:eastAsia="宋体" w:cs="Times New Roman"/>
                <w:bCs/>
                <w:color w:val="auto"/>
                <w:sz w:val="21"/>
                <w:szCs w:val="21"/>
              </w:rPr>
              <w:t>/%             ≥</w:t>
            </w:r>
          </w:p>
        </w:tc>
        <w:tc>
          <w:tcPr>
            <w:tcW w:w="1075"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60</w:t>
            </w:r>
          </w:p>
        </w:tc>
        <w:tc>
          <w:tcPr>
            <w:tcW w:w="1036"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50</w:t>
            </w:r>
          </w:p>
        </w:tc>
        <w:tc>
          <w:tcPr>
            <w:tcW w:w="1401"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硝态氮</w:t>
            </w:r>
            <w:r>
              <w:rPr>
                <w:rFonts w:hint="default" w:ascii="Times New Roman" w:hAnsi="Times New Roman" w:eastAsia="宋体" w:cs="Times New Roman"/>
                <w:bCs/>
                <w:color w:val="auto"/>
                <w:sz w:val="21"/>
                <w:szCs w:val="21"/>
                <w:vertAlign w:val="superscript"/>
              </w:rPr>
              <w:t>c</w:t>
            </w:r>
            <w:r>
              <w:rPr>
                <w:rFonts w:hint="default" w:ascii="Times New Roman" w:hAnsi="Times New Roman" w:eastAsia="宋体" w:cs="Times New Roman"/>
                <w:bCs/>
                <w:color w:val="auto"/>
                <w:sz w:val="21"/>
                <w:szCs w:val="21"/>
              </w:rPr>
              <w:t>%</w:t>
            </w:r>
          </w:p>
        </w:tc>
        <w:tc>
          <w:tcPr>
            <w:tcW w:w="3512" w:type="dxa"/>
            <w:gridSpan w:val="3"/>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vertAlign w:val="superscript"/>
              </w:rPr>
            </w:pPr>
            <w:r>
              <w:rPr>
                <w:rFonts w:hint="default" w:ascii="Times New Roman" w:hAnsi="Times New Roman" w:eastAsia="宋体" w:cs="Times New Roman"/>
                <w:bCs/>
                <w:color w:val="auto"/>
                <w:sz w:val="21"/>
                <w:szCs w:val="21"/>
              </w:rPr>
              <w:t>水分</w:t>
            </w:r>
            <w:r>
              <w:rPr>
                <w:rFonts w:hint="default" w:ascii="Times New Roman" w:hAnsi="Times New Roman" w:eastAsia="宋体" w:cs="Times New Roman"/>
                <w:bCs/>
                <w:color w:val="auto"/>
                <w:sz w:val="21"/>
                <w:szCs w:val="21"/>
                <w:vertAlign w:val="superscript"/>
              </w:rPr>
              <w:t>d</w:t>
            </w:r>
            <w:r>
              <w:rPr>
                <w:rFonts w:hint="default" w:ascii="Times New Roman" w:hAnsi="Times New Roman" w:eastAsia="宋体" w:cs="Times New Roman"/>
                <w:bCs/>
                <w:color w:val="auto"/>
                <w:sz w:val="21"/>
                <w:szCs w:val="21"/>
              </w:rPr>
              <w:t>（H</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O）/%                    ≤</w:t>
            </w:r>
          </w:p>
        </w:tc>
        <w:tc>
          <w:tcPr>
            <w:tcW w:w="1075"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0.8</w:t>
            </w:r>
          </w:p>
        </w:tc>
        <w:tc>
          <w:tcPr>
            <w:tcW w:w="1036"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0.8</w:t>
            </w:r>
          </w:p>
        </w:tc>
        <w:tc>
          <w:tcPr>
            <w:tcW w:w="1401"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粒度</w:t>
            </w:r>
            <w:r>
              <w:rPr>
                <w:rFonts w:hint="default" w:ascii="Times New Roman" w:hAnsi="Times New Roman" w:eastAsia="宋体" w:cs="Times New Roman"/>
                <w:bCs/>
                <w:color w:val="auto"/>
                <w:sz w:val="21"/>
                <w:szCs w:val="21"/>
                <w:vertAlign w:val="superscript"/>
              </w:rPr>
              <w:t>e</w:t>
            </w:r>
            <w:r>
              <w:rPr>
                <w:rFonts w:hint="default" w:ascii="Times New Roman" w:hAnsi="Times New Roman" w:eastAsia="宋体" w:cs="Times New Roman"/>
                <w:bCs/>
                <w:color w:val="auto"/>
                <w:sz w:val="21"/>
                <w:szCs w:val="21"/>
              </w:rPr>
              <w:t>（1.00～4.75mm或3.35～5.60mm）/%     ≥</w:t>
            </w:r>
          </w:p>
        </w:tc>
        <w:tc>
          <w:tcPr>
            <w:tcW w:w="3512" w:type="dxa"/>
            <w:gridSpan w:val="3"/>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151" w:type="dxa"/>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氯离子</w:t>
            </w:r>
            <w:r>
              <w:rPr>
                <w:rFonts w:hint="default" w:ascii="Times New Roman" w:hAnsi="Times New Roman" w:eastAsia="宋体" w:cs="Times New Roman"/>
                <w:bCs/>
                <w:color w:val="auto"/>
                <w:sz w:val="21"/>
                <w:szCs w:val="21"/>
                <w:vertAlign w:val="superscript"/>
              </w:rPr>
              <w:t>f</w:t>
            </w:r>
            <w:r>
              <w:rPr>
                <w:rFonts w:hint="default" w:ascii="Times New Roman" w:hAnsi="Times New Roman" w:eastAsia="宋体" w:cs="Times New Roman"/>
                <w:bCs/>
                <w:color w:val="auto"/>
                <w:sz w:val="21"/>
                <w:szCs w:val="21"/>
              </w:rPr>
              <w:t xml:space="preserve">  /% </w:t>
            </w:r>
          </w:p>
        </w:tc>
        <w:tc>
          <w:tcPr>
            <w:tcW w:w="3120" w:type="dxa"/>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标识“含氯(</w:t>
            </w:r>
            <w:r>
              <w:rPr>
                <w:rFonts w:hint="eastAsia" w:cs="Times New Roman"/>
                <w:bCs/>
                <w:color w:val="auto"/>
                <w:sz w:val="21"/>
                <w:szCs w:val="21"/>
                <w:lang w:eastAsia="zh-CN"/>
              </w:rPr>
              <w:t>中</w:t>
            </w:r>
            <w:r>
              <w:rPr>
                <w:rFonts w:hint="default" w:ascii="Times New Roman" w:hAnsi="Times New Roman" w:eastAsia="宋体" w:cs="Times New Roman"/>
                <w:bCs/>
                <w:color w:val="auto"/>
                <w:sz w:val="21"/>
                <w:szCs w:val="21"/>
              </w:rPr>
              <w:t>氯)”的产品≤</w:t>
            </w:r>
          </w:p>
        </w:tc>
        <w:tc>
          <w:tcPr>
            <w:tcW w:w="3512" w:type="dxa"/>
            <w:gridSpan w:val="3"/>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30.0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151" w:type="dxa"/>
            <w:vMerge w:val="restart"/>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单一中量元素</w:t>
            </w:r>
            <w:r>
              <w:rPr>
                <w:rFonts w:hint="default" w:ascii="Times New Roman" w:hAnsi="Times New Roman" w:eastAsia="宋体" w:cs="Times New Roman"/>
                <w:bCs/>
                <w:color w:val="auto"/>
                <w:sz w:val="21"/>
                <w:szCs w:val="21"/>
                <w:vertAlign w:val="superscript"/>
              </w:rPr>
              <w:t>g</w:t>
            </w:r>
            <w:r>
              <w:rPr>
                <w:rFonts w:hint="default" w:ascii="Times New Roman" w:hAnsi="Times New Roman" w:eastAsia="宋体" w:cs="Times New Roman"/>
                <w:bCs/>
                <w:color w:val="auto"/>
                <w:sz w:val="21"/>
                <w:szCs w:val="21"/>
              </w:rPr>
              <w:t>（以单质计）/%</w:t>
            </w:r>
          </w:p>
        </w:tc>
        <w:tc>
          <w:tcPr>
            <w:tcW w:w="3120" w:type="dxa"/>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有效钙                ≥</w:t>
            </w:r>
          </w:p>
        </w:tc>
        <w:tc>
          <w:tcPr>
            <w:tcW w:w="3512" w:type="dxa"/>
            <w:gridSpan w:val="3"/>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151" w:type="dxa"/>
            <w:vMerge w:val="continue"/>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p>
        </w:tc>
        <w:tc>
          <w:tcPr>
            <w:tcW w:w="3120" w:type="dxa"/>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有效镁                ≥</w:t>
            </w:r>
          </w:p>
        </w:tc>
        <w:tc>
          <w:tcPr>
            <w:tcW w:w="3512" w:type="dxa"/>
            <w:gridSpan w:val="3"/>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151" w:type="dxa"/>
            <w:vMerge w:val="continue"/>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p>
        </w:tc>
        <w:tc>
          <w:tcPr>
            <w:tcW w:w="3120" w:type="dxa"/>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总硫                  ≥</w:t>
            </w:r>
          </w:p>
        </w:tc>
        <w:tc>
          <w:tcPr>
            <w:tcW w:w="3512" w:type="dxa"/>
            <w:gridSpan w:val="3"/>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tcBorders>
              <w:tl2br w:val="nil"/>
              <w:tr2bl w:val="nil"/>
            </w:tcBorders>
            <w:noWrap w:val="0"/>
            <w:vAlign w:val="top"/>
          </w:tcPr>
          <w:p>
            <w:pPr>
              <w:spacing w:line="240" w:lineRule="auto"/>
              <w:ind w:firstLine="0" w:firstLineChars="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单一微量元素</w:t>
            </w:r>
            <w:r>
              <w:rPr>
                <w:rFonts w:hint="default" w:ascii="Times New Roman" w:hAnsi="Times New Roman" w:eastAsia="宋体" w:cs="Times New Roman"/>
                <w:bCs/>
                <w:color w:val="auto"/>
                <w:sz w:val="21"/>
                <w:szCs w:val="21"/>
                <w:vertAlign w:val="superscript"/>
              </w:rPr>
              <w:t>h</w:t>
            </w:r>
            <w:r>
              <w:rPr>
                <w:rFonts w:hint="default" w:ascii="Times New Roman" w:hAnsi="Times New Roman" w:eastAsia="宋体" w:cs="Times New Roman"/>
                <w:bCs/>
                <w:color w:val="auto"/>
                <w:sz w:val="21"/>
                <w:szCs w:val="21"/>
              </w:rPr>
              <w:t xml:space="preserve"> （以单质计）/%            ≥</w:t>
            </w:r>
          </w:p>
        </w:tc>
        <w:tc>
          <w:tcPr>
            <w:tcW w:w="3512" w:type="dxa"/>
            <w:gridSpan w:val="3"/>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0.02</w:t>
            </w:r>
          </w:p>
        </w:tc>
      </w:tr>
    </w:tbl>
    <w:p>
      <w:pPr>
        <w:numPr>
          <w:ilvl w:val="0"/>
          <w:numId w:val="0"/>
        </w:numPr>
        <w:ind w:firstLine="56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③氨酸复合肥</w:t>
      </w:r>
    </w:p>
    <w:p>
      <w:pPr>
        <w:spacing w:line="360" w:lineRule="auto"/>
        <w:jc w:val="cente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表</w:t>
      </w:r>
      <w:r>
        <w:rPr>
          <w:rFonts w:hint="default" w:ascii="Times New Roman" w:hAnsi="Times New Roman" w:cs="Times New Roman"/>
          <w:b w:val="0"/>
          <w:bCs w:val="0"/>
          <w:color w:val="auto"/>
          <w:sz w:val="24"/>
          <w:szCs w:val="24"/>
          <w:lang w:val="en-US" w:eastAsia="zh-CN"/>
        </w:rPr>
        <w:t>2.3.2-</w:t>
      </w:r>
      <w:r>
        <w:rPr>
          <w:rFonts w:hint="eastAsia"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 xml:space="preserve"> </w:t>
      </w:r>
      <w:r>
        <w:rPr>
          <w:rFonts w:hint="eastAsia" w:cs="Times New Roman"/>
          <w:b w:val="0"/>
          <w:bCs w:val="0"/>
          <w:color w:val="auto"/>
          <w:sz w:val="24"/>
          <w:szCs w:val="24"/>
          <w:lang w:eastAsia="zh-CN"/>
        </w:rPr>
        <w:t>氨酸复合肥</w:t>
      </w:r>
      <w:r>
        <w:rPr>
          <w:rFonts w:hint="default" w:ascii="Times New Roman" w:hAnsi="Times New Roman" w:cs="Times New Roman"/>
          <w:b w:val="0"/>
          <w:bCs w:val="0"/>
          <w:color w:val="auto"/>
          <w:sz w:val="24"/>
          <w:szCs w:val="24"/>
        </w:rPr>
        <w:t>质量标准</w:t>
      </w:r>
    </w:p>
    <w:tbl>
      <w:tblPr>
        <w:tblStyle w:val="19"/>
        <w:tblW w:w="484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2155"/>
        <w:gridCol w:w="3126"/>
        <w:gridCol w:w="1077"/>
        <w:gridCol w:w="1038"/>
        <w:gridCol w:w="14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        　　目</w:t>
            </w:r>
          </w:p>
        </w:tc>
        <w:tc>
          <w:tcPr>
            <w:tcW w:w="3512" w:type="dxa"/>
            <w:gridSpan w:val="3"/>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
                <w:color w:val="auto"/>
                <w:sz w:val="21"/>
                <w:szCs w:val="21"/>
              </w:rPr>
            </w:pPr>
            <w:r>
              <w:rPr>
                <w:rFonts w:hint="eastAsia" w:cs="Times New Roman"/>
                <w:b/>
                <w:color w:val="auto"/>
                <w:sz w:val="21"/>
                <w:szCs w:val="21"/>
                <w:lang w:eastAsia="zh-CN"/>
              </w:rPr>
              <w:t>优等品</w:t>
            </w:r>
            <w:r>
              <w:rPr>
                <w:rFonts w:hint="default" w:ascii="Times New Roman" w:hAnsi="Times New Roman" w:eastAsia="宋体" w:cs="Times New Roman"/>
                <w:b/>
                <w:color w:val="auto"/>
                <w:sz w:val="21"/>
                <w:szCs w:val="21"/>
              </w:rPr>
              <w:t>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vMerge w:val="continue"/>
            <w:tcBorders>
              <w:tl2br w:val="nil"/>
              <w:tr2bl w:val="nil"/>
            </w:tcBorders>
            <w:noWrap w:val="0"/>
            <w:vAlign w:val="top"/>
          </w:tcPr>
          <w:p>
            <w:pPr>
              <w:spacing w:line="240" w:lineRule="auto"/>
              <w:ind w:firstLine="0" w:firstLineChars="0"/>
              <w:rPr>
                <w:rFonts w:hint="default" w:ascii="Times New Roman" w:hAnsi="Times New Roman" w:eastAsia="宋体" w:cs="Times New Roman"/>
                <w:b/>
                <w:color w:val="auto"/>
                <w:sz w:val="21"/>
                <w:szCs w:val="21"/>
              </w:rPr>
            </w:pPr>
          </w:p>
        </w:tc>
        <w:tc>
          <w:tcPr>
            <w:tcW w:w="1075"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高浓度</w:t>
            </w:r>
          </w:p>
        </w:tc>
        <w:tc>
          <w:tcPr>
            <w:tcW w:w="1036"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中浓度</w:t>
            </w:r>
          </w:p>
        </w:tc>
        <w:tc>
          <w:tcPr>
            <w:tcW w:w="1401"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低浓度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0" w:hRule="atLeast"/>
        </w:trPr>
        <w:tc>
          <w:tcPr>
            <w:tcW w:w="5271" w:type="dxa"/>
            <w:gridSpan w:val="2"/>
            <w:tcBorders>
              <w:tl2br w:val="nil"/>
              <w:tr2bl w:val="nil"/>
            </w:tcBorders>
            <w:noWrap w:val="0"/>
            <w:vAlign w:val="center"/>
          </w:tcPr>
          <w:p>
            <w:pPr>
              <w:spacing w:line="240" w:lineRule="auto"/>
              <w:ind w:firstLine="0" w:firstLineChars="0"/>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eastAsia="zh-CN"/>
              </w:rPr>
              <w:t>外观</w:t>
            </w:r>
          </w:p>
        </w:tc>
        <w:tc>
          <w:tcPr>
            <w:tcW w:w="3512" w:type="dxa"/>
            <w:gridSpan w:val="3"/>
            <w:tcBorders>
              <w:tl2br w:val="nil"/>
              <w:tr2bl w:val="nil"/>
            </w:tcBorders>
            <w:noWrap w:val="0"/>
            <w:vAlign w:val="top"/>
          </w:tcPr>
          <w:p>
            <w:pPr>
              <w:spacing w:line="240" w:lineRule="auto"/>
              <w:ind w:firstLine="0" w:firstLineChars="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eastAsia="zh-CN"/>
              </w:rPr>
              <w:t>粒状，无机械杂质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tcBorders>
              <w:tl2br w:val="nil"/>
              <w:tr2bl w:val="nil"/>
            </w:tcBorders>
            <w:noWrap w:val="0"/>
            <w:vAlign w:val="top"/>
          </w:tcPr>
          <w:p>
            <w:pPr>
              <w:spacing w:line="240" w:lineRule="auto"/>
              <w:ind w:firstLine="0" w:firstLineChars="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水溶性磷占有效磷百分率</w:t>
            </w:r>
            <w:r>
              <w:rPr>
                <w:rFonts w:hint="default" w:ascii="Times New Roman" w:hAnsi="Times New Roman" w:eastAsia="宋体" w:cs="Times New Roman"/>
                <w:bCs/>
                <w:color w:val="auto"/>
                <w:sz w:val="21"/>
                <w:szCs w:val="21"/>
                <w:vertAlign w:val="superscript"/>
              </w:rPr>
              <w:t>b</w:t>
            </w:r>
            <w:r>
              <w:rPr>
                <w:rFonts w:hint="default" w:ascii="Times New Roman" w:hAnsi="Times New Roman" w:eastAsia="宋体" w:cs="Times New Roman"/>
                <w:bCs/>
                <w:color w:val="auto"/>
                <w:sz w:val="21"/>
                <w:szCs w:val="21"/>
              </w:rPr>
              <w:t>/%             ≥</w:t>
            </w:r>
          </w:p>
        </w:tc>
        <w:tc>
          <w:tcPr>
            <w:tcW w:w="1075"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60</w:t>
            </w:r>
          </w:p>
        </w:tc>
        <w:tc>
          <w:tcPr>
            <w:tcW w:w="1036"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50</w:t>
            </w:r>
          </w:p>
        </w:tc>
        <w:tc>
          <w:tcPr>
            <w:tcW w:w="1401"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0" w:hRule="atLeast"/>
        </w:trPr>
        <w:tc>
          <w:tcPr>
            <w:tcW w:w="5271" w:type="dxa"/>
            <w:gridSpan w:val="2"/>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硝态氮</w:t>
            </w:r>
            <w:r>
              <w:rPr>
                <w:rFonts w:hint="default" w:ascii="Times New Roman" w:hAnsi="Times New Roman" w:eastAsia="宋体" w:cs="Times New Roman"/>
                <w:bCs/>
                <w:color w:val="auto"/>
                <w:sz w:val="21"/>
                <w:szCs w:val="21"/>
                <w:vertAlign w:val="superscript"/>
              </w:rPr>
              <w:t>c</w:t>
            </w:r>
            <w:r>
              <w:rPr>
                <w:rFonts w:hint="default" w:ascii="Times New Roman" w:hAnsi="Times New Roman" w:eastAsia="宋体" w:cs="Times New Roman"/>
                <w:bCs/>
                <w:color w:val="auto"/>
                <w:sz w:val="21"/>
                <w:szCs w:val="21"/>
              </w:rPr>
              <w:t>%</w:t>
            </w:r>
          </w:p>
        </w:tc>
        <w:tc>
          <w:tcPr>
            <w:tcW w:w="3512" w:type="dxa"/>
            <w:gridSpan w:val="3"/>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vertAlign w:val="superscript"/>
              </w:rPr>
            </w:pPr>
            <w:r>
              <w:rPr>
                <w:rFonts w:hint="default" w:ascii="Times New Roman" w:hAnsi="Times New Roman" w:eastAsia="宋体" w:cs="Times New Roman"/>
                <w:bCs/>
                <w:color w:val="auto"/>
                <w:sz w:val="21"/>
                <w:szCs w:val="21"/>
              </w:rPr>
              <w:t>水分</w:t>
            </w:r>
            <w:r>
              <w:rPr>
                <w:rFonts w:hint="default" w:ascii="Times New Roman" w:hAnsi="Times New Roman" w:eastAsia="宋体" w:cs="Times New Roman"/>
                <w:bCs/>
                <w:color w:val="auto"/>
                <w:sz w:val="21"/>
                <w:szCs w:val="21"/>
                <w:vertAlign w:val="superscript"/>
              </w:rPr>
              <w:t>d</w:t>
            </w:r>
            <w:r>
              <w:rPr>
                <w:rFonts w:hint="default" w:ascii="Times New Roman" w:hAnsi="Times New Roman" w:eastAsia="宋体" w:cs="Times New Roman"/>
                <w:bCs/>
                <w:color w:val="auto"/>
                <w:sz w:val="21"/>
                <w:szCs w:val="21"/>
              </w:rPr>
              <w:t>（H</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O）/%                    ≤</w:t>
            </w:r>
          </w:p>
        </w:tc>
        <w:tc>
          <w:tcPr>
            <w:tcW w:w="1075"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1.6</w:t>
            </w:r>
          </w:p>
        </w:tc>
        <w:tc>
          <w:tcPr>
            <w:tcW w:w="1036"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1.6</w:t>
            </w:r>
          </w:p>
        </w:tc>
        <w:tc>
          <w:tcPr>
            <w:tcW w:w="1401" w:type="dxa"/>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粒度</w:t>
            </w:r>
            <w:r>
              <w:rPr>
                <w:rFonts w:hint="default" w:ascii="Times New Roman" w:hAnsi="Times New Roman" w:eastAsia="宋体" w:cs="Times New Roman"/>
                <w:bCs/>
                <w:color w:val="auto"/>
                <w:sz w:val="21"/>
                <w:szCs w:val="21"/>
                <w:vertAlign w:val="superscript"/>
              </w:rPr>
              <w:t>e</w:t>
            </w:r>
            <w:r>
              <w:rPr>
                <w:rFonts w:hint="default" w:ascii="Times New Roman" w:hAnsi="Times New Roman" w:eastAsia="宋体" w:cs="Times New Roman"/>
                <w:bCs/>
                <w:color w:val="auto"/>
                <w:sz w:val="21"/>
                <w:szCs w:val="21"/>
              </w:rPr>
              <w:t>（1.00～4.75mm或3.35～5.60mm）/%     ≥</w:t>
            </w:r>
          </w:p>
        </w:tc>
        <w:tc>
          <w:tcPr>
            <w:tcW w:w="3512" w:type="dxa"/>
            <w:gridSpan w:val="3"/>
            <w:tcBorders>
              <w:tl2br w:val="nil"/>
              <w:tr2bl w:val="nil"/>
            </w:tcBorders>
            <w:noWrap w:val="0"/>
            <w:vAlign w:val="top"/>
          </w:tcPr>
          <w:p>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151" w:type="dxa"/>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氯离子</w:t>
            </w:r>
            <w:r>
              <w:rPr>
                <w:rFonts w:hint="default" w:ascii="Times New Roman" w:hAnsi="Times New Roman" w:eastAsia="宋体" w:cs="Times New Roman"/>
                <w:bCs/>
                <w:color w:val="auto"/>
                <w:sz w:val="21"/>
                <w:szCs w:val="21"/>
                <w:vertAlign w:val="superscript"/>
              </w:rPr>
              <w:t>f</w:t>
            </w:r>
            <w:r>
              <w:rPr>
                <w:rFonts w:hint="default" w:ascii="Times New Roman" w:hAnsi="Times New Roman" w:eastAsia="宋体" w:cs="Times New Roman"/>
                <w:bCs/>
                <w:color w:val="auto"/>
                <w:sz w:val="21"/>
                <w:szCs w:val="21"/>
              </w:rPr>
              <w:t xml:space="preserve">  /% </w:t>
            </w:r>
          </w:p>
        </w:tc>
        <w:tc>
          <w:tcPr>
            <w:tcW w:w="3120" w:type="dxa"/>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标识“含氯(</w:t>
            </w:r>
            <w:r>
              <w:rPr>
                <w:rFonts w:hint="eastAsia" w:cs="Times New Roman"/>
                <w:bCs/>
                <w:color w:val="auto"/>
                <w:sz w:val="21"/>
                <w:szCs w:val="21"/>
                <w:lang w:eastAsia="zh-CN"/>
              </w:rPr>
              <w:t>中</w:t>
            </w:r>
            <w:r>
              <w:rPr>
                <w:rFonts w:hint="default" w:ascii="Times New Roman" w:hAnsi="Times New Roman" w:eastAsia="宋体" w:cs="Times New Roman"/>
                <w:bCs/>
                <w:color w:val="auto"/>
                <w:sz w:val="21"/>
                <w:szCs w:val="21"/>
              </w:rPr>
              <w:t>氯)”的产品≤</w:t>
            </w:r>
          </w:p>
        </w:tc>
        <w:tc>
          <w:tcPr>
            <w:tcW w:w="3512" w:type="dxa"/>
            <w:gridSpan w:val="3"/>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30.0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151" w:type="dxa"/>
            <w:vMerge w:val="restart"/>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单一中量元素</w:t>
            </w:r>
            <w:r>
              <w:rPr>
                <w:rFonts w:hint="default" w:ascii="Times New Roman" w:hAnsi="Times New Roman" w:eastAsia="宋体" w:cs="Times New Roman"/>
                <w:bCs/>
                <w:color w:val="auto"/>
                <w:sz w:val="21"/>
                <w:szCs w:val="21"/>
                <w:vertAlign w:val="superscript"/>
              </w:rPr>
              <w:t>g</w:t>
            </w:r>
            <w:r>
              <w:rPr>
                <w:rFonts w:hint="default" w:ascii="Times New Roman" w:hAnsi="Times New Roman" w:eastAsia="宋体" w:cs="Times New Roman"/>
                <w:bCs/>
                <w:color w:val="auto"/>
                <w:sz w:val="21"/>
                <w:szCs w:val="21"/>
              </w:rPr>
              <w:t>（以单质计）/%</w:t>
            </w:r>
          </w:p>
        </w:tc>
        <w:tc>
          <w:tcPr>
            <w:tcW w:w="3120" w:type="dxa"/>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有效钙                ≥</w:t>
            </w:r>
          </w:p>
        </w:tc>
        <w:tc>
          <w:tcPr>
            <w:tcW w:w="3512" w:type="dxa"/>
            <w:gridSpan w:val="3"/>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151" w:type="dxa"/>
            <w:vMerge w:val="continue"/>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p>
        </w:tc>
        <w:tc>
          <w:tcPr>
            <w:tcW w:w="3120" w:type="dxa"/>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有效镁                ≥</w:t>
            </w:r>
          </w:p>
        </w:tc>
        <w:tc>
          <w:tcPr>
            <w:tcW w:w="3512" w:type="dxa"/>
            <w:gridSpan w:val="3"/>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151" w:type="dxa"/>
            <w:vMerge w:val="continue"/>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p>
        </w:tc>
        <w:tc>
          <w:tcPr>
            <w:tcW w:w="3120" w:type="dxa"/>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总硫                  ≥</w:t>
            </w:r>
          </w:p>
        </w:tc>
        <w:tc>
          <w:tcPr>
            <w:tcW w:w="3512" w:type="dxa"/>
            <w:gridSpan w:val="3"/>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5271" w:type="dxa"/>
            <w:gridSpan w:val="2"/>
            <w:tcBorders>
              <w:tl2br w:val="nil"/>
              <w:tr2bl w:val="nil"/>
            </w:tcBorders>
            <w:noWrap w:val="0"/>
            <w:vAlign w:val="top"/>
          </w:tcPr>
          <w:p>
            <w:pPr>
              <w:spacing w:line="240" w:lineRule="auto"/>
              <w:ind w:firstLine="0" w:firstLineChars="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单一微量元素</w:t>
            </w:r>
            <w:r>
              <w:rPr>
                <w:rFonts w:hint="default" w:ascii="Times New Roman" w:hAnsi="Times New Roman" w:eastAsia="宋体" w:cs="Times New Roman"/>
                <w:bCs/>
                <w:color w:val="auto"/>
                <w:sz w:val="21"/>
                <w:szCs w:val="21"/>
                <w:vertAlign w:val="superscript"/>
              </w:rPr>
              <w:t>h</w:t>
            </w:r>
            <w:r>
              <w:rPr>
                <w:rFonts w:hint="default" w:ascii="Times New Roman" w:hAnsi="Times New Roman" w:eastAsia="宋体" w:cs="Times New Roman"/>
                <w:bCs/>
                <w:color w:val="auto"/>
                <w:sz w:val="21"/>
                <w:szCs w:val="21"/>
              </w:rPr>
              <w:t xml:space="preserve"> （以单质计）/%            ≥</w:t>
            </w:r>
          </w:p>
        </w:tc>
        <w:tc>
          <w:tcPr>
            <w:tcW w:w="3512" w:type="dxa"/>
            <w:gridSpan w:val="3"/>
            <w:tcBorders>
              <w:tl2br w:val="nil"/>
              <w:tr2bl w:val="nil"/>
            </w:tcBorders>
            <w:noWrap w:val="0"/>
            <w:vAlign w:val="top"/>
          </w:tcPr>
          <w:p>
            <w:pPr>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0.02</w:t>
            </w:r>
          </w:p>
        </w:tc>
      </w:tr>
    </w:tbl>
    <w:p>
      <w:pPr>
        <w:numPr>
          <w:ilvl w:val="0"/>
          <w:numId w:val="0"/>
        </w:numPr>
        <w:ind w:firstLine="560" w:firstLineChars="200"/>
        <w:rPr>
          <w:rFonts w:hint="eastAsia" w:cs="Times New Roman"/>
          <w:color w:val="auto"/>
          <w:lang w:val="en-US" w:eastAsia="zh-CN"/>
        </w:rPr>
      </w:pPr>
      <w:r>
        <w:rPr>
          <w:rFonts w:hint="default" w:ascii="Times New Roman" w:hAnsi="Times New Roman" w:eastAsia="宋体" w:cs="Times New Roman"/>
          <w:color w:val="auto"/>
          <w:lang w:val="en-US" w:eastAsia="zh-CN"/>
        </w:rPr>
        <w:t>2）</w:t>
      </w:r>
      <w:r>
        <w:rPr>
          <w:rFonts w:hint="eastAsia" w:cs="Times New Roman"/>
          <w:color w:val="auto"/>
          <w:lang w:val="en-US" w:eastAsia="zh-CN"/>
        </w:rPr>
        <w:t>副产品</w:t>
      </w:r>
    </w:p>
    <w:p>
      <w:pPr>
        <w:numPr>
          <w:ilvl w:val="0"/>
          <w:numId w:val="0"/>
        </w:numPr>
        <w:ind w:firstLine="56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①</w:t>
      </w:r>
      <w:r>
        <w:rPr>
          <w:rFonts w:hint="default" w:ascii="Times New Roman" w:hAnsi="Times New Roman" w:eastAsia="宋体" w:cs="Times New Roman"/>
          <w:color w:val="auto"/>
          <w:lang w:val="en-US" w:eastAsia="zh-CN"/>
        </w:rPr>
        <w:t>盐酸</w:t>
      </w:r>
    </w:p>
    <w:p>
      <w:pPr>
        <w:numPr>
          <w:ilvl w:val="0"/>
          <w:numId w:val="0"/>
        </w:numPr>
        <w:ind w:firstLine="56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外观：无色或浅黄色透明液体。</w:t>
      </w:r>
    </w:p>
    <w:p>
      <w:pPr>
        <w:spacing w:line="360" w:lineRule="auto"/>
        <w:ind w:firstLine="1920" w:firstLineChars="800"/>
        <w:jc w:val="both"/>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表</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.2-</w:t>
      </w:r>
      <w:r>
        <w:rPr>
          <w:rFonts w:hint="eastAsia"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lang w:eastAsia="zh-CN"/>
        </w:rPr>
        <w:t>工业用合成盐酸技术指标GB320—2006</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9"/>
        <w:gridCol w:w="1764"/>
        <w:gridCol w:w="1764"/>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175" w:type="pct"/>
            <w:vMerge w:val="restart"/>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指标名称</w:t>
            </w:r>
          </w:p>
        </w:tc>
        <w:tc>
          <w:tcPr>
            <w:tcW w:w="2824" w:type="pct"/>
            <w:gridSpan w:val="3"/>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2175" w:type="pct"/>
            <w:vMerge w:val="continue"/>
            <w:noWrap w:val="0"/>
            <w:vAlign w:val="top"/>
          </w:tcPr>
          <w:p>
            <w:pPr>
              <w:spacing w:line="240" w:lineRule="auto"/>
              <w:rPr>
                <w:rFonts w:hint="default" w:ascii="Times New Roman" w:hAnsi="Times New Roman" w:cs="Times New Roman"/>
                <w:color w:val="auto"/>
                <w:sz w:val="24"/>
                <w:szCs w:val="24"/>
              </w:rPr>
            </w:pPr>
          </w:p>
        </w:tc>
        <w:tc>
          <w:tcPr>
            <w:tcW w:w="950" w:type="pct"/>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优等品</w:t>
            </w:r>
          </w:p>
        </w:tc>
        <w:tc>
          <w:tcPr>
            <w:tcW w:w="950" w:type="pct"/>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一等品</w:t>
            </w:r>
          </w:p>
        </w:tc>
        <w:tc>
          <w:tcPr>
            <w:tcW w:w="923" w:type="pct"/>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合格品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75" w:type="pct"/>
            <w:noWrap w:val="0"/>
            <w:vAlign w:val="top"/>
          </w:tcPr>
          <w:p>
            <w:pPr>
              <w:spacing w:line="24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总酸度(以HCl计)      %  ≥</w:t>
            </w:r>
          </w:p>
        </w:tc>
        <w:tc>
          <w:tcPr>
            <w:tcW w:w="2824" w:type="pct"/>
            <w:gridSpan w:val="3"/>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5" w:type="pct"/>
            <w:noWrap w:val="0"/>
            <w:vAlign w:val="top"/>
          </w:tcPr>
          <w:p>
            <w:pPr>
              <w:spacing w:line="24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铁                    %  ≤</w:t>
            </w:r>
          </w:p>
        </w:tc>
        <w:tc>
          <w:tcPr>
            <w:tcW w:w="950" w:type="pct"/>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0.002</w:t>
            </w:r>
          </w:p>
        </w:tc>
        <w:tc>
          <w:tcPr>
            <w:tcW w:w="950" w:type="pct"/>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0.008</w:t>
            </w:r>
          </w:p>
        </w:tc>
        <w:tc>
          <w:tcPr>
            <w:tcW w:w="923" w:type="pct"/>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5" w:type="pct"/>
            <w:noWrap w:val="0"/>
            <w:vAlign w:val="top"/>
          </w:tcPr>
          <w:p>
            <w:pPr>
              <w:spacing w:line="24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硫酸盐(以SO</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计)      %  ≤</w:t>
            </w:r>
          </w:p>
        </w:tc>
        <w:tc>
          <w:tcPr>
            <w:tcW w:w="950" w:type="pct"/>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0.005</w:t>
            </w:r>
          </w:p>
        </w:tc>
        <w:tc>
          <w:tcPr>
            <w:tcW w:w="950" w:type="pct"/>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0.03</w:t>
            </w:r>
          </w:p>
        </w:tc>
        <w:tc>
          <w:tcPr>
            <w:tcW w:w="923" w:type="pct"/>
            <w:noWrap w:val="0"/>
            <w:vAlign w:val="center"/>
          </w:tcPr>
          <w:p>
            <w:pPr>
              <w:spacing w:line="240" w:lineRule="auto"/>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5" w:type="pct"/>
            <w:noWrap w:val="0"/>
            <w:vAlign w:val="top"/>
          </w:tcPr>
          <w:p>
            <w:pPr>
              <w:spacing w:line="24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砷                    %  ≤</w:t>
            </w:r>
          </w:p>
        </w:tc>
        <w:tc>
          <w:tcPr>
            <w:tcW w:w="2824" w:type="pct"/>
            <w:gridSpan w:val="3"/>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5" w:type="pct"/>
            <w:noWrap w:val="0"/>
            <w:vAlign w:val="top"/>
          </w:tcPr>
          <w:p>
            <w:pPr>
              <w:spacing w:line="24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灼烧残渣              %  ≤</w:t>
            </w:r>
          </w:p>
        </w:tc>
        <w:tc>
          <w:tcPr>
            <w:tcW w:w="950" w:type="pct"/>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0.05</w:t>
            </w:r>
          </w:p>
        </w:tc>
        <w:tc>
          <w:tcPr>
            <w:tcW w:w="950" w:type="pct"/>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0.10</w:t>
            </w:r>
          </w:p>
        </w:tc>
        <w:tc>
          <w:tcPr>
            <w:tcW w:w="923" w:type="pct"/>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5" w:type="pct"/>
            <w:noWrap w:val="0"/>
            <w:vAlign w:val="top"/>
          </w:tcPr>
          <w:p>
            <w:pPr>
              <w:spacing w:line="24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氧化物(以Cl</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计)        %  ≤</w:t>
            </w:r>
          </w:p>
        </w:tc>
        <w:tc>
          <w:tcPr>
            <w:tcW w:w="950" w:type="pct"/>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0.005</w:t>
            </w:r>
          </w:p>
        </w:tc>
        <w:tc>
          <w:tcPr>
            <w:tcW w:w="950" w:type="pct"/>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0.008</w:t>
            </w:r>
          </w:p>
        </w:tc>
        <w:tc>
          <w:tcPr>
            <w:tcW w:w="923" w:type="pct"/>
            <w:noWrap w:val="0"/>
            <w:vAlign w:val="center"/>
          </w:tcPr>
          <w:p>
            <w:pPr>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noWrap w:val="0"/>
            <w:vAlign w:val="center"/>
          </w:tcPr>
          <w:p>
            <w:pPr>
              <w:spacing w:line="24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砷指标强制</w:t>
            </w:r>
          </w:p>
        </w:tc>
      </w:tr>
    </w:tbl>
    <w:p>
      <w:pPr>
        <w:numPr>
          <w:ilvl w:val="0"/>
          <w:numId w:val="0"/>
        </w:numPr>
        <w:ind w:firstLine="56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该项目盐酸执行GB320—2006一等品或合格品标准</w:t>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2.3.3储运</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1.运输</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根据建设地点的运输条件，该项目运输货物的性质、运输量及地点，运输方式目前拟采用公路运输方式。其中原辅料等采用汽车或槽车送至厂区相应仓库或储罐内储存。产品主要采用公路运出厂外。</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该项目的公路运输车辆均不考虑自备，主要原料、材料、产品的运输主要采用汽车运输，并且委托具有危险化学品运输资质的单位进行运输。厂内运输采用管道、叉车</w:t>
      </w:r>
      <w:r>
        <w:rPr>
          <w:rFonts w:hint="default" w:ascii="Times New Roman" w:hAnsi="Times New Roman" w:cs="Times New Roman"/>
          <w:color w:val="auto"/>
          <w:lang w:eastAsia="zh-CN"/>
        </w:rPr>
        <w:t>，叉车不考虑新增，</w:t>
      </w:r>
      <w:r>
        <w:rPr>
          <w:rFonts w:hint="default" w:ascii="Times New Roman" w:hAnsi="Times New Roman" w:cs="Times New Roman"/>
          <w:color w:val="auto"/>
        </w:rPr>
        <w:t>依托公司</w:t>
      </w:r>
      <w:r>
        <w:rPr>
          <w:rFonts w:hint="default" w:ascii="Times New Roman" w:hAnsi="Times New Roman" w:cs="Times New Roman"/>
          <w:color w:val="auto"/>
          <w:lang w:eastAsia="zh-CN"/>
        </w:rPr>
        <w:t>现有设备</w:t>
      </w:r>
      <w:r>
        <w:rPr>
          <w:rFonts w:hint="default" w:ascii="Times New Roman" w:hAnsi="Times New Roman" w:cs="Times New Roman"/>
          <w:color w:val="auto"/>
        </w:rPr>
        <w:t>。生活、行政和后勤用车可考虑依托公司自备车辆。</w:t>
      </w:r>
    </w:p>
    <w:p>
      <w:pPr>
        <w:ind w:firstLine="56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rPr>
        <w:t>该项目</w:t>
      </w:r>
      <w:r>
        <w:rPr>
          <w:rFonts w:hint="default" w:ascii="Times New Roman" w:hAnsi="Times New Roman" w:cs="Times New Roman"/>
          <w:color w:val="auto"/>
          <w:lang w:val="en-US" w:eastAsia="zh-CN"/>
        </w:rPr>
        <w:t>涉及的氨</w:t>
      </w:r>
      <w:r>
        <w:rPr>
          <w:rFonts w:hint="default" w:ascii="Times New Roman" w:hAnsi="Times New Roman" w:cs="Times New Roman"/>
          <w:color w:val="auto"/>
        </w:rPr>
        <w:t>来源于九江心连心清洁生产综合利用项目</w:t>
      </w:r>
      <w:r>
        <w:rPr>
          <w:rFonts w:hint="default" w:ascii="Times New Roman" w:hAnsi="Times New Roman" w:cs="Times New Roman"/>
          <w:color w:val="auto"/>
          <w:lang w:val="en-US" w:eastAsia="zh-CN"/>
        </w:rPr>
        <w:t>的</w:t>
      </w:r>
      <w:r>
        <w:rPr>
          <w:rFonts w:hint="eastAsia" w:cs="Times New Roman"/>
          <w:color w:val="auto"/>
          <w:lang w:eastAsia="zh-CN"/>
        </w:rPr>
        <w:t>合成氨装置</w:t>
      </w:r>
      <w:r>
        <w:rPr>
          <w:rFonts w:hint="default" w:ascii="Times New Roman" w:hAnsi="Times New Roman" w:cs="Times New Roman"/>
          <w:color w:val="auto"/>
        </w:rPr>
        <w:t>，</w:t>
      </w:r>
      <w:r>
        <w:rPr>
          <w:rFonts w:hint="default" w:ascii="Times New Roman" w:hAnsi="Times New Roman" w:cs="Times New Roman"/>
          <w:color w:val="auto"/>
          <w:lang w:val="en-US" w:eastAsia="zh-CN"/>
        </w:rPr>
        <w:t>氨的产</w:t>
      </w:r>
      <w:r>
        <w:rPr>
          <w:rFonts w:hint="default" w:ascii="Times New Roman" w:hAnsi="Times New Roman" w:cs="Times New Roman"/>
          <w:color w:val="auto"/>
        </w:rPr>
        <w:t>量</w:t>
      </w:r>
      <w:r>
        <w:rPr>
          <w:rFonts w:hint="eastAsia" w:cs="Times New Roman"/>
          <w:color w:val="auto"/>
          <w:lang w:eastAsia="zh-CN"/>
        </w:rPr>
        <w:t>约</w:t>
      </w:r>
      <w:r>
        <w:rPr>
          <w:rFonts w:hint="eastAsia" w:cs="Times New Roman"/>
          <w:color w:val="auto"/>
          <w:lang w:val="en-US" w:eastAsia="zh-CN"/>
        </w:rPr>
        <w:t>86t</w:t>
      </w:r>
      <w:r>
        <w:rPr>
          <w:rFonts w:hint="default" w:ascii="Times New Roman" w:hAnsi="Times New Roman" w:cs="Times New Roman"/>
          <w:color w:val="auto"/>
        </w:rPr>
        <w:t>/h，原有项目的消耗量是</w:t>
      </w:r>
      <w:r>
        <w:rPr>
          <w:rFonts w:hint="eastAsia" w:cs="Times New Roman"/>
          <w:color w:val="auto"/>
          <w:lang w:val="en-US" w:eastAsia="zh-CN"/>
        </w:rPr>
        <w:t>69t</w:t>
      </w:r>
      <w:r>
        <w:rPr>
          <w:rFonts w:hint="default" w:ascii="Times New Roman" w:hAnsi="Times New Roman" w:cs="Times New Roman"/>
          <w:color w:val="auto"/>
        </w:rPr>
        <w:t>/h，余量是</w:t>
      </w:r>
      <w:r>
        <w:rPr>
          <w:rFonts w:hint="eastAsia" w:cs="Times New Roman"/>
          <w:color w:val="auto"/>
          <w:lang w:val="en-US" w:eastAsia="zh-CN"/>
        </w:rPr>
        <w:t>17t</w:t>
      </w:r>
      <w:r>
        <w:rPr>
          <w:rFonts w:hint="default" w:ascii="Times New Roman" w:hAnsi="Times New Roman" w:cs="Times New Roman"/>
          <w:color w:val="auto"/>
        </w:rPr>
        <w:t>/h。</w:t>
      </w:r>
      <w:r>
        <w:rPr>
          <w:rFonts w:hint="eastAsia" w:cs="Times New Roman"/>
          <w:color w:val="auto"/>
          <w:lang w:eastAsia="zh-CN"/>
        </w:rPr>
        <w:t>液氨</w:t>
      </w:r>
      <w:r>
        <w:rPr>
          <w:rFonts w:hint="default" w:ascii="Times New Roman" w:hAnsi="Times New Roman" w:cs="Times New Roman"/>
          <w:color w:val="auto"/>
        </w:rPr>
        <w:t>管线是从九江心连心清洁生产综合利用项目</w:t>
      </w:r>
      <w:r>
        <w:rPr>
          <w:rFonts w:hint="eastAsia" w:ascii="Times New Roman" w:hAnsi="Times New Roman" w:cs="Times New Roman"/>
          <w:color w:val="auto"/>
          <w:lang w:val="en-US" w:eastAsia="zh-CN"/>
        </w:rPr>
        <w:t>厂区引出后，穿过两厂区之间约200m的隧道，沿预留管廊敷设进厂区，</w:t>
      </w:r>
      <w:r>
        <w:rPr>
          <w:rFonts w:hint="default" w:ascii="Times New Roman" w:hAnsi="Times New Roman" w:cs="Times New Roman"/>
          <w:color w:val="auto"/>
        </w:rPr>
        <w:t>该项目的</w:t>
      </w:r>
      <w:r>
        <w:rPr>
          <w:rFonts w:hint="default" w:ascii="Times New Roman" w:hAnsi="Times New Roman" w:cs="Times New Roman"/>
          <w:color w:val="auto"/>
          <w:lang w:val="en-US" w:eastAsia="zh-CN"/>
        </w:rPr>
        <w:t>最大</w:t>
      </w:r>
      <w:r>
        <w:rPr>
          <w:rFonts w:hint="default" w:ascii="Times New Roman" w:hAnsi="Times New Roman" w:cs="Times New Roman"/>
          <w:color w:val="auto"/>
        </w:rPr>
        <w:t>需求量为2.16t/h</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原有九江心连心清洁生产综合利用项目的氨气供应量能够满足该项目需求。</w:t>
      </w:r>
    </w:p>
    <w:p>
      <w:pPr>
        <w:ind w:firstLine="560" w:firstLineChars="200"/>
        <w:rPr>
          <w:rFonts w:hint="default" w:cs="Times New Roman"/>
          <w:color w:val="auto"/>
          <w:lang w:val="en-US" w:eastAsia="zh-CN"/>
        </w:rPr>
      </w:pPr>
      <w:r>
        <w:rPr>
          <w:rFonts w:hint="eastAsia" w:cs="Times New Roman"/>
          <w:color w:val="auto"/>
          <w:lang w:val="en-US" w:eastAsia="zh-CN"/>
        </w:rPr>
        <w:t>液氨管线属于厂际管线，由九江心连心清洁生产综合利用项目引出到该项目厂区，穿越的区域均为江西心连心化学工业有限公司所属用地，拟在厂际管线设置检漏检测措施，在管线区域设置非管理人员进入的防护栏。</w:t>
      </w:r>
    </w:p>
    <w:p>
      <w:pPr>
        <w:ind w:firstLine="560" w:firstLineChars="200"/>
        <w:rPr>
          <w:rFonts w:hint="eastAsia" w:ascii="Times New Roman" w:hAnsi="Times New Roman" w:eastAsia="宋体" w:cs="Times New Roman"/>
          <w:color w:val="auto"/>
          <w:lang w:eastAsia="zh-CN"/>
        </w:rPr>
      </w:pPr>
      <w:r>
        <w:rPr>
          <w:rFonts w:hint="eastAsia" w:cs="Times New Roman"/>
          <w:color w:val="auto"/>
          <w:lang w:eastAsia="zh-CN"/>
        </w:rPr>
        <w:t>液氨</w:t>
      </w:r>
      <w:r>
        <w:rPr>
          <w:rFonts w:hint="default" w:ascii="Times New Roman" w:hAnsi="Times New Roman" w:cs="Times New Roman"/>
          <w:color w:val="auto"/>
        </w:rPr>
        <w:t>从九江心连心清洁生产综合利用项目的合成氨装置引入，</w:t>
      </w:r>
      <w:r>
        <w:rPr>
          <w:rFonts w:hint="eastAsia" w:cs="Times New Roman"/>
          <w:color w:val="auto"/>
          <w:lang w:eastAsia="zh-CN"/>
        </w:rPr>
        <w:t>通过不小于</w:t>
      </w:r>
      <w:r>
        <w:rPr>
          <w:rFonts w:hint="default" w:ascii="Times New Roman" w:hAnsi="Times New Roman" w:cs="Times New Roman"/>
          <w:color w:val="auto"/>
        </w:rPr>
        <w:t>5米高</w:t>
      </w:r>
      <w:r>
        <w:rPr>
          <w:rFonts w:hint="eastAsia" w:cs="Times New Roman"/>
          <w:color w:val="auto"/>
          <w:lang w:eastAsia="zh-CN"/>
        </w:rPr>
        <w:t>的</w:t>
      </w:r>
      <w:r>
        <w:rPr>
          <w:rFonts w:hint="default" w:ascii="Times New Roman" w:hAnsi="Times New Roman" w:cs="Times New Roman"/>
          <w:color w:val="auto"/>
        </w:rPr>
        <w:t>管廊</w:t>
      </w:r>
      <w:r>
        <w:rPr>
          <w:rFonts w:hint="eastAsia" w:cs="Times New Roman"/>
          <w:color w:val="auto"/>
          <w:lang w:eastAsia="zh-CN"/>
        </w:rPr>
        <w:t>引入厂内</w:t>
      </w:r>
      <w:r>
        <w:rPr>
          <w:rFonts w:hint="default" w:ascii="Times New Roman" w:hAnsi="Times New Roman" w:cs="Times New Roman"/>
          <w:color w:val="auto"/>
        </w:rPr>
        <w:t>，管径</w:t>
      </w:r>
      <w:r>
        <w:rPr>
          <w:rFonts w:hint="eastAsia" w:cs="Times New Roman"/>
          <w:color w:val="auto"/>
          <w:lang w:eastAsia="zh-CN"/>
        </w:rPr>
        <w:t>为</w:t>
      </w:r>
      <w:r>
        <w:rPr>
          <w:rFonts w:hint="default" w:ascii="Times New Roman" w:hAnsi="Times New Roman" w:cs="Times New Roman"/>
          <w:color w:val="auto"/>
        </w:rPr>
        <w:t>DN50，压力为2.2MPA，管廊长度约1500米</w:t>
      </w:r>
      <w:r>
        <w:rPr>
          <w:rFonts w:hint="eastAsia" w:cs="Times New Roman"/>
          <w:color w:val="auto"/>
          <w:lang w:eastAsia="zh-CN"/>
        </w:rPr>
        <w:t>。液氨</w:t>
      </w:r>
      <w:r>
        <w:rPr>
          <w:rFonts w:hint="default" w:ascii="Times New Roman" w:hAnsi="Times New Roman" w:cs="Times New Roman"/>
          <w:color w:val="auto"/>
        </w:rPr>
        <w:t>直接引入管式反应器处设有减压阀，减压后压力0.6MPA</w:t>
      </w:r>
      <w:r>
        <w:rPr>
          <w:rFonts w:hint="eastAsia" w:cs="Times New Roman"/>
          <w:color w:val="auto"/>
          <w:lang w:eastAsia="zh-CN"/>
        </w:rPr>
        <w:t>，液氨气化为氨气</w:t>
      </w:r>
      <w:r>
        <w:rPr>
          <w:rFonts w:hint="default" w:ascii="Times New Roman" w:hAnsi="Times New Roman" w:cs="Times New Roman"/>
          <w:color w:val="auto"/>
        </w:rPr>
        <w:t>，</w:t>
      </w:r>
      <w:r>
        <w:rPr>
          <w:rFonts w:hint="eastAsia" w:cs="Times New Roman"/>
          <w:color w:val="auto"/>
          <w:lang w:eastAsia="zh-CN"/>
        </w:rPr>
        <w:t>引入管式反应器的</w:t>
      </w:r>
      <w:r>
        <w:rPr>
          <w:rFonts w:hint="default" w:ascii="Times New Roman" w:hAnsi="Times New Roman" w:cs="Times New Roman"/>
          <w:color w:val="auto"/>
        </w:rPr>
        <w:t>管径为DN100</w:t>
      </w:r>
      <w:r>
        <w:rPr>
          <w:rFonts w:hint="eastAsia" w:cs="Times New Roman"/>
          <w:color w:val="auto"/>
          <w:lang w:eastAsia="zh-CN"/>
        </w:rPr>
        <w:t>。</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2.储存设施</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该项目物料储存方式分为罐区储存、仓库储存。</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1）仓库</w:t>
      </w:r>
    </w:p>
    <w:p>
      <w:pPr>
        <w:ind w:firstLine="56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该项目产品</w:t>
      </w:r>
      <w:r>
        <w:rPr>
          <w:rFonts w:hint="default" w:ascii="Times New Roman" w:hAnsi="Times New Roman" w:cs="Times New Roman"/>
          <w:color w:val="auto"/>
          <w:lang w:eastAsia="zh-CN"/>
        </w:rPr>
        <w:t>依托氨化车间南侧原有的成品库一和成品库二储存，原料储存在新建的原料库内，</w:t>
      </w:r>
      <w:r>
        <w:rPr>
          <w:rFonts w:hint="default" w:ascii="Times New Roman" w:hAnsi="Times New Roman" w:cs="Times New Roman"/>
          <w:color w:val="auto"/>
        </w:rPr>
        <w:t>仓库内</w:t>
      </w:r>
      <w:r>
        <w:rPr>
          <w:rFonts w:hint="default" w:ascii="Times New Roman" w:hAnsi="Times New Roman" w:cs="Times New Roman"/>
          <w:color w:val="auto"/>
          <w:lang w:eastAsia="zh-CN"/>
        </w:rPr>
        <w:t>不涉及</w:t>
      </w:r>
      <w:r>
        <w:rPr>
          <w:rFonts w:hint="default" w:ascii="Times New Roman" w:hAnsi="Times New Roman" w:cs="Times New Roman"/>
          <w:color w:val="auto"/>
        </w:rPr>
        <w:t>禁忌介质</w:t>
      </w:r>
      <w:r>
        <w:rPr>
          <w:rFonts w:hint="default" w:ascii="Times New Roman" w:hAnsi="Times New Roman" w:cs="Times New Roman"/>
          <w:color w:val="auto"/>
          <w:lang w:eastAsia="zh-CN"/>
        </w:rPr>
        <w:t>。</w:t>
      </w:r>
    </w:p>
    <w:p>
      <w:pPr>
        <w:jc w:val="center"/>
        <w:rPr>
          <w:rFonts w:hint="default" w:ascii="Times New Roman" w:hAnsi="Times New Roman" w:cs="Times New Roman"/>
          <w:color w:val="auto"/>
        </w:rPr>
      </w:pPr>
      <w:r>
        <w:rPr>
          <w:rFonts w:hint="default" w:ascii="Times New Roman" w:hAnsi="Times New Roman" w:cs="Times New Roman"/>
          <w:color w:val="auto"/>
        </w:rPr>
        <w:t>表2.4</w:t>
      </w:r>
      <w:r>
        <w:rPr>
          <w:rFonts w:hint="default" w:ascii="Times New Roman" w:hAnsi="Times New Roman" w:cs="Times New Roman"/>
          <w:color w:val="auto"/>
          <w:lang w:val="en-US" w:eastAsia="zh-CN"/>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原料</w:t>
      </w:r>
      <w:r>
        <w:rPr>
          <w:rFonts w:hint="default" w:ascii="Times New Roman" w:hAnsi="Times New Roman" w:cs="Times New Roman"/>
          <w:color w:val="auto"/>
        </w:rPr>
        <w:t>仓库情况一览表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2"/>
        <w:gridCol w:w="3440"/>
        <w:gridCol w:w="1159"/>
        <w:gridCol w:w="1465"/>
        <w:gridCol w:w="1573"/>
        <w:gridCol w:w="96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367"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852"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原料、辅料名称</w:t>
            </w:r>
          </w:p>
        </w:tc>
        <w:tc>
          <w:tcPr>
            <w:tcW w:w="624"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形态</w:t>
            </w:r>
          </w:p>
        </w:tc>
        <w:tc>
          <w:tcPr>
            <w:tcW w:w="789"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贮存方式</w:t>
            </w:r>
          </w:p>
        </w:tc>
        <w:tc>
          <w:tcPr>
            <w:tcW w:w="847"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最大储存量/t</w:t>
            </w:r>
          </w:p>
        </w:tc>
        <w:tc>
          <w:tcPr>
            <w:tcW w:w="518"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367" w:type="pc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852"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氯化钾</w:t>
            </w:r>
          </w:p>
        </w:tc>
        <w:tc>
          <w:tcPr>
            <w:tcW w:w="624"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w:t>
            </w:r>
          </w:p>
        </w:tc>
        <w:tc>
          <w:tcPr>
            <w:tcW w:w="789"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袋装</w:t>
            </w:r>
          </w:p>
        </w:tc>
        <w:tc>
          <w:tcPr>
            <w:tcW w:w="847" w:type="pct"/>
            <w:vAlign w:val="center"/>
          </w:tcPr>
          <w:p>
            <w:pPr>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930</w:t>
            </w:r>
          </w:p>
        </w:tc>
        <w:tc>
          <w:tcPr>
            <w:tcW w:w="518" w:type="pct"/>
            <w:vAlign w:val="center"/>
          </w:tcPr>
          <w:p>
            <w:pPr>
              <w:spacing w:line="240" w:lineRule="auto"/>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367" w:type="pc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852"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磷酸一铵</w:t>
            </w:r>
          </w:p>
        </w:tc>
        <w:tc>
          <w:tcPr>
            <w:tcW w:w="624"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w:t>
            </w:r>
          </w:p>
        </w:tc>
        <w:tc>
          <w:tcPr>
            <w:tcW w:w="789"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袋装</w:t>
            </w:r>
          </w:p>
        </w:tc>
        <w:tc>
          <w:tcPr>
            <w:tcW w:w="847" w:type="pct"/>
            <w:vAlign w:val="center"/>
          </w:tcPr>
          <w:p>
            <w:pPr>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1575</w:t>
            </w:r>
          </w:p>
        </w:tc>
        <w:tc>
          <w:tcPr>
            <w:tcW w:w="518" w:type="pct"/>
            <w:vAlign w:val="center"/>
          </w:tcPr>
          <w:p>
            <w:pPr>
              <w:spacing w:line="240" w:lineRule="auto"/>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36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852"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填充料</w:t>
            </w:r>
          </w:p>
        </w:tc>
        <w:tc>
          <w:tcPr>
            <w:tcW w:w="624"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w:t>
            </w:r>
          </w:p>
        </w:tc>
        <w:tc>
          <w:tcPr>
            <w:tcW w:w="789"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袋装</w:t>
            </w:r>
          </w:p>
        </w:tc>
        <w:tc>
          <w:tcPr>
            <w:tcW w:w="84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500</w:t>
            </w:r>
          </w:p>
        </w:tc>
        <w:tc>
          <w:tcPr>
            <w:tcW w:w="518" w:type="pct"/>
            <w:vAlign w:val="center"/>
          </w:tcPr>
          <w:p>
            <w:pPr>
              <w:spacing w:line="240" w:lineRule="auto"/>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36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852"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氯化铵</w:t>
            </w:r>
          </w:p>
        </w:tc>
        <w:tc>
          <w:tcPr>
            <w:tcW w:w="624"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w:t>
            </w:r>
          </w:p>
        </w:tc>
        <w:tc>
          <w:tcPr>
            <w:tcW w:w="789"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袋装</w:t>
            </w:r>
          </w:p>
        </w:tc>
        <w:tc>
          <w:tcPr>
            <w:tcW w:w="84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374</w:t>
            </w:r>
          </w:p>
        </w:tc>
        <w:tc>
          <w:tcPr>
            <w:tcW w:w="518" w:type="pct"/>
            <w:vAlign w:val="center"/>
          </w:tcPr>
          <w:p>
            <w:pPr>
              <w:spacing w:line="240" w:lineRule="auto"/>
              <w:jc w:val="center"/>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367" w:type="pc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852" w:type="pct"/>
            <w:vAlign w:val="center"/>
          </w:tcPr>
          <w:p>
            <w:pPr>
              <w:widowControl w:val="0"/>
              <w:spacing w:line="300" w:lineRule="exac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防结块剂膏</w:t>
            </w:r>
          </w:p>
        </w:tc>
        <w:tc>
          <w:tcPr>
            <w:tcW w:w="624"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w:t>
            </w:r>
          </w:p>
        </w:tc>
        <w:tc>
          <w:tcPr>
            <w:tcW w:w="789"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袋装</w:t>
            </w:r>
          </w:p>
        </w:tc>
        <w:tc>
          <w:tcPr>
            <w:tcW w:w="84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650</w:t>
            </w:r>
          </w:p>
        </w:tc>
        <w:tc>
          <w:tcPr>
            <w:tcW w:w="518" w:type="pct"/>
            <w:vAlign w:val="center"/>
          </w:tcPr>
          <w:p>
            <w:pPr>
              <w:spacing w:line="240" w:lineRule="auto"/>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367" w:type="pc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852" w:type="pct"/>
            <w:vAlign w:val="center"/>
          </w:tcPr>
          <w:p>
            <w:pPr>
              <w:widowControl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防结块剂粉</w:t>
            </w:r>
          </w:p>
        </w:tc>
        <w:tc>
          <w:tcPr>
            <w:tcW w:w="624"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w:t>
            </w:r>
          </w:p>
        </w:tc>
        <w:tc>
          <w:tcPr>
            <w:tcW w:w="789"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袋装</w:t>
            </w:r>
          </w:p>
        </w:tc>
        <w:tc>
          <w:tcPr>
            <w:tcW w:w="84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650</w:t>
            </w:r>
          </w:p>
        </w:tc>
        <w:tc>
          <w:tcPr>
            <w:tcW w:w="518" w:type="pct"/>
            <w:vAlign w:val="center"/>
          </w:tcPr>
          <w:p>
            <w:pPr>
              <w:spacing w:line="240" w:lineRule="auto"/>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367" w:type="pc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1852" w:type="pct"/>
            <w:vAlign w:val="center"/>
          </w:tcPr>
          <w:p>
            <w:pPr>
              <w:widowControl w:val="0"/>
              <w:spacing w:line="300" w:lineRule="exac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包装袋</w:t>
            </w:r>
          </w:p>
        </w:tc>
        <w:tc>
          <w:tcPr>
            <w:tcW w:w="624"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w:t>
            </w:r>
          </w:p>
        </w:tc>
        <w:tc>
          <w:tcPr>
            <w:tcW w:w="789"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袋装</w:t>
            </w:r>
          </w:p>
        </w:tc>
        <w:tc>
          <w:tcPr>
            <w:tcW w:w="84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r>
              <w:rPr>
                <w:rFonts w:hint="default" w:ascii="Times New Roman" w:hAnsi="Times New Roman" w:cs="Times New Roman"/>
                <w:color w:val="auto"/>
                <w:kern w:val="2"/>
                <w:sz w:val="21"/>
                <w:szCs w:val="21"/>
                <w:lang w:val="en-US" w:eastAsia="zh-CN" w:bidi="ar-SA"/>
              </w:rPr>
              <w:t>00</w:t>
            </w:r>
          </w:p>
        </w:tc>
        <w:tc>
          <w:tcPr>
            <w:tcW w:w="518" w:type="pct"/>
            <w:vAlign w:val="center"/>
          </w:tcPr>
          <w:p>
            <w:pPr>
              <w:spacing w:line="240" w:lineRule="auto"/>
              <w:jc w:val="center"/>
              <w:rPr>
                <w:rFonts w:hint="default" w:ascii="Times New Roman" w:hAnsi="Times New Roman" w:cs="Times New Roman"/>
                <w:color w:val="auto"/>
                <w:sz w:val="21"/>
                <w:szCs w:val="21"/>
                <w:lang w:eastAsia="zh-CN"/>
              </w:rPr>
            </w:pPr>
          </w:p>
        </w:tc>
      </w:tr>
    </w:tbl>
    <w:p>
      <w:pPr>
        <w:jc w:val="center"/>
        <w:rPr>
          <w:rFonts w:hint="default" w:ascii="Times New Roman" w:hAnsi="Times New Roman" w:cs="Times New Roman"/>
          <w:color w:val="auto"/>
        </w:rPr>
      </w:pPr>
      <w:r>
        <w:rPr>
          <w:rFonts w:hint="default" w:ascii="Times New Roman" w:hAnsi="Times New Roman" w:cs="Times New Roman"/>
          <w:color w:val="auto"/>
        </w:rPr>
        <w:t>表2.4</w:t>
      </w:r>
      <w:r>
        <w:rPr>
          <w:rFonts w:hint="default" w:ascii="Times New Roman" w:hAnsi="Times New Roman" w:cs="Times New Roman"/>
          <w:color w:val="auto"/>
          <w:lang w:val="en-US" w:eastAsia="zh-CN"/>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成品</w:t>
      </w:r>
      <w:r>
        <w:rPr>
          <w:rFonts w:hint="default" w:ascii="Times New Roman" w:hAnsi="Times New Roman" w:cs="Times New Roman"/>
          <w:color w:val="auto"/>
        </w:rPr>
        <w:t>库</w:t>
      </w:r>
      <w:r>
        <w:rPr>
          <w:rFonts w:hint="eastAsia" w:cs="Times New Roman"/>
          <w:color w:val="auto"/>
          <w:lang w:eastAsia="zh-CN"/>
        </w:rPr>
        <w:t>一</w:t>
      </w:r>
      <w:r>
        <w:rPr>
          <w:rFonts w:hint="default" w:ascii="Times New Roman" w:hAnsi="Times New Roman" w:cs="Times New Roman"/>
          <w:color w:val="auto"/>
        </w:rPr>
        <w:t>情况一览表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4"/>
        <w:gridCol w:w="3437"/>
        <w:gridCol w:w="1159"/>
        <w:gridCol w:w="1465"/>
        <w:gridCol w:w="1513"/>
        <w:gridCol w:w="10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369"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851"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原料、辅料名称</w:t>
            </w:r>
          </w:p>
        </w:tc>
        <w:tc>
          <w:tcPr>
            <w:tcW w:w="624"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形态</w:t>
            </w:r>
          </w:p>
        </w:tc>
        <w:tc>
          <w:tcPr>
            <w:tcW w:w="789"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贮存方式</w:t>
            </w:r>
          </w:p>
        </w:tc>
        <w:tc>
          <w:tcPr>
            <w:tcW w:w="815"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最大储存量/t</w:t>
            </w:r>
          </w:p>
        </w:tc>
        <w:tc>
          <w:tcPr>
            <w:tcW w:w="551"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369" w:type="pc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851"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氨化复合肥</w:t>
            </w:r>
          </w:p>
        </w:tc>
        <w:tc>
          <w:tcPr>
            <w:tcW w:w="624"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w:t>
            </w:r>
          </w:p>
        </w:tc>
        <w:tc>
          <w:tcPr>
            <w:tcW w:w="789"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袋装</w:t>
            </w:r>
          </w:p>
        </w:tc>
        <w:tc>
          <w:tcPr>
            <w:tcW w:w="815"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5000</w:t>
            </w:r>
          </w:p>
        </w:tc>
        <w:tc>
          <w:tcPr>
            <w:tcW w:w="551" w:type="pct"/>
            <w:vAlign w:val="center"/>
          </w:tcPr>
          <w:p>
            <w:pPr>
              <w:spacing w:line="240" w:lineRule="auto"/>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0" w:hRule="atLeast"/>
          <w:tblHeader/>
          <w:jc w:val="center"/>
        </w:trPr>
        <w:tc>
          <w:tcPr>
            <w:tcW w:w="36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851" w:type="pct"/>
            <w:vAlign w:val="center"/>
          </w:tcPr>
          <w:p>
            <w:pPr>
              <w:widowControl w:val="0"/>
              <w:spacing w:line="300" w:lineRule="exact"/>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氨酸复合肥</w:t>
            </w:r>
          </w:p>
        </w:tc>
        <w:tc>
          <w:tcPr>
            <w:tcW w:w="624"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w:t>
            </w:r>
          </w:p>
        </w:tc>
        <w:tc>
          <w:tcPr>
            <w:tcW w:w="789"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袋装</w:t>
            </w:r>
          </w:p>
        </w:tc>
        <w:tc>
          <w:tcPr>
            <w:tcW w:w="815"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5000</w:t>
            </w:r>
          </w:p>
        </w:tc>
        <w:tc>
          <w:tcPr>
            <w:tcW w:w="551" w:type="pct"/>
            <w:vAlign w:val="center"/>
          </w:tcPr>
          <w:p>
            <w:pPr>
              <w:spacing w:line="240" w:lineRule="auto"/>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369" w:type="pc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w:t>
            </w:r>
          </w:p>
        </w:tc>
        <w:tc>
          <w:tcPr>
            <w:tcW w:w="1851" w:type="pct"/>
            <w:vAlign w:val="center"/>
          </w:tcPr>
          <w:p>
            <w:pPr>
              <w:widowControl w:val="0"/>
              <w:spacing w:line="300" w:lineRule="exact"/>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高塔复合肥</w:t>
            </w:r>
          </w:p>
        </w:tc>
        <w:tc>
          <w:tcPr>
            <w:tcW w:w="624"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w:t>
            </w:r>
          </w:p>
        </w:tc>
        <w:tc>
          <w:tcPr>
            <w:tcW w:w="789"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袋装</w:t>
            </w:r>
          </w:p>
        </w:tc>
        <w:tc>
          <w:tcPr>
            <w:tcW w:w="815" w:type="pct"/>
            <w:vAlign w:val="center"/>
          </w:tcPr>
          <w:p>
            <w:pPr>
              <w:widowControl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6000</w:t>
            </w:r>
          </w:p>
        </w:tc>
        <w:tc>
          <w:tcPr>
            <w:tcW w:w="551" w:type="pct"/>
            <w:vAlign w:val="center"/>
          </w:tcPr>
          <w:p>
            <w:pPr>
              <w:spacing w:line="240" w:lineRule="auto"/>
              <w:jc w:val="center"/>
              <w:rPr>
                <w:rFonts w:hint="default" w:ascii="Times New Roman" w:hAnsi="Times New Roman" w:cs="Times New Roman"/>
                <w:color w:val="auto"/>
                <w:sz w:val="21"/>
                <w:szCs w:val="21"/>
              </w:rPr>
            </w:pPr>
          </w:p>
        </w:tc>
      </w:tr>
    </w:tbl>
    <w:p>
      <w:pPr>
        <w:jc w:val="center"/>
        <w:rPr>
          <w:rFonts w:hint="default" w:ascii="Times New Roman" w:hAnsi="Times New Roman" w:cs="Times New Roman"/>
          <w:color w:val="auto"/>
        </w:rPr>
      </w:pPr>
      <w:r>
        <w:rPr>
          <w:rFonts w:hint="default" w:ascii="Times New Roman" w:hAnsi="Times New Roman" w:cs="Times New Roman"/>
          <w:color w:val="auto"/>
        </w:rPr>
        <w:t>表2.4</w:t>
      </w:r>
      <w:r>
        <w:rPr>
          <w:rFonts w:hint="default" w:ascii="Times New Roman" w:hAnsi="Times New Roman" w:cs="Times New Roman"/>
          <w:color w:val="auto"/>
          <w:lang w:val="en-US" w:eastAsia="zh-CN"/>
        </w:rPr>
        <w:t>.3</w:t>
      </w:r>
      <w:r>
        <w:rPr>
          <w:rFonts w:hint="default" w:ascii="Times New Roman" w:hAnsi="Times New Roman" w:cs="Times New Roman"/>
          <w:color w:val="auto"/>
        </w:rPr>
        <w:t>-</w:t>
      </w:r>
      <w:r>
        <w:rPr>
          <w:rFonts w:hint="eastAsia" w:ascii="Times New Roman" w:hAnsi="Times New Roman" w:cs="Times New Roman"/>
          <w:color w:val="auto"/>
          <w:lang w:val="en-US" w:eastAsia="zh-CN"/>
        </w:rPr>
        <w:t>3</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成品</w:t>
      </w:r>
      <w:r>
        <w:rPr>
          <w:rFonts w:hint="default" w:ascii="Times New Roman" w:hAnsi="Times New Roman" w:cs="Times New Roman"/>
          <w:color w:val="auto"/>
        </w:rPr>
        <w:t>库</w:t>
      </w:r>
      <w:r>
        <w:rPr>
          <w:rFonts w:hint="eastAsia" w:ascii="Times New Roman" w:hAnsi="Times New Roman" w:cs="Times New Roman"/>
          <w:color w:val="auto"/>
          <w:lang w:eastAsia="zh-CN"/>
        </w:rPr>
        <w:t>二</w:t>
      </w:r>
      <w:r>
        <w:rPr>
          <w:rFonts w:hint="default" w:ascii="Times New Roman" w:hAnsi="Times New Roman" w:cs="Times New Roman"/>
          <w:color w:val="auto"/>
        </w:rPr>
        <w:t>情况一览表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5"/>
        <w:gridCol w:w="3437"/>
        <w:gridCol w:w="1159"/>
        <w:gridCol w:w="1465"/>
        <w:gridCol w:w="1623"/>
        <w:gridCol w:w="91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369"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851"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原料、辅料名称</w:t>
            </w:r>
          </w:p>
        </w:tc>
        <w:tc>
          <w:tcPr>
            <w:tcW w:w="624"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形态</w:t>
            </w:r>
          </w:p>
        </w:tc>
        <w:tc>
          <w:tcPr>
            <w:tcW w:w="789"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贮存方式</w:t>
            </w:r>
          </w:p>
        </w:tc>
        <w:tc>
          <w:tcPr>
            <w:tcW w:w="874"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最大储存量/t</w:t>
            </w:r>
          </w:p>
        </w:tc>
        <w:tc>
          <w:tcPr>
            <w:tcW w:w="491"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369" w:type="pc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851"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氨化复合肥</w:t>
            </w:r>
          </w:p>
        </w:tc>
        <w:tc>
          <w:tcPr>
            <w:tcW w:w="624"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w:t>
            </w:r>
          </w:p>
        </w:tc>
        <w:tc>
          <w:tcPr>
            <w:tcW w:w="789"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袋装</w:t>
            </w:r>
          </w:p>
        </w:tc>
        <w:tc>
          <w:tcPr>
            <w:tcW w:w="874"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5000</w:t>
            </w:r>
          </w:p>
        </w:tc>
        <w:tc>
          <w:tcPr>
            <w:tcW w:w="491" w:type="pct"/>
            <w:vAlign w:val="center"/>
          </w:tcPr>
          <w:p>
            <w:pPr>
              <w:spacing w:line="240" w:lineRule="auto"/>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36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851" w:type="pct"/>
            <w:vAlign w:val="center"/>
          </w:tcPr>
          <w:p>
            <w:pPr>
              <w:widowControl w:val="0"/>
              <w:spacing w:line="300" w:lineRule="exact"/>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氨酸复合肥</w:t>
            </w:r>
          </w:p>
        </w:tc>
        <w:tc>
          <w:tcPr>
            <w:tcW w:w="624"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w:t>
            </w:r>
          </w:p>
        </w:tc>
        <w:tc>
          <w:tcPr>
            <w:tcW w:w="789"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袋装</w:t>
            </w:r>
          </w:p>
        </w:tc>
        <w:tc>
          <w:tcPr>
            <w:tcW w:w="874"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5000</w:t>
            </w:r>
          </w:p>
        </w:tc>
        <w:tc>
          <w:tcPr>
            <w:tcW w:w="491" w:type="pct"/>
            <w:vAlign w:val="center"/>
          </w:tcPr>
          <w:p>
            <w:pPr>
              <w:spacing w:line="240" w:lineRule="auto"/>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369" w:type="pc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851"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高塔复合肥</w:t>
            </w:r>
          </w:p>
        </w:tc>
        <w:tc>
          <w:tcPr>
            <w:tcW w:w="624"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w:t>
            </w:r>
          </w:p>
        </w:tc>
        <w:tc>
          <w:tcPr>
            <w:tcW w:w="789"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袋装</w:t>
            </w:r>
          </w:p>
        </w:tc>
        <w:tc>
          <w:tcPr>
            <w:tcW w:w="874" w:type="pct"/>
            <w:vAlign w:val="center"/>
          </w:tcPr>
          <w:p>
            <w:pPr>
              <w:widowControl w:val="0"/>
              <w:spacing w:line="30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6000</w:t>
            </w:r>
          </w:p>
        </w:tc>
        <w:tc>
          <w:tcPr>
            <w:tcW w:w="491" w:type="pct"/>
            <w:vAlign w:val="center"/>
          </w:tcPr>
          <w:p>
            <w:pPr>
              <w:spacing w:line="240" w:lineRule="auto"/>
              <w:jc w:val="center"/>
              <w:rPr>
                <w:rFonts w:hint="default" w:ascii="Times New Roman" w:hAnsi="Times New Roman" w:cs="Times New Roman"/>
                <w:color w:val="auto"/>
                <w:sz w:val="21"/>
                <w:szCs w:val="21"/>
              </w:rPr>
            </w:pPr>
          </w:p>
        </w:tc>
      </w:tr>
    </w:tbl>
    <w:p>
      <w:pPr>
        <w:numPr>
          <w:ilvl w:val="0"/>
          <w:numId w:val="0"/>
        </w:numPr>
        <w:ind w:firstLine="56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储罐</w:t>
      </w:r>
    </w:p>
    <w:p>
      <w:pPr>
        <w:ind w:firstLine="56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该项目拟建</w:t>
      </w:r>
      <w:r>
        <w:rPr>
          <w:rFonts w:hint="default" w:ascii="Times New Roman" w:hAnsi="Times New Roman" w:cs="Times New Roman"/>
          <w:color w:val="auto"/>
          <w:lang w:eastAsia="zh-CN"/>
        </w:rPr>
        <w:t>原料罐区</w:t>
      </w:r>
      <w:r>
        <w:rPr>
          <w:rFonts w:hint="default" w:ascii="Times New Roman" w:hAnsi="Times New Roman" w:cs="Times New Roman"/>
          <w:color w:val="auto"/>
        </w:rPr>
        <w:t>，新建1个</w:t>
      </w:r>
      <w:r>
        <w:rPr>
          <w:rFonts w:hint="default" w:ascii="Times New Roman" w:hAnsi="Times New Roman" w:cs="Times New Roman"/>
          <w:color w:val="auto"/>
          <w:lang w:val="en-US" w:eastAsia="zh-CN"/>
        </w:rPr>
        <w:t>100</w:t>
      </w:r>
      <w:r>
        <w:rPr>
          <w:rFonts w:hint="default" w:ascii="Times New Roman" w:hAnsi="Times New Roman" w:cs="Times New Roman"/>
          <w:color w:val="auto"/>
        </w:rPr>
        <w:t>0m</w:t>
      </w:r>
      <w:r>
        <w:rPr>
          <w:rFonts w:hint="default" w:ascii="Times New Roman" w:hAnsi="Times New Roman" w:cs="Times New Roman"/>
          <w:color w:val="auto"/>
          <w:vertAlign w:val="superscript"/>
        </w:rPr>
        <w:t>3</w:t>
      </w:r>
      <w:r>
        <w:rPr>
          <w:rFonts w:hint="default" w:ascii="Times New Roman" w:hAnsi="Times New Roman" w:cs="Times New Roman"/>
          <w:color w:val="auto"/>
          <w:lang w:eastAsia="zh-CN"/>
        </w:rPr>
        <w:t>硫</w:t>
      </w:r>
      <w:r>
        <w:rPr>
          <w:rFonts w:hint="default" w:ascii="Times New Roman" w:hAnsi="Times New Roman" w:cs="Times New Roman"/>
          <w:color w:val="auto"/>
        </w:rPr>
        <w:t>酸储罐、</w:t>
      </w:r>
      <w:r>
        <w:rPr>
          <w:rFonts w:hint="default" w:ascii="Times New Roman" w:hAnsi="Times New Roman" w:cs="Times New Roman"/>
          <w:color w:val="auto"/>
          <w:lang w:val="en-US" w:eastAsia="zh-CN"/>
        </w:rPr>
        <w:t>2个1000m</w:t>
      </w:r>
      <w:r>
        <w:rPr>
          <w:rFonts w:hint="default" w:ascii="Times New Roman" w:hAnsi="Times New Roman" w:cs="Times New Roman"/>
          <w:color w:val="auto"/>
          <w:vertAlign w:val="superscript"/>
        </w:rPr>
        <w:t>3</w:t>
      </w:r>
      <w:r>
        <w:rPr>
          <w:rFonts w:hint="default" w:ascii="Times New Roman" w:hAnsi="Times New Roman" w:cs="Times New Roman"/>
          <w:color w:val="auto"/>
        </w:rPr>
        <w:t>盐酸储罐。</w:t>
      </w:r>
      <w:r>
        <w:rPr>
          <w:rFonts w:hint="default" w:ascii="Times New Roman" w:hAnsi="Times New Roman" w:cs="Times New Roman"/>
          <w:color w:val="auto"/>
          <w:lang w:eastAsia="zh-CN"/>
        </w:rPr>
        <w:t>盐酸和硫酸</w:t>
      </w:r>
      <w:r>
        <w:rPr>
          <w:rFonts w:hint="default" w:ascii="Times New Roman" w:hAnsi="Times New Roman" w:cs="Times New Roman"/>
          <w:color w:val="auto"/>
        </w:rPr>
        <w:t>储罐之间采用隔堤隔开。</w:t>
      </w:r>
    </w:p>
    <w:p>
      <w:pPr>
        <w:jc w:val="center"/>
        <w:rPr>
          <w:rFonts w:hint="default" w:ascii="Times New Roman" w:hAnsi="Times New Roman" w:cs="Times New Roman"/>
          <w:color w:val="auto"/>
        </w:rPr>
      </w:pPr>
      <w:r>
        <w:rPr>
          <w:rFonts w:hint="default" w:ascii="Times New Roman" w:hAnsi="Times New Roman" w:cs="Times New Roman"/>
          <w:color w:val="auto"/>
        </w:rPr>
        <w:t>表2.4</w:t>
      </w:r>
      <w:r>
        <w:rPr>
          <w:rFonts w:hint="default" w:ascii="Times New Roman" w:hAnsi="Times New Roman" w:cs="Times New Roman"/>
          <w:color w:val="auto"/>
          <w:lang w:val="en-US" w:eastAsia="zh-CN"/>
        </w:rPr>
        <w:t>.3</w:t>
      </w:r>
      <w:r>
        <w:rPr>
          <w:rFonts w:hint="default" w:ascii="Times New Roman" w:hAnsi="Times New Roman" w:cs="Times New Roman"/>
          <w:color w:val="auto"/>
        </w:rPr>
        <w:t>-</w:t>
      </w:r>
      <w:r>
        <w:rPr>
          <w:rFonts w:hint="eastAsia" w:cs="Times New Roman"/>
          <w:color w:val="auto"/>
          <w:lang w:val="en-US" w:eastAsia="zh-CN"/>
        </w:rPr>
        <w:t>4</w:t>
      </w:r>
      <w:r>
        <w:rPr>
          <w:rFonts w:hint="default" w:ascii="Times New Roman" w:hAnsi="Times New Roman" w:cs="Times New Roman"/>
          <w:color w:val="auto"/>
        </w:rPr>
        <w:t xml:space="preserve"> 该项目新增储罐情况一览表</w:t>
      </w:r>
    </w:p>
    <w:tbl>
      <w:tblPr>
        <w:tblStyle w:val="19"/>
        <w:tblW w:w="5132"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020"/>
        <w:gridCol w:w="769"/>
        <w:gridCol w:w="645"/>
        <w:gridCol w:w="1806"/>
        <w:gridCol w:w="1590"/>
        <w:gridCol w:w="842"/>
        <w:gridCol w:w="714"/>
        <w:gridCol w:w="857"/>
        <w:gridCol w:w="8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224" w:type="pct"/>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535" w:type="pct"/>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403" w:type="pct"/>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含量</w:t>
            </w:r>
          </w:p>
        </w:tc>
        <w:tc>
          <w:tcPr>
            <w:tcW w:w="338" w:type="pct"/>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储罐形式</w:t>
            </w:r>
          </w:p>
        </w:tc>
        <w:tc>
          <w:tcPr>
            <w:tcW w:w="946" w:type="pct"/>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规格</w:t>
            </w:r>
          </w:p>
        </w:tc>
        <w:tc>
          <w:tcPr>
            <w:tcW w:w="833" w:type="pct"/>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存储条件</w:t>
            </w:r>
          </w:p>
        </w:tc>
        <w:tc>
          <w:tcPr>
            <w:tcW w:w="441" w:type="pct"/>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材质</w:t>
            </w:r>
          </w:p>
        </w:tc>
        <w:tc>
          <w:tcPr>
            <w:tcW w:w="374" w:type="pct"/>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数量/台</w:t>
            </w:r>
          </w:p>
        </w:tc>
        <w:tc>
          <w:tcPr>
            <w:tcW w:w="449" w:type="pct"/>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最大存储量/t</w:t>
            </w:r>
          </w:p>
        </w:tc>
        <w:tc>
          <w:tcPr>
            <w:tcW w:w="452" w:type="pct"/>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224"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35"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硫酸</w:t>
            </w:r>
          </w:p>
        </w:tc>
        <w:tc>
          <w:tcPr>
            <w:tcW w:w="403"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98%</w:t>
            </w:r>
          </w:p>
        </w:tc>
        <w:tc>
          <w:tcPr>
            <w:tcW w:w="338"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立式</w:t>
            </w:r>
          </w:p>
        </w:tc>
        <w:tc>
          <w:tcPr>
            <w:tcW w:w="946" w:type="pct"/>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1150</w:t>
            </w:r>
            <w:r>
              <w:rPr>
                <w:rFonts w:hint="default" w:ascii="Times New Roman" w:hAnsi="Times New Roman" w:cs="Times New Roman"/>
                <w:color w:val="auto"/>
                <w:sz w:val="21"/>
                <w:szCs w:val="21"/>
                <w:lang w:val="en-US" w:eastAsia="zh-CN"/>
              </w:rPr>
              <w:t>0X</w:t>
            </w:r>
            <w:r>
              <w:rPr>
                <w:rFonts w:hint="eastAsia" w:cs="Times New Roman"/>
                <w:color w:val="auto"/>
                <w:sz w:val="21"/>
                <w:szCs w:val="21"/>
                <w:lang w:val="en-US" w:eastAsia="zh-CN"/>
              </w:rPr>
              <w:t>1065</w:t>
            </w:r>
            <w:r>
              <w:rPr>
                <w:rFonts w:hint="default" w:ascii="Times New Roman" w:hAnsi="Times New Roman" w:cs="Times New Roman"/>
                <w:color w:val="auto"/>
                <w:sz w:val="21"/>
                <w:szCs w:val="21"/>
                <w:lang w:val="en-US" w:eastAsia="zh-CN"/>
              </w:rPr>
              <w:t>0</w:t>
            </w:r>
          </w:p>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V=</w:t>
            </w:r>
            <w:r>
              <w:rPr>
                <w:rFonts w:hint="default" w:ascii="Times New Roman" w:hAnsi="Times New Roman" w:cs="Times New Roman"/>
                <w:color w:val="auto"/>
                <w:sz w:val="21"/>
                <w:szCs w:val="21"/>
                <w:lang w:val="en-US" w:eastAsia="zh-CN"/>
              </w:rPr>
              <w:t>1000m</w:t>
            </w:r>
            <w:r>
              <w:rPr>
                <w:rFonts w:hint="default" w:ascii="Times New Roman" w:hAnsi="Times New Roman" w:cs="Times New Roman"/>
                <w:color w:val="auto"/>
                <w:sz w:val="21"/>
                <w:szCs w:val="21"/>
                <w:vertAlign w:val="superscript"/>
                <w:lang w:val="en-US" w:eastAsia="zh-CN"/>
              </w:rPr>
              <w:t>3</w:t>
            </w:r>
          </w:p>
        </w:tc>
        <w:tc>
          <w:tcPr>
            <w:tcW w:w="833"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常温，常压</w:t>
            </w:r>
          </w:p>
        </w:tc>
        <w:tc>
          <w:tcPr>
            <w:tcW w:w="441"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碳钢</w:t>
            </w:r>
          </w:p>
        </w:tc>
        <w:tc>
          <w:tcPr>
            <w:tcW w:w="374"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49"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1464</w:t>
            </w:r>
          </w:p>
        </w:tc>
        <w:tc>
          <w:tcPr>
            <w:tcW w:w="452" w:type="pct"/>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224"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35"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盐酸</w:t>
            </w:r>
          </w:p>
        </w:tc>
        <w:tc>
          <w:tcPr>
            <w:tcW w:w="403"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31%</w:t>
            </w:r>
          </w:p>
        </w:tc>
        <w:tc>
          <w:tcPr>
            <w:tcW w:w="338"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立式</w:t>
            </w:r>
          </w:p>
        </w:tc>
        <w:tc>
          <w:tcPr>
            <w:tcW w:w="946"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∅11500X10650</w:t>
            </w:r>
          </w:p>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V=1000m</w:t>
            </w:r>
            <w:r>
              <w:rPr>
                <w:rFonts w:hint="default" w:ascii="Times New Roman" w:hAnsi="Times New Roman" w:cs="Times New Roman"/>
                <w:color w:val="auto"/>
                <w:sz w:val="21"/>
                <w:szCs w:val="21"/>
                <w:vertAlign w:val="superscript"/>
                <w:lang w:val="en-US" w:eastAsia="zh-CN"/>
              </w:rPr>
              <w:t>3</w:t>
            </w:r>
          </w:p>
        </w:tc>
        <w:tc>
          <w:tcPr>
            <w:tcW w:w="833" w:type="pct"/>
            <w:tcBorders>
              <w:top w:val="single" w:color="auto" w:sz="4" w:space="0"/>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常温，常压</w:t>
            </w:r>
          </w:p>
        </w:tc>
        <w:tc>
          <w:tcPr>
            <w:tcW w:w="441" w:type="pct"/>
            <w:tcBorders>
              <w:top w:val="single" w:color="auto" w:sz="4" w:space="0"/>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FRP</w:t>
            </w:r>
          </w:p>
        </w:tc>
        <w:tc>
          <w:tcPr>
            <w:tcW w:w="374" w:type="pct"/>
            <w:tcBorders>
              <w:top w:val="single" w:color="auto" w:sz="4" w:space="0"/>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p>
        </w:tc>
        <w:tc>
          <w:tcPr>
            <w:tcW w:w="449"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1888</w:t>
            </w:r>
          </w:p>
        </w:tc>
        <w:tc>
          <w:tcPr>
            <w:tcW w:w="452" w:type="pct"/>
            <w:tcBorders>
              <w:top w:val="single" w:color="auto" w:sz="4" w:space="0"/>
            </w:tcBorders>
            <w:vAlign w:val="center"/>
          </w:tcPr>
          <w:p>
            <w:pPr>
              <w:spacing w:line="240" w:lineRule="auto"/>
              <w:jc w:val="center"/>
              <w:rPr>
                <w:rFonts w:hint="default" w:ascii="Times New Roman" w:hAnsi="Times New Roman" w:cs="Times New Roman"/>
                <w:color w:val="auto"/>
                <w:sz w:val="21"/>
                <w:szCs w:val="21"/>
              </w:rPr>
            </w:pPr>
          </w:p>
        </w:tc>
      </w:tr>
    </w:tbl>
    <w:p>
      <w:pPr>
        <w:pStyle w:val="4"/>
        <w:bidi w:val="0"/>
        <w:rPr>
          <w:rFonts w:hint="default" w:ascii="Times New Roman" w:hAnsi="Times New Roman" w:cs="Times New Roman"/>
          <w:color w:val="auto"/>
          <w:lang w:val="en-US" w:eastAsia="zh-CN"/>
        </w:rPr>
      </w:pPr>
      <w:bookmarkStart w:id="28" w:name="_Toc14435"/>
      <w:bookmarkStart w:id="29" w:name="_Toc27233"/>
      <w:bookmarkStart w:id="30" w:name="_Toc5272"/>
      <w:r>
        <w:rPr>
          <w:rFonts w:hint="default" w:ascii="Times New Roman" w:hAnsi="Times New Roman" w:cs="Times New Roman"/>
          <w:color w:val="auto"/>
          <w:lang w:val="en-US" w:eastAsia="zh-CN"/>
        </w:rPr>
        <w:t>2.4项目产品及工艺流程</w:t>
      </w:r>
      <w:bookmarkEnd w:id="28"/>
      <w:bookmarkEnd w:id="29"/>
      <w:bookmarkEnd w:id="30"/>
    </w:p>
    <w:p>
      <w:pPr>
        <w:pStyle w:val="5"/>
        <w:bidi w:val="0"/>
        <w:rPr>
          <w:rFonts w:hint="default" w:ascii="Times New Roman" w:hAnsi="Times New Roman" w:cs="Times New Roman"/>
          <w:color w:val="auto"/>
          <w:lang w:val="en-US" w:eastAsia="zh-CN"/>
        </w:rPr>
      </w:pPr>
      <w:bookmarkStart w:id="31" w:name="_Toc14541"/>
      <w:r>
        <w:rPr>
          <w:rFonts w:hint="default" w:ascii="Times New Roman" w:hAnsi="Times New Roman" w:cs="Times New Roman"/>
          <w:color w:val="auto"/>
          <w:lang w:val="en-US" w:eastAsia="zh-CN"/>
        </w:rPr>
        <w:t>2.4.1建设规模及产品方案</w:t>
      </w:r>
      <w:bookmarkEnd w:id="31"/>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该项目产品方案见表2.4-1：</w:t>
      </w:r>
    </w:p>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表2.4-1产品方案及规模</w:t>
      </w:r>
    </w:p>
    <w:tbl>
      <w:tblPr>
        <w:tblStyle w:val="1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842"/>
        <w:gridCol w:w="2851"/>
        <w:gridCol w:w="1076"/>
        <w:gridCol w:w="1621"/>
        <w:gridCol w:w="28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53"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序号</w:t>
            </w:r>
          </w:p>
        </w:tc>
        <w:tc>
          <w:tcPr>
            <w:tcW w:w="1534"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名称</w:t>
            </w:r>
          </w:p>
        </w:tc>
        <w:tc>
          <w:tcPr>
            <w:tcW w:w="579"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单位</w:t>
            </w:r>
          </w:p>
        </w:tc>
        <w:tc>
          <w:tcPr>
            <w:tcW w:w="872"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产品数量</w:t>
            </w:r>
          </w:p>
        </w:tc>
        <w:tc>
          <w:tcPr>
            <w:tcW w:w="1559"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53"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一</w:t>
            </w:r>
          </w:p>
        </w:tc>
        <w:tc>
          <w:tcPr>
            <w:tcW w:w="1534"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主产品</w:t>
            </w:r>
          </w:p>
        </w:tc>
        <w:tc>
          <w:tcPr>
            <w:tcW w:w="579"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rPr>
            </w:pPr>
          </w:p>
        </w:tc>
        <w:tc>
          <w:tcPr>
            <w:tcW w:w="872"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rPr>
            </w:pPr>
          </w:p>
        </w:tc>
        <w:tc>
          <w:tcPr>
            <w:tcW w:w="1559"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8" w:hRule="atLeast"/>
          <w:jc w:val="center"/>
        </w:trPr>
        <w:tc>
          <w:tcPr>
            <w:tcW w:w="45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w:t>
            </w:r>
          </w:p>
        </w:tc>
        <w:tc>
          <w:tcPr>
            <w:tcW w:w="1534"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转鼓氨化复合肥</w:t>
            </w:r>
            <w:r>
              <w:rPr>
                <w:rFonts w:hint="eastAsia" w:cs="Times New Roman"/>
                <w:b w:val="0"/>
                <w:bCs/>
                <w:color w:val="auto"/>
                <w:sz w:val="21"/>
                <w:szCs w:val="21"/>
                <w:lang w:val="en-US" w:eastAsia="zh-CN"/>
              </w:rPr>
              <w:t>（15-14-14S）</w:t>
            </w:r>
          </w:p>
        </w:tc>
        <w:tc>
          <w:tcPr>
            <w:tcW w:w="579"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吨</w:t>
            </w:r>
            <w:r>
              <w:rPr>
                <w:rFonts w:hint="default" w:ascii="Times New Roman" w:hAnsi="Times New Roman" w:cs="Times New Roman"/>
                <w:b w:val="0"/>
                <w:bCs/>
                <w:color w:val="auto"/>
                <w:sz w:val="21"/>
                <w:szCs w:val="21"/>
                <w:lang w:val="en-US" w:eastAsia="zh-CN"/>
              </w:rPr>
              <w:t>/年</w:t>
            </w:r>
          </w:p>
        </w:tc>
        <w:tc>
          <w:tcPr>
            <w:tcW w:w="87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4</w:t>
            </w:r>
            <w:r>
              <w:rPr>
                <w:rFonts w:hint="default" w:ascii="Times New Roman" w:hAnsi="Times New Roman" w:cs="Times New Roman"/>
                <w:b w:val="0"/>
                <w:bCs/>
                <w:color w:val="auto"/>
                <w:sz w:val="21"/>
                <w:szCs w:val="21"/>
                <w:lang w:val="en-US" w:eastAsia="zh-CN"/>
              </w:rPr>
              <w:t>万</w:t>
            </w:r>
          </w:p>
        </w:tc>
        <w:tc>
          <w:tcPr>
            <w:tcW w:w="1559"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年操作小时约1920h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8" w:hRule="atLeast"/>
          <w:jc w:val="center"/>
        </w:trPr>
        <w:tc>
          <w:tcPr>
            <w:tcW w:w="453" w:type="pct"/>
            <w:vMerge w:val="continue"/>
            <w:tcBorders>
              <w:tl2br w:val="nil"/>
              <w:tr2bl w:val="nil"/>
            </w:tcBorders>
            <w:noWrap w:val="0"/>
            <w:vAlign w:val="center"/>
          </w:tcPr>
          <w:p>
            <w:pPr>
              <w:spacing w:line="240" w:lineRule="auto"/>
              <w:jc w:val="center"/>
              <w:rPr>
                <w:color w:val="auto"/>
              </w:rPr>
            </w:pPr>
          </w:p>
        </w:tc>
        <w:tc>
          <w:tcPr>
            <w:tcW w:w="1534"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转鼓氨化复合肥</w:t>
            </w:r>
            <w:r>
              <w:rPr>
                <w:rFonts w:hint="eastAsia" w:cs="Times New Roman"/>
                <w:b w:val="0"/>
                <w:bCs/>
                <w:color w:val="auto"/>
                <w:sz w:val="21"/>
                <w:szCs w:val="21"/>
                <w:lang w:val="en-US" w:eastAsia="zh-CN"/>
              </w:rPr>
              <w:t>（15-16-14S）</w:t>
            </w:r>
          </w:p>
        </w:tc>
        <w:tc>
          <w:tcPr>
            <w:tcW w:w="579"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吨/年</w:t>
            </w:r>
          </w:p>
        </w:tc>
        <w:tc>
          <w:tcPr>
            <w:tcW w:w="872"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4万</w:t>
            </w:r>
          </w:p>
        </w:tc>
        <w:tc>
          <w:tcPr>
            <w:tcW w:w="1559"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年操作小时约1920h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53"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w:t>
            </w:r>
          </w:p>
        </w:tc>
        <w:tc>
          <w:tcPr>
            <w:tcW w:w="1534"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转鼓氨酸复合肥</w:t>
            </w:r>
          </w:p>
        </w:tc>
        <w:tc>
          <w:tcPr>
            <w:tcW w:w="579"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吨/年</w:t>
            </w:r>
          </w:p>
        </w:tc>
        <w:tc>
          <w:tcPr>
            <w:tcW w:w="872"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7万</w:t>
            </w:r>
          </w:p>
        </w:tc>
        <w:tc>
          <w:tcPr>
            <w:tcW w:w="1559"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年操作小时约</w:t>
            </w:r>
            <w:r>
              <w:rPr>
                <w:rFonts w:hint="eastAsia" w:cs="Times New Roman"/>
                <w:b w:val="0"/>
                <w:bCs/>
                <w:color w:val="auto"/>
                <w:sz w:val="21"/>
                <w:szCs w:val="21"/>
                <w:lang w:val="en-US" w:eastAsia="zh-CN"/>
              </w:rPr>
              <w:t>3360</w:t>
            </w:r>
            <w:r>
              <w:rPr>
                <w:rFonts w:hint="default" w:ascii="Times New Roman" w:hAnsi="Times New Roman" w:eastAsia="宋体" w:cs="Times New Roman"/>
                <w:b w:val="0"/>
                <w:bCs/>
                <w:color w:val="auto"/>
                <w:sz w:val="21"/>
                <w:szCs w:val="21"/>
                <w:lang w:val="en-US" w:eastAsia="zh-CN"/>
              </w:rPr>
              <w:t>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53"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二</w:t>
            </w:r>
          </w:p>
        </w:tc>
        <w:tc>
          <w:tcPr>
            <w:tcW w:w="1534"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副</w:t>
            </w:r>
            <w:r>
              <w:rPr>
                <w:rFonts w:hint="default" w:ascii="Times New Roman" w:hAnsi="Times New Roman" w:cs="Times New Roman"/>
                <w:b w:val="0"/>
                <w:bCs/>
                <w:color w:val="auto"/>
                <w:sz w:val="21"/>
                <w:szCs w:val="21"/>
              </w:rPr>
              <w:t>产品</w:t>
            </w:r>
          </w:p>
        </w:tc>
        <w:tc>
          <w:tcPr>
            <w:tcW w:w="579"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rPr>
            </w:pPr>
          </w:p>
        </w:tc>
        <w:tc>
          <w:tcPr>
            <w:tcW w:w="872"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rPr>
            </w:pPr>
          </w:p>
        </w:tc>
        <w:tc>
          <w:tcPr>
            <w:tcW w:w="1559" w:type="pct"/>
            <w:tcBorders>
              <w:tl2br w:val="nil"/>
              <w:tr2bl w:val="nil"/>
            </w:tcBorders>
            <w:noWrap w:val="0"/>
            <w:vAlign w:val="center"/>
          </w:tcPr>
          <w:p>
            <w:pPr>
              <w:spacing w:line="240" w:lineRule="auto"/>
              <w:jc w:val="center"/>
              <w:rPr>
                <w:rFonts w:hint="default" w:ascii="Times New Roman" w:hAnsi="Times New Roman" w:cs="Times New Roman"/>
                <w:b w:val="0"/>
                <w:bCs/>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53"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w:t>
            </w:r>
          </w:p>
        </w:tc>
        <w:tc>
          <w:tcPr>
            <w:tcW w:w="1534"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工业盐酸</w:t>
            </w:r>
          </w:p>
        </w:tc>
        <w:tc>
          <w:tcPr>
            <w:tcW w:w="579"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吨</w:t>
            </w:r>
            <w:r>
              <w:rPr>
                <w:rFonts w:hint="default" w:ascii="Times New Roman" w:hAnsi="Times New Roman" w:cs="Times New Roman"/>
                <w:b w:val="0"/>
                <w:bCs/>
                <w:color w:val="auto"/>
                <w:sz w:val="21"/>
                <w:szCs w:val="21"/>
                <w:lang w:val="en-US" w:eastAsia="zh-CN"/>
              </w:rPr>
              <w:t>/年</w:t>
            </w:r>
          </w:p>
        </w:tc>
        <w:tc>
          <w:tcPr>
            <w:tcW w:w="87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30249.4</w:t>
            </w:r>
          </w:p>
        </w:tc>
        <w:tc>
          <w:tcPr>
            <w:tcW w:w="1559"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lang w:val="en-US" w:eastAsia="zh-CN"/>
              </w:rPr>
            </w:pPr>
          </w:p>
        </w:tc>
      </w:tr>
    </w:tbl>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2.4.2工艺方案的选择</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综合比较各种工艺技术的特点，特别在详细比较塔式造粒和部分料浆法造粒工艺技术的基础上，结合市场情况及江西心连心化学工业有限公司的现有条件，综合考虑产品调节余地、生产规模和技术成熟可靠等方面因素，为达到产品灵活多样，适应市场需求，增加企业利润</w:t>
      </w:r>
      <w:r>
        <w:rPr>
          <w:rFonts w:hint="eastAsia" w:cs="Times New Roman"/>
          <w:color w:val="auto"/>
          <w:lang w:eastAsia="zh-CN"/>
        </w:rPr>
        <w:t>，</w:t>
      </w:r>
      <w:r>
        <w:rPr>
          <w:rFonts w:hint="default" w:ascii="Times New Roman" w:hAnsi="Times New Roman" w:cs="Times New Roman"/>
          <w:color w:val="auto"/>
        </w:rPr>
        <w:t>采用转鼓氨化工艺。转鼓氨化工艺是集氨酸法、喷浆硫基和料浆法三种工艺技术优点，结合着江西基地区域市场需求设计的生产线，在氨酸法工艺上增加的脱氯工段，可以生产低氮、高氯配方和喷浆硫基配方产品，满足江西基地区域不同作物需求。</w:t>
      </w:r>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2.4.3工艺流程</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一、转鼓造粒氨化复合肥工艺流程简述</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转鼓造粒氨化复合肥装置是由浓硫酸与氯化钾在一定温度下进行转化反应，然后与一定量磷酸一铵，混合制得</w:t>
      </w:r>
      <w:r>
        <w:rPr>
          <w:rFonts w:hint="eastAsia" w:cs="Times New Roman"/>
          <w:color w:val="auto"/>
          <w:lang w:eastAsia="zh-CN"/>
        </w:rPr>
        <w:t>混合料浆</w:t>
      </w:r>
      <w:r>
        <w:rPr>
          <w:rFonts w:hint="default" w:ascii="Times New Roman" w:hAnsi="Times New Roman" w:cs="Times New Roman"/>
          <w:color w:val="auto"/>
          <w:lang w:eastAsia="zh-CN"/>
        </w:rPr>
        <w:t>，再与氨进行中和反应，添加部分尿素氮源、磷酸一铵、氯化铵后经转鼓造粒、烘干、筛分、冷却、包膜等工序加工而成。转化反应的副产物氯化氢气体经水吸收得到31%工业盐酸作副产品外售。</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转鼓造粒氨化复合肥部份工艺分几大</w:t>
      </w:r>
      <w:r>
        <w:rPr>
          <w:rFonts w:hint="eastAsia" w:cs="Times New Roman"/>
          <w:color w:val="auto"/>
          <w:lang w:eastAsia="zh-CN"/>
        </w:rPr>
        <w:t>部分</w:t>
      </w:r>
      <w:r>
        <w:rPr>
          <w:rFonts w:hint="default" w:ascii="Times New Roman" w:hAnsi="Times New Roman" w:cs="Times New Roman"/>
          <w:color w:val="auto"/>
          <w:lang w:eastAsia="zh-CN"/>
        </w:rPr>
        <w:t>，分别是转化、</w:t>
      </w:r>
      <w:r>
        <w:rPr>
          <w:rFonts w:hint="eastAsia" w:cs="Times New Roman"/>
          <w:color w:val="auto"/>
          <w:lang w:eastAsia="zh-CN"/>
        </w:rPr>
        <w:t>配料、造粒和烘干、冷却筛分、包膜包装、</w:t>
      </w:r>
      <w:r>
        <w:rPr>
          <w:rFonts w:hint="default" w:ascii="Times New Roman" w:hAnsi="Times New Roman" w:cs="Times New Roman"/>
          <w:color w:val="auto"/>
          <w:lang w:eastAsia="zh-CN"/>
        </w:rPr>
        <w:t>尾气吸收</w:t>
      </w:r>
      <w:r>
        <w:rPr>
          <w:rFonts w:hint="eastAsia" w:cs="Times New Roman"/>
          <w:color w:val="auto"/>
          <w:lang w:eastAsia="zh-CN"/>
        </w:rPr>
        <w:t>、盐酸吸收</w:t>
      </w:r>
      <w:r>
        <w:rPr>
          <w:rFonts w:hint="default" w:ascii="Times New Roman" w:hAnsi="Times New Roman" w:cs="Times New Roman"/>
          <w:color w:val="auto"/>
          <w:lang w:eastAsia="zh-CN"/>
        </w:rPr>
        <w:t>等工段。</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（1）转化工段</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来自硫酸罐区的</w:t>
      </w:r>
      <w:r>
        <w:rPr>
          <w:rFonts w:hint="eastAsia" w:cs="Times New Roman"/>
          <w:color w:val="auto"/>
          <w:lang w:eastAsia="zh-CN"/>
        </w:rPr>
        <w:t>98%</w:t>
      </w:r>
      <w:r>
        <w:rPr>
          <w:rFonts w:hint="default" w:ascii="Times New Roman" w:hAnsi="Times New Roman" w:cs="Times New Roman"/>
          <w:color w:val="auto"/>
          <w:lang w:eastAsia="zh-CN"/>
        </w:rPr>
        <w:t>浓硫酸用通过变频硫酸泵控制调节流量并经计量后加入加料槽。氯化钾通过提升机送入氯化钾料仓，然后经皮带计量秤调节计量并与硫酸成一定比例后加入到加料槽。在设有搅拌器及蒸汽加热的加料槽中，控制反应温度</w:t>
      </w:r>
      <w:r>
        <w:rPr>
          <w:rFonts w:hint="default" w:ascii="Times New Roman" w:hAnsi="Times New Roman" w:cs="Times New Roman"/>
          <w:color w:val="auto"/>
          <w:lang w:val="en-US" w:eastAsia="zh-CN"/>
        </w:rPr>
        <w:t>115~120℃，蒸汽压力0.5-0.6MPa饱和蒸汽</w:t>
      </w:r>
      <w:r>
        <w:rPr>
          <w:rFonts w:hint="default" w:ascii="Times New Roman" w:hAnsi="Times New Roman" w:cs="Times New Roman"/>
          <w:color w:val="auto"/>
          <w:lang w:eastAsia="zh-CN"/>
        </w:rPr>
        <w:t>。氯化钾与硫酸充分混合并部分反应后溢流至反应槽，在反应槽继续反应制得硫酸氢钾溶液。</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反应生成的硫酸氢钾溶液溢流至混合料浆槽。磷酸一铵固体由原料暂存库房经过磷酸一铵破碎机、斗提机、料斗机、上料皮带机经计量后进入磷铵溶解槽加热至90℃溶解，输送入磷酸一铵缓冲槽，经磷酸一铵输送泵，与氯化钾固体成一定比例后送入混合料浆槽，反应后的液相混合形成混合料浆（磷酸一铵的加入量与产品规格有关，磷酸一铵溶解温度应控制在90℃左右，其目的是将磷酸一铵充分溶解，减少磷酸一铵溶液中的固体残留物，便于与</w:t>
      </w:r>
      <w:r>
        <w:rPr>
          <w:rFonts w:hint="eastAsia" w:cs="Times New Roman"/>
          <w:color w:val="auto"/>
          <w:lang w:eastAsia="zh-CN"/>
        </w:rPr>
        <w:t>硫酸</w:t>
      </w:r>
      <w:r>
        <w:rPr>
          <w:rFonts w:hint="default" w:ascii="Times New Roman" w:hAnsi="Times New Roman" w:cs="Times New Roman"/>
          <w:color w:val="auto"/>
          <w:lang w:eastAsia="zh-CN"/>
        </w:rPr>
        <w:t>氢钾溶液混合，同时控制较高磷酸一铵溶液温度可减少与硫酸氢钾</w:t>
      </w:r>
      <w:r>
        <w:rPr>
          <w:rFonts w:hint="eastAsia" w:cs="Times New Roman"/>
          <w:color w:val="auto"/>
          <w:lang w:eastAsia="zh-CN"/>
        </w:rPr>
        <w:t>溶</w:t>
      </w:r>
      <w:r>
        <w:rPr>
          <w:rFonts w:hint="default" w:ascii="Times New Roman" w:hAnsi="Times New Roman" w:cs="Times New Roman"/>
          <w:color w:val="auto"/>
          <w:lang w:eastAsia="zh-CN"/>
        </w:rPr>
        <w:t>液的温度差，减少混合料浆液的分层，便于混合充分）。混合料浆经过混合料浆泵送往复合肥造粒工段。</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（2）配料工段</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将氯化铵、氯化钾、尿素按比例计量混合后（不同的产品规格，配料不同），通过原料皮带机送入粉碎机粉碎后，产生混合配料，粉碎产生的粉尘通过密闭收集，通过布袋除尘器处理。</w:t>
      </w:r>
    </w:p>
    <w:p>
      <w:pPr>
        <w:numPr>
          <w:ilvl w:val="0"/>
          <w:numId w:val="0"/>
        </w:numPr>
        <w:bidi w:val="0"/>
        <w:ind w:firstLine="560" w:firstLineChars="200"/>
        <w:rPr>
          <w:rFonts w:hint="default" w:ascii="Times New Roman" w:hAnsi="Times New Roman" w:cs="Times New Roman"/>
          <w:color w:val="auto"/>
          <w:lang w:eastAsia="zh-CN"/>
        </w:rPr>
      </w:pPr>
      <w:r>
        <w:rPr>
          <w:rFonts w:hint="eastAsia" w:cs="Times New Roman"/>
          <w:color w:val="auto"/>
          <w:lang w:eastAsia="zh-CN"/>
        </w:rPr>
        <w:t>（</w:t>
      </w:r>
      <w:r>
        <w:rPr>
          <w:rFonts w:hint="eastAsia" w:cs="Times New Roman"/>
          <w:color w:val="auto"/>
          <w:lang w:val="en-US" w:eastAsia="zh-CN"/>
        </w:rPr>
        <w:t>3</w:t>
      </w:r>
      <w:r>
        <w:rPr>
          <w:rFonts w:hint="eastAsia" w:cs="Times New Roman"/>
          <w:color w:val="auto"/>
          <w:lang w:eastAsia="zh-CN"/>
        </w:rPr>
        <w:t>）</w:t>
      </w:r>
      <w:r>
        <w:rPr>
          <w:rFonts w:hint="default" w:ascii="Times New Roman" w:hAnsi="Times New Roman" w:cs="Times New Roman"/>
          <w:color w:val="auto"/>
          <w:lang w:eastAsia="zh-CN"/>
        </w:rPr>
        <w:t>造粒、烘干工段</w:t>
      </w:r>
    </w:p>
    <w:p>
      <w:pPr>
        <w:numPr>
          <w:ilvl w:val="0"/>
          <w:numId w:val="0"/>
        </w:num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来自转化工段的混合料浆用变频泵经调节计量送入管式反应器与经调节计量后的氨气进行中和反应，反应器温度能达到140℃，管式反应器与造粒机相连，造粒机常压，反应器内压力物料停留时间较短。反应后的物料喷洒在转鼓造粒机内，与返料及粉碎的上述（3）中的配料滚动成粒。造粒出来的物料由热风炉的热空气进行烘干，形成干料，产生的烘干尾气进入尾气洗涤工段。</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（4）冷却筛分</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由烘干工段出来的物料进入一冷经过一级筛分，筛分出的粗料通过粉碎机粉碎返回至造粒工段，筛分出的细料也回用至造粒工段，筛选出半成品再经过二烘、二级冷却及精筛分，筛选出合格精料，进入包膜工段。筛分出的细料返回造粒工段。</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（5）包膜包装</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在精料中加入防结块剂膏或防结块剂粉进行包膜处理，将处理好后的复混肥采用包装机及封口机按照50kg/袋的规格进行包装，得到成品。</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（6）尾气吸收工段</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造粒尾气：经旋风、布袋除尘后的造粒尾气进文丘里洗涤后进稀酸洗涤塔、水洗涤塔洗涤后经电除雾后烟囱排放。此处的电除雾即湿式电除尘。其工作原理：靠高压电晕放电使得粉尘荷电，荷电后的粉尘在电场力的作用下到达集尘板/管。主要处理含水较高乃至饱和的湿气体。湿式电除尘器则采用定期冲洗的方式，使粉尘随着冲刷液的流动而清除。</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烘干尾气：先进入旋风除尘器除尘，再进洗涤塔洗涤后再进入电除雾，最后烟囱放空。</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lang w:eastAsia="zh-CN"/>
        </w:rPr>
        <w:t>破碎、冷却尾气除尘：先进入旋风除尘器除尘，再进布袋除尘后经烟囱直接放空；</w:t>
      </w:r>
    </w:p>
    <w:p>
      <w:pPr>
        <w:bidi w:val="0"/>
        <w:ind w:firstLine="560" w:firstLineChars="20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7</w:t>
      </w:r>
      <w:r>
        <w:rPr>
          <w:rFonts w:hint="eastAsia" w:cs="Times New Roman"/>
          <w:color w:val="auto"/>
          <w:lang w:eastAsia="zh-CN"/>
        </w:rPr>
        <w:t>）盐酸吸收工段</w:t>
      </w:r>
    </w:p>
    <w:p>
      <w:pPr>
        <w:bidi w:val="0"/>
        <w:ind w:firstLine="560" w:firstLineChars="200"/>
        <w:rPr>
          <w:rFonts w:hint="default" w:ascii="Times New Roman" w:hAnsi="Times New Roman" w:cs="Times New Roman"/>
          <w:color w:val="auto"/>
          <w:lang w:eastAsia="zh-CN"/>
        </w:rPr>
      </w:pPr>
      <w:r>
        <w:rPr>
          <w:rFonts w:hint="eastAsia" w:cs="Times New Roman"/>
          <w:color w:val="auto"/>
          <w:lang w:eastAsia="zh-CN"/>
        </w:rPr>
        <w:t>转化工段反应生成的氯化氢气体经过石墨冷却器处理后，然后经一、二、三、四级石墨降膜吸收器及一级尾洗塔、二级尾洗塔用水逆流吸收。一、二级尾洗塔为填料塔，水从最末二级尾洗塔进入，溢流后逆流顺序为经一级尾洗塔、四、三、二、一级降膜吸收氯化氢后变成盐酸并逐渐增浓，在一级降膜吸收器产出合格盐酸。脱硫塔生产的废盐酸及前面所述的一级降膜吸收器产出的成品盐酸去盐酸储罐暂存。尾洗塔尾气（主要成分为空气、水分、微量HCL）最终经40m排气筒排空。</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二、转鼓造粒氨酸复合肥工艺流程简述</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氨酸复合肥工艺与氨化的区别是没有转化工段、盐酸吸收工段，氯化钾、氯化铵、填料直接经称量皮带称量、上料。磷酸一铵溶解，打入管式反应器，反应器同时通入气氨和硫酸，三者反应后的料浆进入造粒机造粒，造粒之后的流程和尾气吸收完全与氨化法一致（见氨化工艺流程叙述）。氨酸法一般用于生产氯基复合肥，而氨化法用于生产硫基复合肥。两者工艺可以根据产品规格的需要进行切换。</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三、反应方程式</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转化工段中发生的化学发应有：</w:t>
      </w:r>
    </w:p>
    <w:p>
      <w:pPr>
        <w:bidi w:val="0"/>
        <w:ind w:firstLine="560" w:firstLineChars="200"/>
        <w:jc w:val="center"/>
        <w:rPr>
          <w:rFonts w:hint="default" w:ascii="Times New Roman" w:hAnsi="Times New Roman" w:cs="Times New Roman"/>
          <w:color w:val="auto"/>
          <w:lang w:eastAsia="zh-CN"/>
        </w:rPr>
      </w:pPr>
      <w:r>
        <w:rPr>
          <w:rFonts w:hint="default" w:ascii="Times New Roman" w:hAnsi="Times New Roman" w:cs="Times New Roman"/>
          <w:color w:val="auto"/>
        </w:rPr>
        <w:t>KCl + H</w:t>
      </w:r>
      <w:r>
        <w:rPr>
          <w:rFonts w:hint="default" w:ascii="Times New Roman" w:hAnsi="Times New Roman" w:cs="Times New Roman"/>
          <w:color w:val="auto"/>
          <w:vertAlign w:val="subscript"/>
        </w:rPr>
        <w:t>2</w:t>
      </w:r>
      <w:r>
        <w:rPr>
          <w:rFonts w:hint="default" w:ascii="Times New Roman" w:hAnsi="Times New Roman" w:cs="Times New Roman"/>
          <w:color w:val="auto"/>
        </w:rPr>
        <w:t>SO</w:t>
      </w:r>
      <w:r>
        <w:rPr>
          <w:rFonts w:hint="default" w:ascii="Times New Roman" w:hAnsi="Times New Roman" w:cs="Times New Roman"/>
          <w:color w:val="auto"/>
          <w:vertAlign w:val="subscript"/>
        </w:rPr>
        <w:t>4</w:t>
      </w:r>
      <w:r>
        <w:rPr>
          <w:rFonts w:hint="default" w:ascii="Times New Roman" w:hAnsi="Times New Roman" w:cs="Times New Roman"/>
          <w:color w:val="auto"/>
          <w:vertAlign w:val="baseline"/>
          <w:lang w:val="en-US" w:eastAsia="zh-CN"/>
        </w:rPr>
        <w:t>=</w:t>
      </w:r>
      <w:r>
        <w:rPr>
          <w:rFonts w:hint="default" w:ascii="Times New Roman" w:hAnsi="Times New Roman" w:cs="Times New Roman"/>
          <w:color w:val="auto"/>
        </w:rPr>
        <w:t>KHSO</w:t>
      </w:r>
      <w:r>
        <w:rPr>
          <w:rFonts w:hint="default" w:ascii="Times New Roman" w:hAnsi="Times New Roman" w:cs="Times New Roman"/>
          <w:color w:val="auto"/>
          <w:vertAlign w:val="subscript"/>
        </w:rPr>
        <w:t>4</w:t>
      </w:r>
      <w:r>
        <w:rPr>
          <w:rFonts w:hint="default" w:ascii="Times New Roman" w:hAnsi="Times New Roman" w:cs="Times New Roman"/>
          <w:color w:val="auto"/>
        </w:rPr>
        <w:t xml:space="preserve"> + HCl</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烘干、造粒工段</w:t>
      </w:r>
      <w:r>
        <w:rPr>
          <w:rFonts w:hint="default" w:ascii="Times New Roman" w:hAnsi="Times New Roman" w:eastAsia="宋体" w:cs="Times New Roman"/>
          <w:color w:val="auto"/>
          <w:lang w:eastAsia="zh-CN"/>
        </w:rPr>
        <w:t>中发生的化学反应有:</w:t>
      </w:r>
    </w:p>
    <w:p>
      <w:pPr>
        <w:bidi w:val="0"/>
        <w:ind w:firstLine="560" w:firstLineChars="200"/>
        <w:jc w:val="center"/>
        <w:rPr>
          <w:rFonts w:hint="default" w:ascii="Times New Roman" w:hAnsi="Times New Roman" w:cs="Times New Roman"/>
          <w:color w:val="auto"/>
          <w:lang w:eastAsia="zh-CN"/>
        </w:rPr>
      </w:pPr>
      <w:r>
        <w:rPr>
          <w:rFonts w:hint="default" w:ascii="Times New Roman" w:hAnsi="Times New Roman" w:eastAsia="宋体" w:cs="Times New Roman"/>
          <w:color w:val="auto"/>
          <w:lang w:eastAsia="zh-CN"/>
        </w:rPr>
        <w:t>KHSO</w:t>
      </w:r>
      <w:r>
        <w:rPr>
          <w:rFonts w:hint="default" w:ascii="Times New Roman" w:hAnsi="Times New Roman" w:eastAsia="宋体" w:cs="Times New Roman"/>
          <w:color w:val="auto"/>
          <w:vertAlign w:val="subscript"/>
          <w:lang w:eastAsia="zh-CN"/>
        </w:rPr>
        <w:t>4</w:t>
      </w:r>
      <w:r>
        <w:rPr>
          <w:rFonts w:hint="default" w:ascii="Times New Roman" w:hAnsi="Times New Roman" w:eastAsia="宋体" w:cs="Times New Roman"/>
          <w:color w:val="auto"/>
          <w:lang w:eastAsia="zh-CN"/>
        </w:rPr>
        <w:t>+NH</w:t>
      </w:r>
      <w:r>
        <w:rPr>
          <w:rFonts w:hint="default" w:ascii="Times New Roman" w:hAnsi="Times New Roman" w:eastAsia="宋体" w:cs="Times New Roman"/>
          <w:color w:val="auto"/>
          <w:vertAlign w:val="subscript"/>
          <w:lang w:eastAsia="zh-CN"/>
        </w:rPr>
        <w:t>3</w:t>
      </w:r>
      <w:r>
        <w:rPr>
          <w:rFonts w:hint="default" w:ascii="Times New Roman" w:hAnsi="Times New Roman" w:eastAsia="宋体" w:cs="Times New Roman"/>
          <w:color w:val="auto"/>
          <w:lang w:eastAsia="zh-CN"/>
        </w:rPr>
        <w:t>=NH</w:t>
      </w:r>
      <w:r>
        <w:rPr>
          <w:rFonts w:hint="default" w:ascii="Times New Roman" w:hAnsi="Times New Roman" w:eastAsia="宋体" w:cs="Times New Roman"/>
          <w:color w:val="auto"/>
          <w:vertAlign w:val="subscript"/>
          <w:lang w:eastAsia="zh-CN"/>
        </w:rPr>
        <w:t>4</w:t>
      </w:r>
      <w:r>
        <w:rPr>
          <w:rFonts w:hint="default" w:ascii="Times New Roman" w:hAnsi="Times New Roman" w:eastAsia="宋体" w:cs="Times New Roman"/>
          <w:color w:val="auto"/>
          <w:lang w:eastAsia="zh-CN"/>
        </w:rPr>
        <w:t>KSO</w:t>
      </w:r>
      <w:r>
        <w:rPr>
          <w:rFonts w:hint="default" w:ascii="Times New Roman" w:hAnsi="Times New Roman" w:eastAsia="宋体" w:cs="Times New Roman"/>
          <w:color w:val="auto"/>
          <w:vertAlign w:val="subscript"/>
          <w:lang w:eastAsia="zh-CN"/>
        </w:rPr>
        <w:t>4</w:t>
      </w:r>
    </w:p>
    <w:p>
      <w:pPr>
        <w:bidi w:val="0"/>
        <w:ind w:firstLine="560" w:firstLineChars="200"/>
        <w:jc w:val="center"/>
        <w:rPr>
          <w:rFonts w:hint="default" w:ascii="Times New Roman" w:hAnsi="Times New Roman" w:cs="Times New Roman"/>
          <w:color w:val="auto"/>
          <w:lang w:eastAsia="zh-CN"/>
        </w:rPr>
      </w:pPr>
      <w:r>
        <w:rPr>
          <w:rFonts w:hint="default" w:ascii="Times New Roman" w:hAnsi="Times New Roman" w:eastAsia="宋体" w:cs="Times New Roman"/>
          <w:color w:val="auto"/>
          <w:lang w:eastAsia="zh-CN"/>
        </w:rPr>
        <w:t>NH</w:t>
      </w:r>
      <w:r>
        <w:rPr>
          <w:rFonts w:hint="default" w:ascii="Times New Roman" w:hAnsi="Times New Roman" w:eastAsia="宋体" w:cs="Times New Roman"/>
          <w:color w:val="auto"/>
          <w:vertAlign w:val="subscript"/>
          <w:lang w:eastAsia="zh-CN"/>
        </w:rPr>
        <w:t>4</w:t>
      </w:r>
      <w:r>
        <w:rPr>
          <w:rFonts w:hint="default" w:ascii="Times New Roman" w:hAnsi="Times New Roman" w:eastAsia="宋体" w:cs="Times New Roman"/>
          <w:color w:val="auto"/>
          <w:lang w:eastAsia="zh-CN"/>
        </w:rPr>
        <w:t>H</w:t>
      </w:r>
      <w:r>
        <w:rPr>
          <w:rFonts w:hint="default" w:ascii="Times New Roman" w:hAnsi="Times New Roman" w:eastAsia="宋体" w:cs="Times New Roman"/>
          <w:color w:val="auto"/>
          <w:vertAlign w:val="subscript"/>
          <w:lang w:eastAsia="zh-CN"/>
        </w:rPr>
        <w:t>2</w:t>
      </w:r>
      <w:r>
        <w:rPr>
          <w:rFonts w:hint="default" w:ascii="Times New Roman" w:hAnsi="Times New Roman" w:eastAsia="宋体" w:cs="Times New Roman"/>
          <w:color w:val="auto"/>
          <w:lang w:eastAsia="zh-CN"/>
        </w:rPr>
        <w:t>PO</w:t>
      </w:r>
      <w:r>
        <w:rPr>
          <w:rFonts w:hint="default" w:ascii="Times New Roman" w:hAnsi="Times New Roman" w:eastAsia="宋体" w:cs="Times New Roman"/>
          <w:color w:val="auto"/>
          <w:vertAlign w:val="subscript"/>
          <w:lang w:eastAsia="zh-CN"/>
        </w:rPr>
        <w:t>4</w:t>
      </w:r>
      <w:r>
        <w:rPr>
          <w:rFonts w:hint="default" w:ascii="Times New Roman" w:hAnsi="Times New Roman" w:eastAsia="宋体" w:cs="Times New Roman"/>
          <w:color w:val="auto"/>
          <w:lang w:eastAsia="zh-CN"/>
        </w:rPr>
        <w:t>+NH</w:t>
      </w:r>
      <w:r>
        <w:rPr>
          <w:rFonts w:hint="default" w:ascii="Times New Roman" w:hAnsi="Times New Roman" w:eastAsia="宋体" w:cs="Times New Roman"/>
          <w:color w:val="auto"/>
          <w:vertAlign w:val="subscript"/>
          <w:lang w:eastAsia="zh-CN"/>
        </w:rPr>
        <w:t>3</w:t>
      </w:r>
      <w:r>
        <w:rPr>
          <w:rFonts w:hint="default" w:ascii="Times New Roman" w:hAnsi="Times New Roman" w:eastAsia="宋体" w:cs="Times New Roman"/>
          <w:color w:val="auto"/>
          <w:lang w:eastAsia="zh-CN"/>
        </w:rPr>
        <w:t>=(NH</w:t>
      </w:r>
      <w:r>
        <w:rPr>
          <w:rFonts w:hint="default" w:ascii="Times New Roman" w:hAnsi="Times New Roman" w:eastAsia="宋体" w:cs="Times New Roman"/>
          <w:color w:val="auto"/>
          <w:vertAlign w:val="subscript"/>
          <w:lang w:eastAsia="zh-CN"/>
        </w:rPr>
        <w:t>4</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vertAlign w:val="subscript"/>
          <w:lang w:eastAsia="zh-CN"/>
        </w:rPr>
        <w:t>2</w:t>
      </w:r>
      <w:r>
        <w:rPr>
          <w:rFonts w:hint="default" w:ascii="Times New Roman" w:hAnsi="Times New Roman" w:eastAsia="宋体" w:cs="Times New Roman"/>
          <w:color w:val="auto"/>
          <w:lang w:eastAsia="zh-CN"/>
        </w:rPr>
        <w:t>HPO</w:t>
      </w:r>
      <w:r>
        <w:rPr>
          <w:rFonts w:hint="default" w:ascii="Times New Roman" w:hAnsi="Times New Roman" w:eastAsia="宋体" w:cs="Times New Roman"/>
          <w:color w:val="auto"/>
          <w:vertAlign w:val="subscript"/>
          <w:lang w:eastAsia="zh-CN"/>
        </w:rPr>
        <w:t>4</w:t>
      </w:r>
    </w:p>
    <w:p>
      <w:pPr>
        <w:bidi w:val="0"/>
        <w:ind w:firstLine="560" w:firstLineChars="200"/>
        <w:jc w:val="center"/>
        <w:rPr>
          <w:rFonts w:hint="default" w:ascii="Times New Roman" w:hAnsi="Times New Roman" w:cs="Times New Roman"/>
          <w:color w:val="auto"/>
          <w:lang w:eastAsia="zh-CN"/>
        </w:rPr>
      </w:pPr>
      <w:r>
        <w:rPr>
          <w:rFonts w:hint="default" w:ascii="Times New Roman" w:hAnsi="Times New Roman" w:eastAsia="宋体" w:cs="Times New Roman"/>
          <w:color w:val="auto"/>
          <w:lang w:eastAsia="zh-CN"/>
        </w:rPr>
        <w:t>H</w:t>
      </w:r>
      <w:r>
        <w:rPr>
          <w:rFonts w:hint="default" w:ascii="Times New Roman" w:hAnsi="Times New Roman" w:eastAsia="宋体" w:cs="Times New Roman"/>
          <w:color w:val="auto"/>
          <w:vertAlign w:val="subscript"/>
          <w:lang w:eastAsia="zh-CN"/>
        </w:rPr>
        <w:t>2</w:t>
      </w:r>
      <w:r>
        <w:rPr>
          <w:rFonts w:hint="default" w:ascii="Times New Roman" w:hAnsi="Times New Roman" w:eastAsia="宋体" w:cs="Times New Roman"/>
          <w:color w:val="auto"/>
          <w:lang w:eastAsia="zh-CN"/>
        </w:rPr>
        <w:t>SO</w:t>
      </w:r>
      <w:r>
        <w:rPr>
          <w:rFonts w:hint="default" w:ascii="Times New Roman" w:hAnsi="Times New Roman" w:eastAsia="宋体" w:cs="Times New Roman"/>
          <w:color w:val="auto"/>
          <w:vertAlign w:val="subscript"/>
          <w:lang w:eastAsia="zh-CN"/>
        </w:rPr>
        <w:t>4</w:t>
      </w:r>
      <w:r>
        <w:rPr>
          <w:rFonts w:hint="default" w:ascii="Times New Roman" w:hAnsi="Times New Roman" w:eastAsia="宋体" w:cs="Times New Roman"/>
          <w:color w:val="auto"/>
          <w:lang w:eastAsia="zh-CN"/>
        </w:rPr>
        <w:t>+2NH</w:t>
      </w:r>
      <w:r>
        <w:rPr>
          <w:rFonts w:hint="default" w:ascii="Times New Roman" w:hAnsi="Times New Roman" w:eastAsia="宋体" w:cs="Times New Roman"/>
          <w:color w:val="auto"/>
          <w:vertAlign w:val="subscript"/>
          <w:lang w:eastAsia="zh-CN"/>
        </w:rPr>
        <w:t>3</w:t>
      </w:r>
      <w:r>
        <w:rPr>
          <w:rFonts w:hint="default" w:ascii="Times New Roman" w:hAnsi="Times New Roman" w:eastAsia="宋体" w:cs="Times New Roman"/>
          <w:color w:val="auto"/>
          <w:lang w:eastAsia="zh-CN"/>
        </w:rPr>
        <w:t>=(NH4)</w:t>
      </w:r>
      <w:r>
        <w:rPr>
          <w:rFonts w:hint="default" w:ascii="Times New Roman" w:hAnsi="Times New Roman" w:eastAsia="宋体" w:cs="Times New Roman"/>
          <w:color w:val="auto"/>
          <w:vertAlign w:val="subscript"/>
          <w:lang w:eastAsia="zh-CN"/>
        </w:rPr>
        <w:t>2</w:t>
      </w:r>
      <w:r>
        <w:rPr>
          <w:rFonts w:hint="default" w:ascii="Times New Roman" w:hAnsi="Times New Roman" w:eastAsia="宋体" w:cs="Times New Roman"/>
          <w:color w:val="auto"/>
          <w:lang w:eastAsia="zh-CN"/>
        </w:rPr>
        <w:t>SO</w:t>
      </w:r>
      <w:r>
        <w:rPr>
          <w:rFonts w:hint="default" w:ascii="Times New Roman" w:hAnsi="Times New Roman" w:eastAsia="宋体" w:cs="Times New Roman"/>
          <w:color w:val="auto"/>
          <w:vertAlign w:val="subscript"/>
          <w:lang w:eastAsia="zh-CN"/>
        </w:rPr>
        <w:t>4</w:t>
      </w:r>
    </w:p>
    <w:p>
      <w:pPr>
        <w:bidi w:val="0"/>
        <w:ind w:firstLine="56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四、工艺流程简图：</w:t>
      </w:r>
    </w:p>
    <w:p>
      <w:pPr>
        <w:bidi w:val="0"/>
        <w:spacing w:line="240" w:lineRule="auto"/>
        <w:ind w:firstLine="560" w:firstLineChars="200"/>
        <w:rPr>
          <w:rFonts w:hint="default" w:ascii="Times New Roman" w:hAnsi="Times New Roman" w:cs="Times New Roman"/>
          <w:color w:val="auto"/>
          <w:lang w:eastAsia="zh-CN"/>
        </w:rPr>
      </w:pPr>
      <w:r>
        <w:rPr>
          <w:rFonts w:hint="default" w:ascii="Times New Roman" w:hAnsi="Times New Roman" w:eastAsia="宋体" w:cs="Times New Roman"/>
          <w:color w:val="auto"/>
          <w:lang w:eastAsia="zh-CN"/>
        </w:rPr>
        <w:t>（1）转化吸收、磷酸一铵溶解工段工艺流程示意图</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anchor distT="0" distB="0" distL="114300" distR="114300" simplePos="0" relativeHeight="251666432" behindDoc="0" locked="0" layoutInCell="1" allowOverlap="1">
            <wp:simplePos x="0" y="0"/>
            <wp:positionH relativeFrom="column">
              <wp:posOffset>165735</wp:posOffset>
            </wp:positionH>
            <wp:positionV relativeFrom="paragraph">
              <wp:posOffset>266700</wp:posOffset>
            </wp:positionV>
            <wp:extent cx="5759450" cy="6304915"/>
            <wp:effectExtent l="0" t="0" r="6350" b="6985"/>
            <wp:wrapTopAndBottom/>
            <wp:docPr id="21" name="图片 21" descr="167491996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74919961358"/>
                    <pic:cNvPicPr>
                      <a:picLocks noChangeAspect="1"/>
                    </pic:cNvPicPr>
                  </pic:nvPicPr>
                  <pic:blipFill>
                    <a:blip r:embed="rId12"/>
                    <a:stretch>
                      <a:fillRect/>
                    </a:stretch>
                  </pic:blipFill>
                  <pic:spPr>
                    <a:xfrm>
                      <a:off x="0" y="0"/>
                      <a:ext cx="5759450" cy="6304915"/>
                    </a:xfrm>
                    <a:prstGeom prst="rect">
                      <a:avLst/>
                    </a:prstGeom>
                  </pic:spPr>
                </pic:pic>
              </a:graphicData>
            </a:graphic>
          </wp:anchor>
        </w:drawing>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（2）氨化造粒、尾气洗涤工艺流程框图</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anchor distT="0" distB="0" distL="114300" distR="114300" simplePos="0" relativeHeight="251667456" behindDoc="0" locked="0" layoutInCell="1" allowOverlap="1">
            <wp:simplePos x="0" y="0"/>
            <wp:positionH relativeFrom="column">
              <wp:posOffset>53975</wp:posOffset>
            </wp:positionH>
            <wp:positionV relativeFrom="paragraph">
              <wp:posOffset>27940</wp:posOffset>
            </wp:positionV>
            <wp:extent cx="5881370" cy="4292600"/>
            <wp:effectExtent l="0" t="0" r="5080" b="12700"/>
            <wp:wrapSquare wrapText="bothSides"/>
            <wp:docPr id="22" name="图片 22" descr="167492006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74920069072"/>
                    <pic:cNvPicPr>
                      <a:picLocks noChangeAspect="1"/>
                    </pic:cNvPicPr>
                  </pic:nvPicPr>
                  <pic:blipFill>
                    <a:blip r:embed="rId13"/>
                    <a:stretch>
                      <a:fillRect/>
                    </a:stretch>
                  </pic:blipFill>
                  <pic:spPr>
                    <a:xfrm>
                      <a:off x="0" y="0"/>
                      <a:ext cx="5881370" cy="4292600"/>
                    </a:xfrm>
                    <a:prstGeom prst="rect">
                      <a:avLst/>
                    </a:prstGeom>
                  </pic:spPr>
                </pic:pic>
              </a:graphicData>
            </a:graphic>
          </wp:anchor>
        </w:drawing>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四、物料平衡</w:t>
      </w:r>
    </w:p>
    <w:p>
      <w:pPr>
        <w:ind w:firstLine="560" w:firstLineChars="20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表2.5-1 物料平衡表 单位：</w:t>
      </w:r>
      <w:r>
        <w:rPr>
          <w:rFonts w:hint="default" w:ascii="Times New Roman" w:hAnsi="Times New Roman" w:cs="Times New Roman"/>
          <w:color w:val="auto"/>
          <w:lang w:val="en-US" w:eastAsia="zh-CN"/>
        </w:rPr>
        <w:t>t/a</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26"/>
        <w:gridCol w:w="1109"/>
        <w:gridCol w:w="1733"/>
        <w:gridCol w:w="3018"/>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000" w:type="pct"/>
            <w:gridSpan w:val="6"/>
            <w:tcBorders>
              <w:tl2br w:val="nil"/>
              <w:tr2bl w:val="nil"/>
            </w:tcBorders>
            <w:vAlign w:val="center"/>
          </w:tcPr>
          <w:p>
            <w:pPr>
              <w:pStyle w:val="29"/>
              <w:rPr>
                <w:rFonts w:hint="default" w:ascii="Times New Roman" w:hAnsi="Times New Roman" w:cs="Times New Roman"/>
                <w:b/>
                <w:bCs/>
                <w:color w:val="auto"/>
              </w:rPr>
            </w:pPr>
            <w:r>
              <w:rPr>
                <w:rFonts w:hint="eastAsia" w:cs="Times New Roman"/>
                <w:b/>
                <w:bCs/>
                <w:color w:val="auto"/>
                <w:lang w:eastAsia="zh-CN"/>
              </w:rPr>
              <w:t>一、</w:t>
            </w:r>
            <w:r>
              <w:rPr>
                <w:rFonts w:hint="default" w:ascii="Times New Roman" w:hAnsi="Times New Roman" w:cs="Times New Roman"/>
                <w:b/>
                <w:bCs/>
                <w:color w:val="auto"/>
              </w:rPr>
              <w:t>转鼓氨化复合肥（15-14-14S）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229" w:type="pct"/>
            <w:vMerge w:val="restar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204" w:type="pct"/>
            <w:gridSpan w:val="2"/>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入方</w:t>
            </w:r>
          </w:p>
        </w:tc>
        <w:tc>
          <w:tcPr>
            <w:tcW w:w="3565" w:type="pct"/>
            <w:gridSpan w:val="3"/>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出方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229" w:type="pct"/>
            <w:vMerge w:val="continue"/>
            <w:tcBorders>
              <w:tl2br w:val="nil"/>
              <w:tr2bl w:val="nil"/>
            </w:tcBorders>
            <w:vAlign w:val="center"/>
          </w:tcPr>
          <w:p>
            <w:pPr>
              <w:pStyle w:val="29"/>
              <w:rPr>
                <w:rFonts w:hint="default" w:ascii="Times New Roman" w:hAnsi="Times New Roman" w:cs="Times New Roman"/>
                <w:b/>
                <w:bCs/>
                <w:color w:val="auto"/>
              </w:rPr>
            </w:pPr>
          </w:p>
        </w:tc>
        <w:tc>
          <w:tcPr>
            <w:tcW w:w="607" w:type="pc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物料名称</w:t>
            </w:r>
          </w:p>
        </w:tc>
        <w:tc>
          <w:tcPr>
            <w:tcW w:w="597" w:type="pc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投加量</w:t>
            </w:r>
          </w:p>
        </w:tc>
        <w:tc>
          <w:tcPr>
            <w:tcW w:w="932" w:type="pc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产品</w:t>
            </w:r>
          </w:p>
        </w:tc>
        <w:tc>
          <w:tcPr>
            <w:tcW w:w="1625" w:type="pc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废气</w:t>
            </w:r>
          </w:p>
        </w:tc>
        <w:tc>
          <w:tcPr>
            <w:tcW w:w="1007" w:type="pc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29"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1</w:t>
            </w:r>
          </w:p>
        </w:tc>
        <w:tc>
          <w:tcPr>
            <w:tcW w:w="607"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氯化钾</w:t>
            </w:r>
          </w:p>
        </w:tc>
        <w:tc>
          <w:tcPr>
            <w:tcW w:w="59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9333</w:t>
            </w:r>
          </w:p>
        </w:tc>
        <w:tc>
          <w:tcPr>
            <w:tcW w:w="932" w:type="pct"/>
            <w:vMerge w:val="restar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转鼓氨化复合肥（15-14-14S）</w:t>
            </w:r>
            <w:r>
              <w:rPr>
                <w:rFonts w:hint="default" w:ascii="Times New Roman" w:hAnsi="Times New Roman" w:cs="Times New Roman"/>
                <w:color w:val="auto"/>
              </w:rPr>
              <w:t>：</w:t>
            </w:r>
            <w:r>
              <w:rPr>
                <w:rFonts w:hint="eastAsia" w:cs="Times New Roman"/>
                <w:color w:val="auto"/>
                <w:lang w:val="en-US" w:eastAsia="zh-CN"/>
              </w:rPr>
              <w:t>4</w:t>
            </w:r>
            <w:r>
              <w:rPr>
                <w:rFonts w:hint="default" w:ascii="Times New Roman" w:hAnsi="Times New Roman" w:cs="Times New Roman"/>
                <w:color w:val="auto"/>
                <w:lang w:val="en-US" w:eastAsia="zh-CN"/>
              </w:rPr>
              <w:t>0000</w:t>
            </w:r>
          </w:p>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rPr>
              <w:t>副产盐酸：</w:t>
            </w:r>
            <w:r>
              <w:rPr>
                <w:rFonts w:hint="eastAsia" w:cs="Times New Roman"/>
                <w:color w:val="auto"/>
                <w:lang w:val="en-US" w:eastAsia="zh-CN"/>
              </w:rPr>
              <w:t>14603</w:t>
            </w:r>
          </w:p>
        </w:tc>
        <w:tc>
          <w:tcPr>
            <w:tcW w:w="1625" w:type="pct"/>
            <w:vMerge w:val="restar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颗粒物等：</w:t>
            </w:r>
            <w:r>
              <w:rPr>
                <w:rFonts w:hint="eastAsia" w:cs="Times New Roman"/>
                <w:color w:val="auto"/>
                <w:lang w:val="en-US" w:eastAsia="zh-CN"/>
              </w:rPr>
              <w:t>11.96</w:t>
            </w:r>
          </w:p>
        </w:tc>
        <w:tc>
          <w:tcPr>
            <w:tcW w:w="1007" w:type="pct"/>
            <w:vMerge w:val="restar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水分蒸发：</w:t>
            </w:r>
            <w:r>
              <w:rPr>
                <w:rFonts w:hint="eastAsia" w:cs="Times New Roman"/>
                <w:color w:val="auto"/>
                <w:lang w:val="en-US" w:eastAsia="zh-CN"/>
              </w:rPr>
              <w:t>7940.049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29"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2</w:t>
            </w:r>
          </w:p>
        </w:tc>
        <w:tc>
          <w:tcPr>
            <w:tcW w:w="607" w:type="pct"/>
            <w:tcBorders>
              <w:tl2br w:val="nil"/>
              <w:tr2bl w:val="nil"/>
            </w:tcBorders>
            <w:vAlign w:val="center"/>
          </w:tcPr>
          <w:p>
            <w:pPr>
              <w:pStyle w:val="29"/>
              <w:rPr>
                <w:rFonts w:hint="default" w:ascii="Times New Roman" w:hAnsi="Times New Roman" w:cs="Times New Roman"/>
                <w:color w:val="auto"/>
              </w:rPr>
            </w:pPr>
            <w:r>
              <w:rPr>
                <w:rFonts w:hint="eastAsia" w:cs="Times New Roman"/>
                <w:color w:val="auto"/>
                <w:lang w:eastAsia="zh-CN"/>
              </w:rPr>
              <w:t>98%</w:t>
            </w:r>
            <w:r>
              <w:rPr>
                <w:rFonts w:hint="default" w:ascii="Times New Roman" w:hAnsi="Times New Roman" w:cs="Times New Roman"/>
                <w:color w:val="auto"/>
              </w:rPr>
              <w:t>硫酸</w:t>
            </w:r>
          </w:p>
        </w:tc>
        <w:tc>
          <w:tcPr>
            <w:tcW w:w="59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14407</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3</w:t>
            </w:r>
          </w:p>
        </w:tc>
        <w:tc>
          <w:tcPr>
            <w:tcW w:w="60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磷酸一铵</w:t>
            </w:r>
          </w:p>
        </w:tc>
        <w:tc>
          <w:tcPr>
            <w:tcW w:w="59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12727</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lang w:val="en-US" w:eastAsia="zh-CN"/>
              </w:rPr>
              <w:t>4</w:t>
            </w:r>
          </w:p>
        </w:tc>
        <w:tc>
          <w:tcPr>
            <w:tcW w:w="60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氯化铵</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eastAsia" w:cs="Times New Roman"/>
                <w:color w:val="auto"/>
                <w:lang w:val="en-US" w:eastAsia="zh-CN"/>
              </w:rPr>
              <w:t>11302.009</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w:t>
            </w:r>
          </w:p>
        </w:tc>
        <w:tc>
          <w:tcPr>
            <w:tcW w:w="607" w:type="pct"/>
            <w:tcBorders>
              <w:tl2br w:val="nil"/>
              <w:tr2bl w:val="nil"/>
            </w:tcBorders>
            <w:vAlign w:val="center"/>
          </w:tcPr>
          <w:p>
            <w:pPr>
              <w:pStyle w:val="29"/>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尿素</w:t>
            </w:r>
          </w:p>
        </w:tc>
        <w:tc>
          <w:tcPr>
            <w:tcW w:w="59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3374</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氨</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3701</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防结块剂粉</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180</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防结块剂膏</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96</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填料</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708</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脱盐水</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881</w:t>
            </w:r>
            <w:r>
              <w:rPr>
                <w:rFonts w:hint="eastAsia" w:cs="Times New Roman"/>
                <w:color w:val="auto"/>
                <w:lang w:val="en-US" w:eastAsia="zh-CN"/>
              </w:rPr>
              <w:t>1</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1</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新鲜水</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9216</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229"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2</w:t>
            </w:r>
          </w:p>
        </w:tc>
        <w:tc>
          <w:tcPr>
            <w:tcW w:w="607"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小计</w:t>
            </w:r>
          </w:p>
        </w:tc>
        <w:tc>
          <w:tcPr>
            <w:tcW w:w="59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62555.009</w:t>
            </w:r>
          </w:p>
        </w:tc>
        <w:tc>
          <w:tcPr>
            <w:tcW w:w="932"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54603</w:t>
            </w:r>
          </w:p>
        </w:tc>
        <w:tc>
          <w:tcPr>
            <w:tcW w:w="1625"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11.96</w:t>
            </w:r>
          </w:p>
        </w:tc>
        <w:tc>
          <w:tcPr>
            <w:tcW w:w="100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7940.049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229"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607" w:type="pct"/>
            <w:tcBorders>
              <w:tl2br w:val="nil"/>
              <w:tr2bl w:val="nil"/>
            </w:tcBorders>
            <w:vAlign w:val="center"/>
          </w:tcPr>
          <w:p>
            <w:pPr>
              <w:pStyle w:val="29"/>
              <w:rPr>
                <w:rFonts w:hint="eastAsia" w:ascii="Times New Roman" w:hAnsi="Times New Roman" w:eastAsia="宋体" w:cs="Times New Roman"/>
                <w:color w:val="auto"/>
                <w:lang w:eastAsia="zh-CN"/>
              </w:rPr>
            </w:pPr>
            <w:r>
              <w:rPr>
                <w:rFonts w:hint="eastAsia" w:cs="Times New Roman"/>
                <w:color w:val="auto"/>
                <w:lang w:eastAsia="zh-CN"/>
              </w:rPr>
              <w:t>合计</w:t>
            </w:r>
          </w:p>
        </w:tc>
        <w:tc>
          <w:tcPr>
            <w:tcW w:w="597" w:type="pct"/>
            <w:tcBorders>
              <w:tl2br w:val="nil"/>
              <w:tr2bl w:val="nil"/>
            </w:tcBorders>
            <w:vAlign w:val="center"/>
          </w:tcPr>
          <w:p>
            <w:pPr>
              <w:pStyle w:val="29"/>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62555.009</w:t>
            </w:r>
          </w:p>
        </w:tc>
        <w:tc>
          <w:tcPr>
            <w:tcW w:w="3565" w:type="pct"/>
            <w:gridSpan w:val="3"/>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62555.009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000" w:type="pct"/>
            <w:gridSpan w:val="6"/>
            <w:tcBorders>
              <w:tl2br w:val="nil"/>
              <w:tr2bl w:val="nil"/>
            </w:tcBorders>
            <w:vAlign w:val="center"/>
          </w:tcPr>
          <w:p>
            <w:pPr>
              <w:pStyle w:val="29"/>
              <w:rPr>
                <w:rFonts w:hint="default" w:ascii="Times New Roman" w:hAnsi="Times New Roman" w:cs="Times New Roman"/>
                <w:b/>
                <w:bCs/>
                <w:color w:val="auto"/>
              </w:rPr>
            </w:pPr>
            <w:r>
              <w:rPr>
                <w:rFonts w:hint="eastAsia" w:cs="Times New Roman"/>
                <w:b/>
                <w:bCs/>
                <w:color w:val="auto"/>
                <w:lang w:eastAsia="zh-CN"/>
              </w:rPr>
              <w:t>二、</w:t>
            </w:r>
            <w:r>
              <w:rPr>
                <w:rFonts w:hint="default" w:ascii="Times New Roman" w:hAnsi="Times New Roman" w:cs="Times New Roman"/>
                <w:b/>
                <w:bCs/>
                <w:color w:val="auto"/>
              </w:rPr>
              <w:t>转鼓氨化复合肥（15-1</w:t>
            </w:r>
            <w:r>
              <w:rPr>
                <w:rFonts w:hint="eastAsia" w:cs="Times New Roman"/>
                <w:b/>
                <w:bCs/>
                <w:color w:val="auto"/>
                <w:lang w:val="en-US" w:eastAsia="zh-CN"/>
              </w:rPr>
              <w:t>6</w:t>
            </w:r>
            <w:r>
              <w:rPr>
                <w:rFonts w:hint="default" w:ascii="Times New Roman" w:hAnsi="Times New Roman" w:cs="Times New Roman"/>
                <w:b/>
                <w:bCs/>
                <w:color w:val="auto"/>
              </w:rPr>
              <w:t>-14S）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229" w:type="pct"/>
            <w:vMerge w:val="restar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204" w:type="pct"/>
            <w:gridSpan w:val="2"/>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入方</w:t>
            </w:r>
          </w:p>
        </w:tc>
        <w:tc>
          <w:tcPr>
            <w:tcW w:w="3565" w:type="pct"/>
            <w:gridSpan w:val="3"/>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出方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229" w:type="pct"/>
            <w:vMerge w:val="continue"/>
            <w:tcBorders>
              <w:tl2br w:val="nil"/>
              <w:tr2bl w:val="nil"/>
            </w:tcBorders>
            <w:vAlign w:val="center"/>
          </w:tcPr>
          <w:p>
            <w:pPr>
              <w:pStyle w:val="29"/>
              <w:rPr>
                <w:rFonts w:hint="default" w:ascii="Times New Roman" w:hAnsi="Times New Roman" w:cs="Times New Roman"/>
                <w:b/>
                <w:bCs/>
                <w:color w:val="auto"/>
              </w:rPr>
            </w:pPr>
          </w:p>
        </w:tc>
        <w:tc>
          <w:tcPr>
            <w:tcW w:w="607" w:type="pc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物料名称</w:t>
            </w:r>
          </w:p>
        </w:tc>
        <w:tc>
          <w:tcPr>
            <w:tcW w:w="597" w:type="pc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投加量</w:t>
            </w:r>
          </w:p>
        </w:tc>
        <w:tc>
          <w:tcPr>
            <w:tcW w:w="932" w:type="pc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产品</w:t>
            </w:r>
          </w:p>
        </w:tc>
        <w:tc>
          <w:tcPr>
            <w:tcW w:w="1625" w:type="pc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废气</w:t>
            </w:r>
          </w:p>
        </w:tc>
        <w:tc>
          <w:tcPr>
            <w:tcW w:w="1007" w:type="pc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29"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1</w:t>
            </w:r>
          </w:p>
        </w:tc>
        <w:tc>
          <w:tcPr>
            <w:tcW w:w="607"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氯化钾</w:t>
            </w:r>
          </w:p>
        </w:tc>
        <w:tc>
          <w:tcPr>
            <w:tcW w:w="59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10000</w:t>
            </w:r>
          </w:p>
        </w:tc>
        <w:tc>
          <w:tcPr>
            <w:tcW w:w="932" w:type="pct"/>
            <w:vMerge w:val="restar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转鼓氨化复合肥（15-1</w:t>
            </w:r>
            <w:r>
              <w:rPr>
                <w:rFonts w:hint="eastAsia" w:cs="Times New Roman"/>
                <w:color w:val="auto"/>
                <w:lang w:val="en-US" w:eastAsia="zh-CN"/>
              </w:rPr>
              <w:t>6</w:t>
            </w:r>
            <w:r>
              <w:rPr>
                <w:rFonts w:hint="default" w:ascii="Times New Roman" w:hAnsi="Times New Roman" w:cs="Times New Roman"/>
                <w:color w:val="auto"/>
                <w:lang w:eastAsia="zh-CN"/>
              </w:rPr>
              <w:t>-14S）</w:t>
            </w:r>
            <w:r>
              <w:rPr>
                <w:rFonts w:hint="default" w:ascii="Times New Roman" w:hAnsi="Times New Roman" w:cs="Times New Roman"/>
                <w:color w:val="auto"/>
              </w:rPr>
              <w:t>：</w:t>
            </w:r>
            <w:r>
              <w:rPr>
                <w:rFonts w:hint="eastAsia" w:cs="Times New Roman"/>
                <w:color w:val="auto"/>
                <w:lang w:val="en-US" w:eastAsia="zh-CN"/>
              </w:rPr>
              <w:t>4</w:t>
            </w:r>
            <w:r>
              <w:rPr>
                <w:rFonts w:hint="default" w:ascii="Times New Roman" w:hAnsi="Times New Roman" w:cs="Times New Roman"/>
                <w:color w:val="auto"/>
                <w:lang w:val="en-US" w:eastAsia="zh-CN"/>
              </w:rPr>
              <w:t>0000</w:t>
            </w:r>
          </w:p>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rPr>
              <w:t>副产盐酸：</w:t>
            </w:r>
            <w:r>
              <w:rPr>
                <w:rFonts w:hint="eastAsia" w:cs="Times New Roman"/>
                <w:color w:val="auto"/>
                <w:lang w:val="en-US" w:eastAsia="zh-CN"/>
              </w:rPr>
              <w:t>15646.244</w:t>
            </w:r>
          </w:p>
        </w:tc>
        <w:tc>
          <w:tcPr>
            <w:tcW w:w="1625" w:type="pct"/>
            <w:vMerge w:val="restar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颗粒物等：</w:t>
            </w:r>
            <w:r>
              <w:rPr>
                <w:rFonts w:hint="eastAsia" w:cs="Times New Roman"/>
                <w:color w:val="auto"/>
                <w:lang w:val="en-US" w:eastAsia="zh-CN"/>
              </w:rPr>
              <w:t>11.06</w:t>
            </w:r>
          </w:p>
        </w:tc>
        <w:tc>
          <w:tcPr>
            <w:tcW w:w="1007" w:type="pct"/>
            <w:vMerge w:val="restar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水分蒸发：</w:t>
            </w:r>
            <w:r>
              <w:rPr>
                <w:rFonts w:hint="eastAsia" w:cs="Times New Roman"/>
                <w:color w:val="auto"/>
                <w:lang w:val="en-US" w:eastAsia="zh-CN"/>
              </w:rPr>
              <w:t>8386.604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29"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2</w:t>
            </w:r>
          </w:p>
        </w:tc>
        <w:tc>
          <w:tcPr>
            <w:tcW w:w="607" w:type="pct"/>
            <w:tcBorders>
              <w:tl2br w:val="nil"/>
              <w:tr2bl w:val="nil"/>
            </w:tcBorders>
            <w:vAlign w:val="center"/>
          </w:tcPr>
          <w:p>
            <w:pPr>
              <w:pStyle w:val="29"/>
              <w:rPr>
                <w:rFonts w:hint="default" w:ascii="Times New Roman" w:hAnsi="Times New Roman" w:cs="Times New Roman"/>
                <w:color w:val="auto"/>
              </w:rPr>
            </w:pPr>
            <w:r>
              <w:rPr>
                <w:rFonts w:hint="eastAsia" w:cs="Times New Roman"/>
                <w:color w:val="auto"/>
                <w:lang w:eastAsia="zh-CN"/>
              </w:rPr>
              <w:t>98%</w:t>
            </w:r>
            <w:r>
              <w:rPr>
                <w:rFonts w:hint="default" w:ascii="Times New Roman" w:hAnsi="Times New Roman" w:cs="Times New Roman"/>
                <w:color w:val="auto"/>
              </w:rPr>
              <w:t>硫酸</w:t>
            </w:r>
          </w:p>
        </w:tc>
        <w:tc>
          <w:tcPr>
            <w:tcW w:w="59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15436.242</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3</w:t>
            </w:r>
          </w:p>
        </w:tc>
        <w:tc>
          <w:tcPr>
            <w:tcW w:w="60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磷酸一铵</w:t>
            </w:r>
          </w:p>
        </w:tc>
        <w:tc>
          <w:tcPr>
            <w:tcW w:w="59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12727.273</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lang w:val="en-US" w:eastAsia="zh-CN"/>
              </w:rPr>
              <w:t>4</w:t>
            </w:r>
          </w:p>
        </w:tc>
        <w:tc>
          <w:tcPr>
            <w:tcW w:w="60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氯化铵</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eastAsia" w:cs="Times New Roman"/>
                <w:color w:val="auto"/>
                <w:lang w:val="en-US" w:eastAsia="zh-CN"/>
              </w:rPr>
              <w:t>11302.009</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w:t>
            </w:r>
          </w:p>
        </w:tc>
        <w:tc>
          <w:tcPr>
            <w:tcW w:w="607" w:type="pct"/>
            <w:tcBorders>
              <w:tl2br w:val="nil"/>
              <w:tr2bl w:val="nil"/>
            </w:tcBorders>
            <w:vAlign w:val="center"/>
          </w:tcPr>
          <w:p>
            <w:pPr>
              <w:pStyle w:val="29"/>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尿素</w:t>
            </w:r>
          </w:p>
        </w:tc>
        <w:tc>
          <w:tcPr>
            <w:tcW w:w="59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3021.174</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氨</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eastAsia" w:cs="Times New Roman"/>
                <w:color w:val="auto"/>
                <w:lang w:val="en-US" w:eastAsia="zh-CN"/>
              </w:rPr>
              <w:t>3898.173</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防结块剂粉</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180</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防结块剂膏</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96</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填料</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eastAsia" w:cs="Times New Roman"/>
                <w:color w:val="auto"/>
                <w:lang w:val="en-US" w:eastAsia="zh-CN"/>
              </w:rPr>
              <w:t>200</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脱盐水</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eastAsia" w:cs="Times New Roman"/>
                <w:color w:val="auto"/>
                <w:lang w:val="en-US" w:eastAsia="zh-CN"/>
              </w:rPr>
              <w:t>9468.745</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1</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新鲜水</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9216</w:t>
            </w:r>
            <w:r>
              <w:rPr>
                <w:rFonts w:hint="eastAsia" w:cs="Times New Roman"/>
                <w:color w:val="auto"/>
                <w:lang w:val="en-US" w:eastAsia="zh-CN"/>
              </w:rPr>
              <w:t>.301</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229"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2</w:t>
            </w:r>
          </w:p>
        </w:tc>
        <w:tc>
          <w:tcPr>
            <w:tcW w:w="607"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小计</w:t>
            </w:r>
          </w:p>
        </w:tc>
        <w:tc>
          <w:tcPr>
            <w:tcW w:w="59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64043.908</w:t>
            </w:r>
          </w:p>
        </w:tc>
        <w:tc>
          <w:tcPr>
            <w:tcW w:w="932"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55646.244</w:t>
            </w:r>
          </w:p>
        </w:tc>
        <w:tc>
          <w:tcPr>
            <w:tcW w:w="1625"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11.06</w:t>
            </w:r>
          </w:p>
        </w:tc>
        <w:tc>
          <w:tcPr>
            <w:tcW w:w="100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8386.604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229"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607" w:type="pct"/>
            <w:tcBorders>
              <w:tl2br w:val="nil"/>
              <w:tr2bl w:val="nil"/>
            </w:tcBorders>
            <w:vAlign w:val="center"/>
          </w:tcPr>
          <w:p>
            <w:pPr>
              <w:pStyle w:val="29"/>
              <w:rPr>
                <w:rFonts w:hint="eastAsia" w:ascii="Times New Roman" w:hAnsi="Times New Roman" w:eastAsia="宋体" w:cs="Times New Roman"/>
                <w:color w:val="auto"/>
                <w:lang w:eastAsia="zh-CN"/>
              </w:rPr>
            </w:pPr>
            <w:r>
              <w:rPr>
                <w:rFonts w:hint="eastAsia" w:cs="Times New Roman"/>
                <w:color w:val="auto"/>
                <w:lang w:eastAsia="zh-CN"/>
              </w:rPr>
              <w:t>合计</w:t>
            </w:r>
          </w:p>
        </w:tc>
        <w:tc>
          <w:tcPr>
            <w:tcW w:w="597" w:type="pct"/>
            <w:tcBorders>
              <w:tl2br w:val="nil"/>
              <w:tr2bl w:val="nil"/>
            </w:tcBorders>
            <w:vAlign w:val="center"/>
          </w:tcPr>
          <w:p>
            <w:pPr>
              <w:pStyle w:val="29"/>
              <w:rPr>
                <w:rFonts w:hint="default" w:ascii="Times New Roman" w:hAnsi="Times New Roman" w:eastAsia="宋体" w:cs="Times New Roman"/>
                <w:color w:val="auto"/>
                <w:lang w:eastAsia="zh-CN"/>
              </w:rPr>
            </w:pPr>
            <w:r>
              <w:rPr>
                <w:rFonts w:hint="eastAsia" w:cs="Times New Roman"/>
                <w:color w:val="auto"/>
                <w:lang w:val="en-US" w:eastAsia="zh-CN"/>
              </w:rPr>
              <w:t>64043.908</w:t>
            </w:r>
          </w:p>
        </w:tc>
        <w:tc>
          <w:tcPr>
            <w:tcW w:w="3565" w:type="pct"/>
            <w:gridSpan w:val="3"/>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64043.908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000" w:type="pct"/>
            <w:gridSpan w:val="6"/>
            <w:tcBorders>
              <w:tl2br w:val="nil"/>
              <w:tr2bl w:val="nil"/>
            </w:tcBorders>
            <w:vAlign w:val="center"/>
          </w:tcPr>
          <w:p>
            <w:pPr>
              <w:pStyle w:val="29"/>
              <w:rPr>
                <w:rFonts w:hint="default" w:ascii="Times New Roman" w:hAnsi="Times New Roman" w:cs="Times New Roman"/>
                <w:b/>
                <w:bCs/>
                <w:color w:val="auto"/>
              </w:rPr>
            </w:pPr>
            <w:r>
              <w:rPr>
                <w:rFonts w:hint="eastAsia" w:cs="Times New Roman"/>
                <w:b/>
                <w:bCs/>
                <w:color w:val="auto"/>
                <w:lang w:eastAsia="zh-CN"/>
              </w:rPr>
              <w:t>三、</w:t>
            </w:r>
            <w:r>
              <w:rPr>
                <w:rFonts w:hint="default" w:ascii="Times New Roman" w:hAnsi="Times New Roman" w:cs="Times New Roman"/>
                <w:b/>
                <w:bCs/>
                <w:color w:val="auto"/>
              </w:rPr>
              <w:t>转鼓氨</w:t>
            </w:r>
            <w:r>
              <w:rPr>
                <w:rFonts w:hint="eastAsia" w:cs="Times New Roman"/>
                <w:b/>
                <w:bCs/>
                <w:color w:val="auto"/>
                <w:lang w:eastAsia="zh-CN"/>
              </w:rPr>
              <w:t>酸</w:t>
            </w:r>
            <w:r>
              <w:rPr>
                <w:rFonts w:hint="default" w:ascii="Times New Roman" w:hAnsi="Times New Roman" w:cs="Times New Roman"/>
                <w:b/>
                <w:bCs/>
                <w:color w:val="auto"/>
              </w:rPr>
              <w:t>复合肥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229" w:type="pct"/>
            <w:vMerge w:val="restar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204" w:type="pct"/>
            <w:gridSpan w:val="2"/>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入方</w:t>
            </w:r>
          </w:p>
        </w:tc>
        <w:tc>
          <w:tcPr>
            <w:tcW w:w="3565" w:type="pct"/>
            <w:gridSpan w:val="3"/>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出方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229" w:type="pct"/>
            <w:vMerge w:val="continue"/>
            <w:tcBorders>
              <w:tl2br w:val="nil"/>
              <w:tr2bl w:val="nil"/>
            </w:tcBorders>
            <w:vAlign w:val="center"/>
          </w:tcPr>
          <w:p>
            <w:pPr>
              <w:pStyle w:val="29"/>
              <w:rPr>
                <w:rFonts w:hint="default" w:ascii="Times New Roman" w:hAnsi="Times New Roman" w:cs="Times New Roman"/>
                <w:b/>
                <w:bCs/>
                <w:color w:val="auto"/>
              </w:rPr>
            </w:pPr>
          </w:p>
        </w:tc>
        <w:tc>
          <w:tcPr>
            <w:tcW w:w="607" w:type="pc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物料名称</w:t>
            </w:r>
          </w:p>
        </w:tc>
        <w:tc>
          <w:tcPr>
            <w:tcW w:w="597" w:type="pc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投加量</w:t>
            </w:r>
          </w:p>
        </w:tc>
        <w:tc>
          <w:tcPr>
            <w:tcW w:w="932" w:type="pc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产品</w:t>
            </w:r>
          </w:p>
        </w:tc>
        <w:tc>
          <w:tcPr>
            <w:tcW w:w="1625" w:type="pc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废气</w:t>
            </w:r>
          </w:p>
        </w:tc>
        <w:tc>
          <w:tcPr>
            <w:tcW w:w="1007" w:type="pct"/>
            <w:tcBorders>
              <w:tl2br w:val="nil"/>
              <w:tr2bl w:val="nil"/>
            </w:tcBorders>
            <w:vAlign w:val="center"/>
          </w:tcPr>
          <w:p>
            <w:pPr>
              <w:pStyle w:val="29"/>
              <w:rPr>
                <w:rFonts w:hint="default" w:ascii="Times New Roman" w:hAnsi="Times New Roman" w:cs="Times New Roman"/>
                <w:b/>
                <w:bCs/>
                <w:color w:val="auto"/>
              </w:rPr>
            </w:pPr>
            <w:r>
              <w:rPr>
                <w:rFonts w:hint="default" w:ascii="Times New Roman" w:hAnsi="Times New Roman" w:cs="Times New Roman"/>
                <w:b/>
                <w:bCs/>
                <w:color w:val="auto"/>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29"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1</w:t>
            </w:r>
          </w:p>
        </w:tc>
        <w:tc>
          <w:tcPr>
            <w:tcW w:w="607"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氯化钾</w:t>
            </w:r>
          </w:p>
        </w:tc>
        <w:tc>
          <w:tcPr>
            <w:tcW w:w="59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11666.667</w:t>
            </w:r>
          </w:p>
        </w:tc>
        <w:tc>
          <w:tcPr>
            <w:tcW w:w="932" w:type="pct"/>
            <w:vMerge w:val="restar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转鼓氨</w:t>
            </w:r>
            <w:r>
              <w:rPr>
                <w:rFonts w:hint="eastAsia" w:cs="Times New Roman"/>
                <w:color w:val="auto"/>
                <w:lang w:eastAsia="zh-CN"/>
              </w:rPr>
              <w:t>酸</w:t>
            </w:r>
            <w:r>
              <w:rPr>
                <w:rFonts w:hint="default" w:ascii="Times New Roman" w:hAnsi="Times New Roman" w:cs="Times New Roman"/>
                <w:color w:val="auto"/>
                <w:lang w:eastAsia="zh-CN"/>
              </w:rPr>
              <w:t>复合肥</w:t>
            </w:r>
            <w:r>
              <w:rPr>
                <w:rFonts w:hint="default" w:ascii="Times New Roman" w:hAnsi="Times New Roman" w:cs="Times New Roman"/>
                <w:color w:val="auto"/>
              </w:rPr>
              <w:t>：</w:t>
            </w:r>
            <w:r>
              <w:rPr>
                <w:rFonts w:hint="eastAsia" w:cs="Times New Roman"/>
                <w:color w:val="auto"/>
                <w:lang w:val="en-US" w:eastAsia="zh-CN"/>
              </w:rPr>
              <w:t>7</w:t>
            </w:r>
            <w:r>
              <w:rPr>
                <w:rFonts w:hint="default" w:ascii="Times New Roman" w:hAnsi="Times New Roman" w:cs="Times New Roman"/>
                <w:color w:val="auto"/>
                <w:lang w:val="en-US" w:eastAsia="zh-CN"/>
              </w:rPr>
              <w:t>0000</w:t>
            </w:r>
          </w:p>
          <w:p>
            <w:pPr>
              <w:pStyle w:val="29"/>
              <w:rPr>
                <w:rFonts w:hint="default" w:ascii="Times New Roman" w:hAnsi="Times New Roman" w:eastAsia="宋体" w:cs="Times New Roman"/>
                <w:color w:val="auto"/>
                <w:lang w:val="en-US" w:eastAsia="zh-CN"/>
              </w:rPr>
            </w:pPr>
          </w:p>
        </w:tc>
        <w:tc>
          <w:tcPr>
            <w:tcW w:w="1625" w:type="pct"/>
            <w:vMerge w:val="restar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颗粒物等：</w:t>
            </w:r>
            <w:r>
              <w:rPr>
                <w:rFonts w:hint="eastAsia" w:cs="Times New Roman"/>
                <w:color w:val="auto"/>
                <w:lang w:val="en-US" w:eastAsia="zh-CN"/>
              </w:rPr>
              <w:t>20.23</w:t>
            </w:r>
          </w:p>
        </w:tc>
        <w:tc>
          <w:tcPr>
            <w:tcW w:w="1007" w:type="pct"/>
            <w:vMerge w:val="restar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水分蒸发：</w:t>
            </w:r>
            <w:r>
              <w:rPr>
                <w:rFonts w:hint="eastAsia" w:cs="Times New Roman"/>
                <w:color w:val="auto"/>
                <w:lang w:val="en-US" w:eastAsia="zh-CN"/>
              </w:rPr>
              <w:t>11403.77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29"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2</w:t>
            </w:r>
          </w:p>
        </w:tc>
        <w:tc>
          <w:tcPr>
            <w:tcW w:w="607" w:type="pct"/>
            <w:tcBorders>
              <w:tl2br w:val="nil"/>
              <w:tr2bl w:val="nil"/>
            </w:tcBorders>
            <w:vAlign w:val="center"/>
          </w:tcPr>
          <w:p>
            <w:pPr>
              <w:pStyle w:val="29"/>
              <w:rPr>
                <w:rFonts w:hint="default" w:ascii="Times New Roman" w:hAnsi="Times New Roman" w:cs="Times New Roman"/>
                <w:color w:val="auto"/>
              </w:rPr>
            </w:pPr>
            <w:r>
              <w:rPr>
                <w:rFonts w:hint="eastAsia" w:cs="Times New Roman"/>
                <w:color w:val="auto"/>
                <w:lang w:eastAsia="zh-CN"/>
              </w:rPr>
              <w:t>98%</w:t>
            </w:r>
            <w:r>
              <w:rPr>
                <w:rFonts w:hint="default" w:ascii="Times New Roman" w:hAnsi="Times New Roman" w:cs="Times New Roman"/>
                <w:color w:val="auto"/>
              </w:rPr>
              <w:t>硫酸</w:t>
            </w:r>
          </w:p>
        </w:tc>
        <w:tc>
          <w:tcPr>
            <w:tcW w:w="59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1400</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3</w:t>
            </w:r>
          </w:p>
        </w:tc>
        <w:tc>
          <w:tcPr>
            <w:tcW w:w="60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磷酸一铵</w:t>
            </w:r>
          </w:p>
        </w:tc>
        <w:tc>
          <w:tcPr>
            <w:tcW w:w="59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15909.091</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4</w:t>
            </w:r>
          </w:p>
        </w:tc>
        <w:tc>
          <w:tcPr>
            <w:tcW w:w="607" w:type="pct"/>
            <w:tcBorders>
              <w:tl2br w:val="nil"/>
              <w:tr2bl w:val="nil"/>
            </w:tcBorders>
            <w:vAlign w:val="center"/>
          </w:tcPr>
          <w:p>
            <w:pPr>
              <w:pStyle w:val="29"/>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尿素</w:t>
            </w:r>
          </w:p>
        </w:tc>
        <w:tc>
          <w:tcPr>
            <w:tcW w:w="59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20966.994</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eastAsia" w:cs="Times New Roman"/>
                <w:color w:val="auto"/>
                <w:lang w:val="en-US" w:eastAsia="zh-CN"/>
              </w:rPr>
            </w:pPr>
            <w:r>
              <w:rPr>
                <w:rFonts w:hint="eastAsia" w:cs="Times New Roman"/>
                <w:color w:val="auto"/>
                <w:lang w:val="en-US" w:eastAsia="zh-CN"/>
              </w:rPr>
              <w:t>5</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eastAsia" w:cs="Times New Roman"/>
                <w:color w:val="auto"/>
                <w:lang w:eastAsia="zh-CN"/>
              </w:rPr>
              <w:t>氯化铵</w:t>
            </w:r>
          </w:p>
        </w:tc>
        <w:tc>
          <w:tcPr>
            <w:tcW w:w="597" w:type="pct"/>
            <w:tcBorders>
              <w:tl2br w:val="nil"/>
              <w:tr2bl w:val="nil"/>
            </w:tcBorders>
            <w:vAlign w:val="center"/>
          </w:tcPr>
          <w:p>
            <w:pPr>
              <w:pStyle w:val="29"/>
              <w:rPr>
                <w:rFonts w:hint="default" w:cs="Times New Roman"/>
                <w:color w:val="auto"/>
                <w:lang w:val="en-US" w:eastAsia="zh-CN"/>
              </w:rPr>
            </w:pPr>
            <w:r>
              <w:rPr>
                <w:rFonts w:hint="eastAsia" w:cs="Times New Roman"/>
                <w:color w:val="auto"/>
                <w:lang w:val="en-US" w:eastAsia="zh-CN"/>
              </w:rPr>
              <w:t>7435.8767</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eastAsia" w:cs="Times New Roman"/>
                <w:color w:val="auto"/>
                <w:lang w:val="en-US" w:eastAsia="zh-CN"/>
              </w:rPr>
              <w:t>6</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氨</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eastAsia" w:cs="Times New Roman"/>
                <w:color w:val="auto"/>
                <w:lang w:val="en-US" w:eastAsia="zh-CN"/>
              </w:rPr>
              <w:t>1041.556</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eastAsia" w:cs="Times New Roman"/>
                <w:color w:val="auto"/>
                <w:lang w:val="en-US" w:eastAsia="zh-CN"/>
              </w:rPr>
              <w:t>7</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防结块剂粉</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eastAsia" w:cs="Times New Roman"/>
                <w:color w:val="auto"/>
                <w:lang w:val="en-US" w:eastAsia="zh-CN"/>
              </w:rPr>
              <w:t>315</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eastAsia" w:cs="Times New Roman"/>
                <w:color w:val="auto"/>
                <w:lang w:val="en-US" w:eastAsia="zh-CN"/>
              </w:rPr>
              <w:t>8</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防结块剂膏</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eastAsia" w:cs="Times New Roman"/>
                <w:color w:val="auto"/>
                <w:lang w:val="en-US" w:eastAsia="zh-CN"/>
              </w:rPr>
              <w:t>168</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eastAsia" w:cs="Times New Roman"/>
                <w:color w:val="auto"/>
                <w:lang w:val="en-US" w:eastAsia="zh-CN"/>
              </w:rPr>
              <w:t>9</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填料</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eastAsia" w:cs="Times New Roman"/>
                <w:color w:val="auto"/>
                <w:lang w:val="en-US" w:eastAsia="zh-CN"/>
              </w:rPr>
              <w:t>11096.816</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29" w:type="pct"/>
            <w:tcBorders>
              <w:tl2br w:val="nil"/>
              <w:tr2bl w:val="nil"/>
            </w:tcBorders>
            <w:vAlign w:val="center"/>
          </w:tcPr>
          <w:p>
            <w:pPr>
              <w:pStyle w:val="2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0</w:t>
            </w:r>
          </w:p>
        </w:tc>
        <w:tc>
          <w:tcPr>
            <w:tcW w:w="607" w:type="pct"/>
            <w:tcBorders>
              <w:tl2br w:val="nil"/>
              <w:tr2bl w:val="nil"/>
            </w:tcBorders>
            <w:vAlign w:val="center"/>
          </w:tcPr>
          <w:p>
            <w:pPr>
              <w:pStyle w:val="29"/>
              <w:rPr>
                <w:rFonts w:hint="default" w:ascii="Times New Roman" w:hAnsi="Times New Roman" w:cs="Times New Roman"/>
                <w:color w:val="auto"/>
                <w:lang w:eastAsia="zh-CN"/>
              </w:rPr>
            </w:pPr>
            <w:r>
              <w:rPr>
                <w:rFonts w:hint="default" w:ascii="Times New Roman" w:hAnsi="Times New Roman" w:cs="Times New Roman"/>
                <w:color w:val="auto"/>
                <w:lang w:eastAsia="zh-CN"/>
              </w:rPr>
              <w:t>新鲜水</w:t>
            </w:r>
          </w:p>
        </w:tc>
        <w:tc>
          <w:tcPr>
            <w:tcW w:w="597" w:type="pct"/>
            <w:tcBorders>
              <w:tl2br w:val="nil"/>
              <w:tr2bl w:val="nil"/>
            </w:tcBorders>
            <w:vAlign w:val="center"/>
          </w:tcPr>
          <w:p>
            <w:pPr>
              <w:pStyle w:val="29"/>
              <w:rPr>
                <w:rFonts w:hint="default" w:ascii="Times New Roman" w:hAnsi="Times New Roman" w:cs="Times New Roman"/>
                <w:color w:val="auto"/>
                <w:lang w:val="en-US" w:eastAsia="zh-CN"/>
              </w:rPr>
            </w:pPr>
            <w:r>
              <w:rPr>
                <w:rFonts w:hint="eastAsia" w:cs="Times New Roman"/>
                <w:color w:val="auto"/>
                <w:lang w:val="en-US" w:eastAsia="zh-CN"/>
              </w:rPr>
              <w:t>11424</w:t>
            </w:r>
          </w:p>
        </w:tc>
        <w:tc>
          <w:tcPr>
            <w:tcW w:w="932" w:type="pct"/>
            <w:vMerge w:val="continue"/>
            <w:tcBorders>
              <w:tl2br w:val="nil"/>
              <w:tr2bl w:val="nil"/>
            </w:tcBorders>
            <w:vAlign w:val="center"/>
          </w:tcPr>
          <w:p>
            <w:pPr>
              <w:pStyle w:val="29"/>
              <w:rPr>
                <w:rFonts w:hint="default" w:ascii="Times New Roman" w:hAnsi="Times New Roman" w:cs="Times New Roman"/>
                <w:color w:val="auto"/>
              </w:rPr>
            </w:pPr>
          </w:p>
        </w:tc>
        <w:tc>
          <w:tcPr>
            <w:tcW w:w="1625" w:type="pct"/>
            <w:vMerge w:val="continue"/>
            <w:tcBorders>
              <w:tl2br w:val="nil"/>
              <w:tr2bl w:val="nil"/>
            </w:tcBorders>
            <w:vAlign w:val="center"/>
          </w:tcPr>
          <w:p>
            <w:pPr>
              <w:pStyle w:val="29"/>
              <w:rPr>
                <w:rFonts w:hint="default" w:ascii="Times New Roman" w:hAnsi="Times New Roman" w:cs="Times New Roman"/>
                <w:color w:val="auto"/>
              </w:rPr>
            </w:pPr>
          </w:p>
        </w:tc>
        <w:tc>
          <w:tcPr>
            <w:tcW w:w="1007" w:type="pct"/>
            <w:vMerge w:val="continue"/>
            <w:tcBorders>
              <w:tl2br w:val="nil"/>
              <w:tr2bl w:val="nil"/>
            </w:tcBorders>
            <w:vAlign w:val="center"/>
          </w:tcPr>
          <w:p>
            <w:pPr>
              <w:pStyle w:val="29"/>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229"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11</w:t>
            </w:r>
          </w:p>
        </w:tc>
        <w:tc>
          <w:tcPr>
            <w:tcW w:w="607" w:type="pct"/>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小计</w:t>
            </w:r>
          </w:p>
        </w:tc>
        <w:tc>
          <w:tcPr>
            <w:tcW w:w="59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81424</w:t>
            </w:r>
          </w:p>
        </w:tc>
        <w:tc>
          <w:tcPr>
            <w:tcW w:w="932"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7</w:t>
            </w:r>
            <w:r>
              <w:rPr>
                <w:rFonts w:hint="default" w:ascii="Times New Roman" w:hAnsi="Times New Roman" w:cs="Times New Roman"/>
                <w:color w:val="auto"/>
                <w:lang w:val="en-US" w:eastAsia="zh-CN"/>
              </w:rPr>
              <w:t>0000</w:t>
            </w:r>
          </w:p>
        </w:tc>
        <w:tc>
          <w:tcPr>
            <w:tcW w:w="1625"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20.23</w:t>
            </w:r>
          </w:p>
        </w:tc>
        <w:tc>
          <w:tcPr>
            <w:tcW w:w="1007"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11403.77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229" w:type="pct"/>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12</w:t>
            </w:r>
          </w:p>
        </w:tc>
        <w:tc>
          <w:tcPr>
            <w:tcW w:w="607" w:type="pct"/>
            <w:tcBorders>
              <w:tl2br w:val="nil"/>
              <w:tr2bl w:val="nil"/>
            </w:tcBorders>
            <w:vAlign w:val="center"/>
          </w:tcPr>
          <w:p>
            <w:pPr>
              <w:pStyle w:val="29"/>
              <w:rPr>
                <w:rFonts w:hint="eastAsia" w:ascii="Times New Roman" w:hAnsi="Times New Roman" w:eastAsia="宋体" w:cs="Times New Roman"/>
                <w:color w:val="auto"/>
                <w:lang w:eastAsia="zh-CN"/>
              </w:rPr>
            </w:pPr>
            <w:r>
              <w:rPr>
                <w:rFonts w:hint="eastAsia" w:cs="Times New Roman"/>
                <w:color w:val="auto"/>
                <w:lang w:eastAsia="zh-CN"/>
              </w:rPr>
              <w:t>合计</w:t>
            </w:r>
          </w:p>
        </w:tc>
        <w:tc>
          <w:tcPr>
            <w:tcW w:w="597" w:type="pct"/>
            <w:tcBorders>
              <w:tl2br w:val="nil"/>
              <w:tr2bl w:val="nil"/>
            </w:tcBorders>
            <w:vAlign w:val="center"/>
          </w:tcPr>
          <w:p>
            <w:pPr>
              <w:pStyle w:val="29"/>
              <w:rPr>
                <w:rFonts w:hint="default" w:ascii="Times New Roman" w:hAnsi="Times New Roman" w:eastAsia="宋体" w:cs="Times New Roman"/>
                <w:color w:val="auto"/>
                <w:lang w:eastAsia="zh-CN"/>
              </w:rPr>
            </w:pPr>
            <w:r>
              <w:rPr>
                <w:rFonts w:hint="eastAsia" w:cs="Times New Roman"/>
                <w:color w:val="auto"/>
                <w:lang w:val="en-US" w:eastAsia="zh-CN"/>
              </w:rPr>
              <w:t>81424</w:t>
            </w:r>
          </w:p>
        </w:tc>
        <w:tc>
          <w:tcPr>
            <w:tcW w:w="3565" w:type="pct"/>
            <w:gridSpan w:val="3"/>
            <w:tcBorders>
              <w:tl2br w:val="nil"/>
              <w:tr2bl w:val="nil"/>
            </w:tcBorders>
            <w:vAlign w:val="center"/>
          </w:tcPr>
          <w:p>
            <w:pPr>
              <w:pStyle w:val="29"/>
              <w:rPr>
                <w:rFonts w:hint="default" w:ascii="Times New Roman" w:hAnsi="Times New Roman" w:eastAsia="宋体" w:cs="Times New Roman"/>
                <w:color w:val="auto"/>
                <w:lang w:val="en-US" w:eastAsia="zh-CN"/>
              </w:rPr>
            </w:pPr>
            <w:r>
              <w:rPr>
                <w:rFonts w:hint="eastAsia" w:cs="Times New Roman"/>
                <w:color w:val="auto"/>
                <w:lang w:val="en-US" w:eastAsia="zh-CN"/>
              </w:rPr>
              <w:t>81424</w:t>
            </w:r>
          </w:p>
        </w:tc>
      </w:tr>
    </w:tbl>
    <w:p>
      <w:pPr>
        <w:bidi w:val="0"/>
        <w:rPr>
          <w:rFonts w:hint="default"/>
          <w:color w:val="auto"/>
          <w:lang w:val="en-US" w:eastAsia="zh-CN"/>
        </w:rPr>
      </w:pPr>
    </w:p>
    <w:p>
      <w:pPr>
        <w:pStyle w:val="4"/>
        <w:bidi w:val="0"/>
        <w:rPr>
          <w:rFonts w:hint="default" w:ascii="Times New Roman" w:hAnsi="Times New Roman" w:cs="Times New Roman"/>
          <w:color w:val="auto"/>
          <w:lang w:val="en-US" w:eastAsia="zh-CN"/>
        </w:rPr>
      </w:pPr>
      <w:bookmarkStart w:id="32" w:name="_Toc28692"/>
      <w:r>
        <w:rPr>
          <w:rFonts w:hint="default" w:ascii="Times New Roman" w:hAnsi="Times New Roman" w:cs="Times New Roman"/>
          <w:color w:val="auto"/>
          <w:lang w:val="en-US" w:eastAsia="zh-CN"/>
        </w:rPr>
        <w:t>2.5</w:t>
      </w:r>
      <w:bookmarkEnd w:id="26"/>
      <w:bookmarkEnd w:id="27"/>
      <w:r>
        <w:rPr>
          <w:rFonts w:hint="default" w:ascii="Times New Roman" w:hAnsi="Times New Roman" w:cs="Times New Roman"/>
          <w:color w:val="auto"/>
          <w:lang w:val="en-US" w:eastAsia="zh-CN"/>
        </w:rPr>
        <w:t>主要装置（设备）和设施的布局、道路运输</w:t>
      </w:r>
      <w:bookmarkEnd w:id="32"/>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1.平面布置</w:t>
      </w:r>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1）总平面布置原则及优化布置</w:t>
      </w:r>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（1）满足工艺流程要求。保证生产线短捷，尽量避免管道来往交叉迂回，并将公用工程消耗量大的装置集中布置，尽量靠近供应来源。同时在总平面布置时综合考虑建筑与周边的防火问题和卫生要求。</w:t>
      </w:r>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（2）合理布置场地内用地，注意节约用地。在可能的情况下尽量做到人流和物流分开，避免交叉。在总图规范化、合理化方向下，使布局更加完善。</w:t>
      </w:r>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（3）符合消防要求。</w:t>
      </w:r>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（4）采用有效的外部连接方式，合理功能分区。</w:t>
      </w:r>
    </w:p>
    <w:p>
      <w:pPr>
        <w:numPr>
          <w:ilvl w:val="0"/>
          <w:numId w:val="0"/>
        </w:numPr>
        <w:ind w:firstLine="56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该公司平面布置</w:t>
      </w:r>
    </w:p>
    <w:p>
      <w:pPr>
        <w:ind w:firstLine="560" w:firstLineChars="200"/>
        <w:rPr>
          <w:rFonts w:hint="default" w:ascii="Times New Roman" w:hAnsi="Times New Roman" w:cs="Times New Roman"/>
          <w:color w:val="auto"/>
          <w:sz w:val="28"/>
          <w:szCs w:val="28"/>
          <w:lang w:val="en-US" w:eastAsia="zh-CN"/>
        </w:rPr>
      </w:pPr>
      <w:r>
        <w:rPr>
          <w:rFonts w:hint="default" w:ascii="Times New Roman" w:hAnsi="Times New Roman" w:cs="Times New Roman"/>
          <w:color w:val="auto"/>
          <w:lang w:val="en-US" w:eastAsia="zh-CN"/>
        </w:rPr>
        <w:t>江西心连心化学工业有限公司规划用地布置呈梯形，该公司西侧主要布置复合肥项目</w:t>
      </w:r>
      <w:r>
        <w:rPr>
          <w:rFonts w:hint="default" w:ascii="Times New Roman" w:hAnsi="Times New Roman" w:cs="Times New Roman"/>
          <w:color w:val="auto"/>
          <w:sz w:val="28"/>
          <w:szCs w:val="28"/>
          <w:lang w:eastAsia="zh-CN"/>
        </w:rPr>
        <w:t>。由北向南依次为</w:t>
      </w:r>
      <w:r>
        <w:rPr>
          <w:rFonts w:hint="default" w:ascii="Times New Roman" w:hAnsi="Times New Roman" w:cs="Times New Roman"/>
          <w:color w:val="auto"/>
          <w:sz w:val="28"/>
          <w:szCs w:val="28"/>
          <w:lang w:val="en-US" w:eastAsia="zh-CN"/>
        </w:rPr>
        <w:t>2个</w:t>
      </w:r>
      <w:r>
        <w:rPr>
          <w:rFonts w:hint="default" w:ascii="Times New Roman" w:hAnsi="Times New Roman" w:cs="Times New Roman"/>
          <w:color w:val="auto"/>
          <w:sz w:val="28"/>
          <w:szCs w:val="28"/>
          <w:lang w:eastAsia="zh-CN"/>
        </w:rPr>
        <w:t>原料库和化验楼、</w:t>
      </w:r>
      <w:r>
        <w:rPr>
          <w:rFonts w:hint="default" w:ascii="Times New Roman" w:hAnsi="Times New Roman" w:cs="Times New Roman"/>
          <w:color w:val="auto"/>
          <w:sz w:val="28"/>
          <w:szCs w:val="28"/>
          <w:lang w:val="en-US" w:eastAsia="zh-CN"/>
        </w:rPr>
        <w:t>2套20万吨/年高塔复合肥装置、成品包装楼、2个成品库。</w:t>
      </w:r>
    </w:p>
    <w:p>
      <w:pPr>
        <w:ind w:firstLine="56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该项目主要布置在高塔原料库和高塔复合肥装置东侧</w:t>
      </w:r>
      <w:r>
        <w:rPr>
          <w:rFonts w:hint="default" w:ascii="Times New Roman" w:hAnsi="Times New Roman" w:cs="Times New Roman"/>
          <w:color w:val="auto"/>
          <w:lang w:val="en-US" w:eastAsia="zh-CN"/>
        </w:rPr>
        <w:t>预留用地内</w:t>
      </w:r>
      <w:r>
        <w:rPr>
          <w:rFonts w:hint="default" w:ascii="Times New Roman" w:hAnsi="Times New Roman" w:cs="Times New Roman"/>
          <w:color w:val="auto"/>
          <w:lang w:eastAsia="zh-CN"/>
        </w:rPr>
        <w:t>。根据用地周边环境及当地主导风向，结合项目的生产工艺、物料仓储、公用工程等要求，对厂区进行功能分区布置，分为西北部、东部和南部。</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2）该项目平面布置</w:t>
      </w:r>
    </w:p>
    <w:p>
      <w:pPr>
        <w:ind w:firstLine="560" w:firstLineChars="200"/>
        <w:rPr>
          <w:rFonts w:hint="default" w:ascii="Times New Roman" w:hAnsi="Times New Roman" w:cs="Times New Roman"/>
          <w:color w:val="auto"/>
          <w:sz w:val="28"/>
          <w:szCs w:val="28"/>
          <w:lang w:eastAsia="zh-CN"/>
        </w:rPr>
      </w:pPr>
      <w:r>
        <w:rPr>
          <w:rFonts w:hint="default" w:ascii="Times New Roman" w:hAnsi="Times New Roman" w:eastAsia="宋体" w:cs="Times New Roman"/>
          <w:color w:val="auto"/>
          <w:lang w:val="en-US" w:eastAsia="zh-CN"/>
        </w:rPr>
        <w:t>该项目用地主要布置生产区、仓储区</w:t>
      </w:r>
      <w:r>
        <w:rPr>
          <w:rFonts w:hint="default" w:ascii="Times New Roman" w:hAnsi="Times New Roman" w:eastAsia="宋体" w:cs="Times New Roman"/>
          <w:color w:val="auto"/>
          <w:sz w:val="28"/>
          <w:szCs w:val="28"/>
          <w:lang w:eastAsia="zh-CN"/>
        </w:rPr>
        <w:t>。</w:t>
      </w:r>
      <w:r>
        <w:rPr>
          <w:rFonts w:hint="default" w:ascii="Times New Roman" w:hAnsi="Times New Roman" w:cs="Times New Roman"/>
          <w:color w:val="auto"/>
          <w:sz w:val="28"/>
          <w:szCs w:val="28"/>
          <w:lang w:val="en-US" w:eastAsia="zh-CN"/>
        </w:rPr>
        <w:t>氨化车间和原料库</w:t>
      </w:r>
      <w:r>
        <w:rPr>
          <w:rFonts w:hint="default" w:ascii="Times New Roman" w:hAnsi="Times New Roman" w:cs="Times New Roman"/>
          <w:color w:val="auto"/>
          <w:sz w:val="28"/>
          <w:szCs w:val="28"/>
          <w:lang w:eastAsia="zh-CN"/>
        </w:rPr>
        <w:t>布置在该项目东部，由北向南分别布置原料库和氨化车间。</w:t>
      </w:r>
    </w:p>
    <w:p>
      <w:pPr>
        <w:spacing w:line="600" w:lineRule="exact"/>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lang w:val="en-US" w:eastAsia="zh-CN"/>
        </w:rPr>
        <w:t>依托的成品库一和成品库二布置在该项目南部，盐酸罐区、硫酸罐区布置在该项目西北部。</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eastAsia="宋体" w:cs="Times New Roman"/>
          <w:color w:val="auto"/>
          <w:sz w:val="28"/>
          <w:szCs w:val="28"/>
          <w:lang w:eastAsia="zh-CN"/>
        </w:rPr>
        <w:t>盐酸、硫酸罐区</w:t>
      </w:r>
      <w:r>
        <w:rPr>
          <w:rFonts w:hint="default" w:ascii="Times New Roman" w:hAnsi="Times New Roman" w:cs="Times New Roman"/>
          <w:color w:val="auto"/>
          <w:lang w:eastAsia="zh-CN"/>
        </w:rPr>
        <w:t>南侧设有泵区和装卸车区。</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各功能区之间的布置均按照工艺流程需要进行设计，各建、构筑物之间间距设计完全依据《建筑设计防火规范》GB50016-2014</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lang w:val="en-US" w:eastAsia="zh-CN"/>
        </w:rPr>
        <w:t>2018版</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rPr>
        <w:t>的要求进行确定。且建构筑物与厂区围墙、厂外道路、外部架空电力线的防火间距也能满足规范要求。同时厂区内布置有环形的消防通道。</w:t>
      </w:r>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sz w:val="28"/>
          <w:szCs w:val="28"/>
        </w:rPr>
        <w:t>厂区各建构筑物为行列式布置，大小、高度均结合工艺生产需要进行设计。根据用地周边现状道路情况，厂区在</w:t>
      </w:r>
      <w:r>
        <w:rPr>
          <w:rFonts w:hint="default" w:ascii="Times New Roman" w:hAnsi="Times New Roman" w:cs="Times New Roman"/>
          <w:color w:val="auto"/>
          <w:sz w:val="28"/>
          <w:szCs w:val="28"/>
          <w:lang w:eastAsia="zh-CN"/>
        </w:rPr>
        <w:t>东</w:t>
      </w:r>
      <w:r>
        <w:rPr>
          <w:rFonts w:hint="default" w:ascii="Times New Roman" w:hAnsi="Times New Roman" w:cs="Times New Roman"/>
          <w:color w:val="auto"/>
          <w:sz w:val="28"/>
          <w:szCs w:val="28"/>
        </w:rPr>
        <w:t>侧设置</w:t>
      </w:r>
      <w:r>
        <w:rPr>
          <w:rFonts w:hint="default" w:ascii="Times New Roman" w:hAnsi="Times New Roman" w:cs="Times New Roman"/>
          <w:color w:val="auto"/>
          <w:sz w:val="28"/>
          <w:szCs w:val="28"/>
          <w:lang w:val="en-US" w:eastAsia="zh-CN"/>
        </w:rPr>
        <w:t>2个</w:t>
      </w:r>
      <w:r>
        <w:rPr>
          <w:rFonts w:hint="default" w:ascii="Times New Roman" w:hAnsi="Times New Roman" w:cs="Times New Roman"/>
          <w:color w:val="auto"/>
          <w:sz w:val="28"/>
          <w:szCs w:val="28"/>
          <w:lang w:eastAsia="zh-CN"/>
        </w:rPr>
        <w:t>物流</w:t>
      </w:r>
      <w:r>
        <w:rPr>
          <w:rFonts w:hint="default" w:ascii="Times New Roman" w:hAnsi="Times New Roman" w:cs="Times New Roman"/>
          <w:color w:val="auto"/>
          <w:sz w:val="28"/>
          <w:szCs w:val="28"/>
        </w:rPr>
        <w:t>出入口，在</w:t>
      </w:r>
      <w:r>
        <w:rPr>
          <w:rFonts w:hint="default" w:ascii="Times New Roman" w:hAnsi="Times New Roman" w:cs="Times New Roman"/>
          <w:color w:val="auto"/>
          <w:sz w:val="28"/>
          <w:szCs w:val="28"/>
          <w:lang w:eastAsia="zh-CN"/>
        </w:rPr>
        <w:t>北</w:t>
      </w:r>
      <w:r>
        <w:rPr>
          <w:rFonts w:hint="default" w:ascii="Times New Roman" w:hAnsi="Times New Roman" w:cs="Times New Roman"/>
          <w:color w:val="auto"/>
          <w:sz w:val="28"/>
          <w:szCs w:val="28"/>
        </w:rPr>
        <w:t>侧设置一个</w:t>
      </w:r>
      <w:r>
        <w:rPr>
          <w:rFonts w:hint="default" w:ascii="Times New Roman" w:hAnsi="Times New Roman" w:cs="Times New Roman"/>
          <w:color w:val="auto"/>
          <w:sz w:val="28"/>
          <w:szCs w:val="28"/>
          <w:lang w:eastAsia="zh-CN"/>
        </w:rPr>
        <w:t>化工品</w:t>
      </w:r>
      <w:r>
        <w:rPr>
          <w:rFonts w:hint="default" w:ascii="Times New Roman" w:hAnsi="Times New Roman" w:cs="Times New Roman"/>
          <w:color w:val="auto"/>
          <w:sz w:val="28"/>
          <w:szCs w:val="28"/>
        </w:rPr>
        <w:t>物流出入口。具体布置详见附图总平面布置图。</w:t>
      </w:r>
    </w:p>
    <w:p>
      <w:pPr>
        <w:ind w:firstLine="56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2.竖向设计</w:t>
      </w:r>
    </w:p>
    <w:p>
      <w:pPr>
        <w:ind w:firstLine="56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竖向设计原则：（1）以厂外道路控制标高为基准，综合考虑厂区与外部道路之间的衔接。（2）满足整个厂区雨水排放要求。（3）满足厂内运输及管线敷设要求。</w:t>
      </w:r>
    </w:p>
    <w:p>
      <w:pPr>
        <w:ind w:firstLine="56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该项目建设场地地势经过前期平整后较为平坦，因此，竖向设计方案采用缓坡式连贯单坡竖向设计，由北往南坡降，坡度约1.6%。厂内建构筑物室内外高差设计为24cm。</w:t>
      </w:r>
    </w:p>
    <w:p>
      <w:pPr>
        <w:ind w:firstLine="56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所在场地最高标高为33m，最低标高21m，场地平整后拟设标高为23.5-24m，长江多年平均水位13.85m，历年丰水期平均水位17.25m，历年枯水期平均水位9.5m。50年一遇高水位19.223m，历史最高水位23.03m(1998)。竖向布置根据地形特征，城市规划和防洪要求，有利于厂区内外道路运输，有利于场地排除雨水，合理选定场地标高。</w:t>
      </w:r>
    </w:p>
    <w:p>
      <w:pPr>
        <w:ind w:firstLine="56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园区设有完善的排涝设施，排涝站的标高为13.5m。园区防洪排涝设施为55千瓦轴流排水泵5台，能满足周边企业在强降雨时的排水能力。</w:t>
      </w:r>
    </w:p>
    <w:p>
      <w:pPr>
        <w:ind w:firstLine="56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厂区地表雨水由厂区内排水明沟汇集流进工业园区下水管网中；生产产生的污水流进污水系统，污水经过处理合格并经检测达标后方可外排出厂外，经过工业园区的污水管道排放到工业园区下水管网中。</w:t>
      </w:r>
    </w:p>
    <w:p>
      <w:pPr>
        <w:ind w:firstLine="56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3.交通运输</w:t>
      </w:r>
    </w:p>
    <w:p>
      <w:pPr>
        <w:ind w:firstLine="56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运输方式：汽车运输，自购车辆及利用外部运输市场车辆。</w:t>
      </w:r>
    </w:p>
    <w:p>
      <w:pPr>
        <w:ind w:firstLine="56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4．厂区道路</w:t>
      </w:r>
    </w:p>
    <w:p>
      <w:pPr>
        <w:ind w:firstLine="56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该项目场内道路采用城市郊区型，道路系统的布置除满足生产及人行要求外，还考虑满足消防规范的要求。生产装置区道路成环形布置，并与厂外公路相连。</w:t>
      </w:r>
    </w:p>
    <w:p>
      <w:pPr>
        <w:ind w:firstLine="56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 道路布置：道路布置为方格网环形道路形式，主要道路宽度为14米，其他道路及环行消防通道宽度不小于6米。路面为砼路面，能满足消防车辆错车、转弯等要求。在总平面设计中，各生产界区之间根据消防要求设置消防通道，主要界区周边设置环形道路，各建、构筑物之间距离满足防火间距要求。</w:t>
      </w:r>
    </w:p>
    <w:p>
      <w:pPr>
        <w:ind w:firstLine="56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2）路面结构：车行道及回车场的路面结构如下：240mm厚C30砼面层；300mm厚级配砾石中垫层；素土夯实层（重型击实，压实度大于98%）；总厚度540mm。</w:t>
      </w:r>
    </w:p>
    <w:p>
      <w:pPr>
        <w:ind w:firstLine="56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5.防卫（护）设施</w:t>
      </w:r>
    </w:p>
    <w:p>
      <w:pPr>
        <w:ind w:firstLine="56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1）围墙：厂区采用2.0米高透空围墙与外界分隔开。</w:t>
      </w:r>
    </w:p>
    <w:p>
      <w:pPr>
        <w:ind w:firstLine="56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2）门卫：厂区入口处设有门卫室。</w:t>
      </w:r>
    </w:p>
    <w:p>
      <w:pPr>
        <w:pStyle w:val="4"/>
        <w:bidi w:val="0"/>
        <w:rPr>
          <w:rFonts w:hint="default" w:ascii="Times New Roman" w:hAnsi="Times New Roman" w:cs="Times New Roman"/>
          <w:color w:val="auto"/>
          <w:lang w:val="en-US" w:eastAsia="zh-CN"/>
        </w:rPr>
      </w:pPr>
      <w:bookmarkStart w:id="33" w:name="_Toc24436"/>
      <w:r>
        <w:rPr>
          <w:rFonts w:hint="default" w:ascii="Times New Roman" w:hAnsi="Times New Roman" w:cs="Times New Roman"/>
          <w:color w:val="auto"/>
          <w:lang w:val="en-US" w:eastAsia="zh-CN"/>
        </w:rPr>
        <w:t>2.6建构筑物</w:t>
      </w:r>
      <w:bookmarkEnd w:id="33"/>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1.建构筑物</w:t>
      </w:r>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各建筑物需保证整个流通体系的系统性、合理性，建筑空间内划分在充分满足生产工艺操作和检修等使用功能的基础上，符合化工厂生产的特点，即防火、防爆、防腐蚀、防尘等要求的前提下，做到适用、经济。采用先进的建筑技术和新型的建筑材料。</w:t>
      </w:r>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建筑物装修：所有建筑物外墙均采用外墙涂料饰面，内墙、天棚为中等粉刷，所有构件油漆均为中等油漆。</w:t>
      </w:r>
    </w:p>
    <w:p>
      <w:pPr>
        <w:ind w:firstLine="560" w:firstLineChars="200"/>
        <w:rPr>
          <w:rFonts w:hint="default"/>
          <w:color w:val="auto"/>
          <w:lang w:val="en-US" w:eastAsia="zh-CN"/>
        </w:rPr>
      </w:pPr>
      <w:r>
        <w:rPr>
          <w:rFonts w:hint="default"/>
          <w:color w:val="auto"/>
          <w:lang w:val="en-US" w:eastAsia="zh-CN"/>
        </w:rPr>
        <w:t>墙面：厂房的墙面采用水泥砂浆抹面，内墙面喷（刷）内墙涂料，外墙面喷（刷）外墙面涂料，车间控制楼适当提高装饰标准。楼地面、地坪（非防腐蚀区域）：一般楼、地面、地坪采用水泥砂浆面层。要求较高的建筑的房间采用石材面层或镶贴地面砖，如氨化车间</w:t>
      </w:r>
      <w:r>
        <w:rPr>
          <w:rFonts w:hint="eastAsia"/>
          <w:color w:val="auto"/>
          <w:lang w:val="en-US" w:eastAsia="zh-CN"/>
        </w:rPr>
        <w:t>的</w:t>
      </w:r>
      <w:r>
        <w:rPr>
          <w:rFonts w:hint="default"/>
          <w:color w:val="auto"/>
          <w:lang w:val="en-US" w:eastAsia="zh-CN"/>
        </w:rPr>
        <w:t>控制</w:t>
      </w:r>
      <w:r>
        <w:rPr>
          <w:rFonts w:hint="eastAsia"/>
          <w:color w:val="auto"/>
          <w:lang w:val="en-US" w:eastAsia="zh-CN"/>
        </w:rPr>
        <w:t>室</w:t>
      </w:r>
      <w:r>
        <w:rPr>
          <w:rFonts w:hint="default"/>
          <w:color w:val="auto"/>
          <w:lang w:val="en-US" w:eastAsia="zh-CN"/>
        </w:rPr>
        <w:t>、</w:t>
      </w:r>
      <w:r>
        <w:rPr>
          <w:rFonts w:hint="eastAsia"/>
          <w:color w:val="auto"/>
          <w:lang w:val="en-US" w:eastAsia="zh-CN"/>
        </w:rPr>
        <w:t>配电间</w:t>
      </w:r>
      <w:r>
        <w:rPr>
          <w:rFonts w:hint="default"/>
          <w:color w:val="auto"/>
          <w:lang w:val="en-US" w:eastAsia="zh-CN"/>
        </w:rPr>
        <w:t>等。氨化车间二层设置的控制室则要求铺装防静电屏蔽地板。</w:t>
      </w:r>
    </w:p>
    <w:p>
      <w:pPr>
        <w:ind w:firstLine="560" w:firstLineChars="200"/>
        <w:rPr>
          <w:rFonts w:hint="default"/>
          <w:color w:val="auto"/>
          <w:lang w:val="en-US" w:eastAsia="zh-CN"/>
        </w:rPr>
      </w:pPr>
      <w:r>
        <w:rPr>
          <w:rFonts w:hint="default"/>
          <w:color w:val="auto"/>
          <w:lang w:val="en-US" w:eastAsia="zh-CN"/>
        </w:rPr>
        <w:t>严格执行建设部、国家建材局规定，框架填充墙禁止使用实心粘土砖，采用加气混凝土空心砌块或其它新型墙体材料。</w:t>
      </w:r>
    </w:p>
    <w:p>
      <w:pPr>
        <w:ind w:firstLine="560" w:firstLineChars="200"/>
        <w:rPr>
          <w:rFonts w:hint="default"/>
          <w:color w:val="auto"/>
          <w:lang w:val="en-US" w:eastAsia="zh-CN"/>
        </w:rPr>
      </w:pPr>
      <w:r>
        <w:rPr>
          <w:rFonts w:hint="default"/>
          <w:color w:val="auto"/>
          <w:lang w:val="en-US" w:eastAsia="zh-CN"/>
        </w:rPr>
        <w:t>门窗：各装置建筑物、辅助建筑之门窗，采用PVC塑钢窗，钢木大门、木门。门窗的设置满足自然采光和自然通风的要求。</w:t>
      </w:r>
    </w:p>
    <w:p>
      <w:pPr>
        <w:ind w:firstLine="560" w:firstLineChars="200"/>
        <w:rPr>
          <w:rFonts w:hint="default"/>
          <w:color w:val="auto"/>
          <w:lang w:val="en-US" w:eastAsia="zh-CN"/>
        </w:rPr>
      </w:pPr>
      <w:r>
        <w:rPr>
          <w:rFonts w:hint="default"/>
          <w:color w:val="auto"/>
          <w:lang w:val="en-US" w:eastAsia="zh-CN"/>
        </w:rPr>
        <w:t>防火：</w:t>
      </w:r>
      <w:r>
        <w:rPr>
          <w:rFonts w:hint="eastAsia"/>
          <w:color w:val="auto"/>
          <w:lang w:val="en-US" w:eastAsia="zh-CN"/>
        </w:rPr>
        <w:t>该项目</w:t>
      </w:r>
      <w:r>
        <w:rPr>
          <w:rFonts w:hint="default"/>
          <w:color w:val="auto"/>
          <w:lang w:val="en-US" w:eastAsia="zh-CN"/>
        </w:rPr>
        <w:t>建、构筑物耐火等级均达到II级。</w:t>
      </w:r>
    </w:p>
    <w:p>
      <w:pPr>
        <w:ind w:firstLine="560" w:firstLineChars="200"/>
        <w:rPr>
          <w:rFonts w:hint="default"/>
          <w:color w:val="auto"/>
          <w:lang w:val="en-US" w:eastAsia="zh-CN"/>
        </w:rPr>
      </w:pPr>
      <w:r>
        <w:rPr>
          <w:rFonts w:hint="default"/>
          <w:color w:val="auto"/>
          <w:lang w:val="en-US" w:eastAsia="zh-CN"/>
        </w:rPr>
        <w:t>建筑排水、防水：厂房屋面坡度满足排水要求。平屋面排水坡度不小于1/50。屋面防水采用橡塑复合材料或其它新型防水材料，提高防水可靠度。室内、外建筑排水和工业污水分别排放。</w:t>
      </w:r>
    </w:p>
    <w:p>
      <w:pPr>
        <w:ind w:firstLine="560" w:firstLineChars="200"/>
        <w:rPr>
          <w:rFonts w:hint="default"/>
          <w:color w:val="auto"/>
          <w:lang w:val="en-US" w:eastAsia="zh-CN"/>
        </w:rPr>
      </w:pPr>
      <w:r>
        <w:rPr>
          <w:rFonts w:hint="default"/>
          <w:color w:val="auto"/>
          <w:lang w:val="en-US" w:eastAsia="zh-CN"/>
        </w:rPr>
        <w:t>建筑防腐蚀：对于有可能接触酸、碱等腐蚀介质的槽、水池、地坑、地坪、楼地面、地沟等均作防腐蚀面层（如花岗岩、耐酸瓷砖、树脂砂浆面层等），装置建、构筑物基础表面亦相应做防腐蚀处理。梁、柱、墙面、顶棚、钢结构表面等应涂（刷）防腐蚀涂料，按气相腐蚀防护。</w:t>
      </w:r>
    </w:p>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表2.3-1 主要建、构筑物一览表</w:t>
      </w:r>
      <w:r>
        <w:rPr>
          <w:rFonts w:hint="eastAsia" w:cs="Times New Roman"/>
          <w:color w:val="auto"/>
          <w:lang w:val="en-US" w:eastAsia="zh-CN"/>
        </w:rPr>
        <w:t>（预留的建构筑物本报告不予以列出）</w:t>
      </w:r>
    </w:p>
    <w:tbl>
      <w:tblPr>
        <w:tblStyle w:val="19"/>
        <w:tblW w:w="49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36"/>
        <w:gridCol w:w="1829"/>
        <w:gridCol w:w="1209"/>
        <w:gridCol w:w="1164"/>
        <w:gridCol w:w="852"/>
        <w:gridCol w:w="893"/>
        <w:gridCol w:w="742"/>
        <w:gridCol w:w="1354"/>
        <w:gridCol w:w="7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89"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985"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建（构）筑物名称</w:t>
            </w:r>
          </w:p>
        </w:tc>
        <w:tc>
          <w:tcPr>
            <w:tcW w:w="651"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占地</w:t>
            </w:r>
            <w:r>
              <w:rPr>
                <w:rFonts w:hint="default" w:ascii="Times New Roman" w:hAnsi="Times New Roman" w:cs="Times New Roman"/>
                <w:color w:val="auto"/>
                <w:sz w:val="21"/>
                <w:szCs w:val="21"/>
              </w:rPr>
              <w:t>面积</w:t>
            </w:r>
          </w:p>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tc>
        <w:tc>
          <w:tcPr>
            <w:tcW w:w="627"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lang w:eastAsia="zh-CN"/>
              </w:rPr>
              <w:t>建筑</w:t>
            </w:r>
            <w:r>
              <w:rPr>
                <w:rFonts w:hint="default" w:ascii="Times New Roman" w:hAnsi="Times New Roman" w:cs="Times New Roman"/>
                <w:color w:val="auto"/>
                <w:sz w:val="21"/>
                <w:szCs w:val="21"/>
              </w:rPr>
              <w:t>面积（m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vertAlign w:val="baseline"/>
                <w:lang w:eastAsia="zh-CN"/>
              </w:rPr>
              <w:t>）</w:t>
            </w:r>
          </w:p>
        </w:tc>
        <w:tc>
          <w:tcPr>
            <w:tcW w:w="45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层数</w:t>
            </w:r>
            <w:r>
              <w:rPr>
                <w:rFonts w:hint="default" w:ascii="Times New Roman" w:hAnsi="Times New Roman" w:cs="Times New Roman"/>
                <w:color w:val="auto"/>
                <w:sz w:val="21"/>
                <w:szCs w:val="21"/>
                <w:lang w:eastAsia="zh-CN"/>
              </w:rPr>
              <w:t>和高度</w:t>
            </w:r>
          </w:p>
        </w:tc>
        <w:tc>
          <w:tcPr>
            <w:tcW w:w="481"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火灾危险类别</w:t>
            </w:r>
          </w:p>
        </w:tc>
        <w:tc>
          <w:tcPr>
            <w:tcW w:w="400"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耐火等级</w:t>
            </w:r>
          </w:p>
        </w:tc>
        <w:tc>
          <w:tcPr>
            <w:tcW w:w="729"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结构形式</w:t>
            </w:r>
          </w:p>
        </w:tc>
        <w:tc>
          <w:tcPr>
            <w:tcW w:w="378"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4" w:hRule="atLeast"/>
          <w:jc w:val="center"/>
        </w:trPr>
        <w:tc>
          <w:tcPr>
            <w:tcW w:w="289"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85" w:type="pct"/>
            <w:tcBorders>
              <w:tl2br w:val="nil"/>
              <w:tr2bl w:val="nil"/>
            </w:tcBorders>
            <w:noWrap w:val="0"/>
            <w:vAlign w:val="center"/>
          </w:tcPr>
          <w:p>
            <w:pPr>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氨化</w:t>
            </w:r>
            <w:r>
              <w:rPr>
                <w:rFonts w:hint="default" w:ascii="Times New Roman" w:hAnsi="Times New Roman" w:cs="Times New Roman"/>
                <w:color w:val="auto"/>
                <w:sz w:val="21"/>
                <w:szCs w:val="21"/>
              </w:rPr>
              <w:t>车间</w:t>
            </w:r>
          </w:p>
        </w:tc>
        <w:tc>
          <w:tcPr>
            <w:tcW w:w="651" w:type="pct"/>
            <w:tcBorders>
              <w:tl2br w:val="nil"/>
              <w:tr2bl w:val="nil"/>
            </w:tcBorders>
            <w:noWrap w:val="0"/>
            <w:vAlign w:val="center"/>
          </w:tcPr>
          <w:p>
            <w:pPr>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3932.84</w:t>
            </w:r>
          </w:p>
        </w:tc>
        <w:tc>
          <w:tcPr>
            <w:tcW w:w="627" w:type="pct"/>
            <w:tcBorders>
              <w:tl2br w:val="nil"/>
              <w:tr2bl w:val="nil"/>
            </w:tcBorders>
            <w:noWrap w:val="0"/>
            <w:vAlign w:val="center"/>
          </w:tcPr>
          <w:p>
            <w:pPr>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6189.08</w:t>
            </w:r>
          </w:p>
        </w:tc>
        <w:tc>
          <w:tcPr>
            <w:tcW w:w="45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4/23.9</w:t>
            </w:r>
          </w:p>
        </w:tc>
        <w:tc>
          <w:tcPr>
            <w:tcW w:w="481"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丁</w:t>
            </w:r>
          </w:p>
        </w:tc>
        <w:tc>
          <w:tcPr>
            <w:tcW w:w="400"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二</w:t>
            </w:r>
          </w:p>
        </w:tc>
        <w:tc>
          <w:tcPr>
            <w:tcW w:w="72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钢筋混凝土框架结构</w:t>
            </w:r>
          </w:p>
        </w:tc>
        <w:tc>
          <w:tcPr>
            <w:tcW w:w="378"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89"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85" w:type="pct"/>
            <w:tcBorders>
              <w:tl2br w:val="nil"/>
              <w:tr2bl w:val="nil"/>
            </w:tcBorders>
            <w:noWrap w:val="0"/>
            <w:vAlign w:val="center"/>
          </w:tcPr>
          <w:p>
            <w:pPr>
              <w:spacing w:line="240" w:lineRule="auto"/>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原料库</w:t>
            </w:r>
          </w:p>
        </w:tc>
        <w:tc>
          <w:tcPr>
            <w:tcW w:w="651" w:type="pct"/>
            <w:tcBorders>
              <w:tl2br w:val="nil"/>
              <w:tr2bl w:val="nil"/>
            </w:tcBorders>
            <w:noWrap w:val="0"/>
            <w:vAlign w:val="center"/>
          </w:tcPr>
          <w:p>
            <w:pPr>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11307.04</w:t>
            </w:r>
          </w:p>
        </w:tc>
        <w:tc>
          <w:tcPr>
            <w:tcW w:w="627" w:type="pct"/>
            <w:tcBorders>
              <w:tl2br w:val="nil"/>
              <w:tr2bl w:val="nil"/>
            </w:tcBorders>
            <w:noWrap w:val="0"/>
            <w:vAlign w:val="center"/>
          </w:tcPr>
          <w:p>
            <w:pPr>
              <w:spacing w:line="240" w:lineRule="auto"/>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11307.04</w:t>
            </w:r>
          </w:p>
        </w:tc>
        <w:tc>
          <w:tcPr>
            <w:tcW w:w="45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1/15.35</w:t>
            </w:r>
          </w:p>
        </w:tc>
        <w:tc>
          <w:tcPr>
            <w:tcW w:w="481"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戊</w:t>
            </w:r>
          </w:p>
        </w:tc>
        <w:tc>
          <w:tcPr>
            <w:tcW w:w="400"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二</w:t>
            </w:r>
          </w:p>
        </w:tc>
        <w:tc>
          <w:tcPr>
            <w:tcW w:w="72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钢结构</w:t>
            </w:r>
          </w:p>
        </w:tc>
        <w:tc>
          <w:tcPr>
            <w:tcW w:w="378"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89"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985" w:type="pct"/>
            <w:tcBorders>
              <w:tl2br w:val="nil"/>
              <w:tr2bl w:val="nil"/>
            </w:tcBorders>
            <w:noWrap w:val="0"/>
            <w:vAlign w:val="center"/>
          </w:tcPr>
          <w:p>
            <w:pPr>
              <w:spacing w:line="240" w:lineRule="auto"/>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eastAsia="zh-CN"/>
              </w:rPr>
              <w:t>盐酸罐区</w:t>
            </w:r>
          </w:p>
        </w:tc>
        <w:tc>
          <w:tcPr>
            <w:tcW w:w="651" w:type="pct"/>
            <w:tcBorders>
              <w:tl2br w:val="nil"/>
              <w:tr2bl w:val="nil"/>
            </w:tcBorders>
            <w:noWrap w:val="0"/>
            <w:vAlign w:val="center"/>
          </w:tcPr>
          <w:p>
            <w:pPr>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972.06</w:t>
            </w:r>
          </w:p>
        </w:tc>
        <w:tc>
          <w:tcPr>
            <w:tcW w:w="627"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w:t>
            </w:r>
          </w:p>
        </w:tc>
        <w:tc>
          <w:tcPr>
            <w:tcW w:w="455"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1"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戊</w:t>
            </w:r>
          </w:p>
        </w:tc>
        <w:tc>
          <w:tcPr>
            <w:tcW w:w="400"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c>
          <w:tcPr>
            <w:tcW w:w="72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砼</w:t>
            </w:r>
          </w:p>
        </w:tc>
        <w:tc>
          <w:tcPr>
            <w:tcW w:w="378"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89"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985" w:type="pct"/>
            <w:tcBorders>
              <w:tl2br w:val="nil"/>
              <w:tr2bl w:val="nil"/>
            </w:tcBorders>
            <w:noWrap w:val="0"/>
            <w:vAlign w:val="center"/>
          </w:tcPr>
          <w:p>
            <w:pPr>
              <w:spacing w:line="240" w:lineRule="auto"/>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硫酸罐区</w:t>
            </w:r>
          </w:p>
        </w:tc>
        <w:tc>
          <w:tcPr>
            <w:tcW w:w="651" w:type="pct"/>
            <w:tcBorders>
              <w:tl2br w:val="nil"/>
              <w:tr2bl w:val="nil"/>
            </w:tcBorders>
            <w:noWrap w:val="0"/>
            <w:vAlign w:val="center"/>
          </w:tcPr>
          <w:p>
            <w:pPr>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628.86</w:t>
            </w:r>
          </w:p>
        </w:tc>
        <w:tc>
          <w:tcPr>
            <w:tcW w:w="627"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45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481"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乙</w:t>
            </w:r>
          </w:p>
        </w:tc>
        <w:tc>
          <w:tcPr>
            <w:tcW w:w="400"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72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砼</w:t>
            </w:r>
          </w:p>
        </w:tc>
        <w:tc>
          <w:tcPr>
            <w:tcW w:w="378"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新建</w:t>
            </w:r>
          </w:p>
        </w:tc>
      </w:tr>
    </w:tbl>
    <w:p>
      <w:pPr>
        <w:bidi w:val="0"/>
        <w:ind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eastAsia="zh-CN"/>
        </w:rPr>
        <w:t>根据总图的备注：</w:t>
      </w:r>
      <w:r>
        <w:rPr>
          <w:rFonts w:hint="default" w:ascii="Times New Roman" w:hAnsi="Times New Roman" w:cs="Times New Roman"/>
          <w:color w:val="auto"/>
          <w:sz w:val="24"/>
          <w:szCs w:val="24"/>
          <w:lang w:eastAsia="zh-CN"/>
        </w:rPr>
        <w:t>①</w:t>
      </w:r>
      <w:r>
        <w:rPr>
          <w:rFonts w:hint="default" w:ascii="Times New Roman" w:hAnsi="Times New Roman" w:cs="Times New Roman"/>
          <w:color w:val="auto"/>
          <w:sz w:val="24"/>
          <w:szCs w:val="24"/>
        </w:rPr>
        <w:t>依据《建筑防火设计规范（2018版）》GB50016-2014，第3.1.2规定：“当生产过程中使用或产生易燃、可燃物的量较少，不足以构成爆炸或火灾危险时，可按实际情况确定；当符合下述条件之一时，可按火灾危险性较小的部分确定：1，火灾危险性较大的生产部分占本层或本防火分区建筑面积的比例小于5%或丁、戊类厂房内的油漆工段小于10%，且发生火灾事故时不足以蔓延至其他部位或火灾危险性较大的生产部分采取了有效的防火措施。”氨化车间涉及物料除浓硫酸及氨气外均为丁戊类，经设计院计算涉及浓硫酸的生产部分占氨化车间的建筑面积比例远小于5%，氨气与房间比值小于5L/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因此</w:t>
      </w:r>
      <w:r>
        <w:rPr>
          <w:rFonts w:hint="default" w:ascii="Times New Roman" w:hAnsi="Times New Roman" w:cs="Times New Roman"/>
          <w:color w:val="auto"/>
          <w:sz w:val="24"/>
          <w:szCs w:val="24"/>
        </w:rPr>
        <w:t>氨化车间危险性应为丁类。</w:t>
      </w:r>
      <w:r>
        <w:rPr>
          <w:rFonts w:hint="eastAsia" w:cs="Times New Roman"/>
          <w:color w:val="auto"/>
          <w:sz w:val="24"/>
          <w:szCs w:val="24"/>
          <w:lang w:val="en-US" w:eastAsia="zh-CN"/>
        </w:rPr>
        <w:t>②原料库内设有储存丙类包装袋的防火分区，面积约480m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，原料库的</w:t>
      </w:r>
      <w:r>
        <w:rPr>
          <w:rFonts w:hint="default" w:ascii="Times New Roman" w:hAnsi="Times New Roman" w:cs="Times New Roman"/>
          <w:color w:val="auto"/>
          <w:sz w:val="24"/>
          <w:szCs w:val="24"/>
        </w:rPr>
        <w:t>建筑面积</w:t>
      </w:r>
      <w:r>
        <w:rPr>
          <w:rFonts w:hint="default" w:ascii="Times New Roman" w:hAnsi="Times New Roman" w:cs="Times New Roman"/>
          <w:bCs/>
          <w:color w:val="auto"/>
          <w:sz w:val="21"/>
          <w:szCs w:val="21"/>
          <w:lang w:val="en-US" w:eastAsia="zh-CN"/>
        </w:rPr>
        <w:t>11307.04</w:t>
      </w:r>
      <w:r>
        <w:rPr>
          <w:rFonts w:hint="eastAsia" w:ascii="Times New Roman" w:hAnsi="Times New Roman" w:cs="Times New Roman"/>
          <w:bCs/>
          <w:color w:val="auto"/>
          <w:sz w:val="21"/>
          <w:szCs w:val="21"/>
          <w:lang w:val="en-US" w:eastAsia="zh-CN"/>
        </w:rPr>
        <w:t>m，</w:t>
      </w:r>
      <w:r>
        <w:rPr>
          <w:rFonts w:hint="default" w:ascii="Times New Roman" w:hAnsi="Times New Roman" w:cs="Times New Roman"/>
          <w:color w:val="auto"/>
          <w:sz w:val="24"/>
          <w:szCs w:val="24"/>
        </w:rPr>
        <w:t>火灾危险性较大的生产部分占本层或本防火分区建筑面积的比例小于5%</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因此</w:t>
      </w:r>
      <w:r>
        <w:rPr>
          <w:rFonts w:hint="eastAsia" w:cs="Times New Roman"/>
          <w:color w:val="auto"/>
          <w:sz w:val="24"/>
          <w:szCs w:val="24"/>
          <w:lang w:val="en-US" w:eastAsia="zh-CN"/>
        </w:rPr>
        <w:t>原料库</w:t>
      </w:r>
      <w:r>
        <w:rPr>
          <w:rFonts w:hint="default" w:ascii="Times New Roman" w:hAnsi="Times New Roman" w:cs="Times New Roman"/>
          <w:color w:val="auto"/>
          <w:sz w:val="24"/>
          <w:szCs w:val="24"/>
        </w:rPr>
        <w:t>危险性为</w:t>
      </w:r>
      <w:r>
        <w:rPr>
          <w:rFonts w:hint="eastAsia" w:ascii="Times New Roman" w:hAnsi="Times New Roman" w:cs="Times New Roman"/>
          <w:color w:val="auto"/>
          <w:sz w:val="24"/>
          <w:szCs w:val="24"/>
          <w:lang w:val="en-US" w:eastAsia="zh-CN"/>
        </w:rPr>
        <w:t>戊类。</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各建筑物之间的距离见表</w:t>
      </w:r>
      <w:r>
        <w:rPr>
          <w:rFonts w:hint="default" w:ascii="Times New Roman" w:hAnsi="Times New Roman" w:cs="Times New Roman"/>
          <w:color w:val="auto"/>
          <w:lang w:val="en-US" w:eastAsia="zh-CN"/>
        </w:rPr>
        <w:t>2.3-2。</w:t>
      </w:r>
    </w:p>
    <w:p>
      <w:pPr>
        <w:bidi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 xml:space="preserve">2.3-2 </w:t>
      </w:r>
      <w:r>
        <w:rPr>
          <w:rFonts w:hint="default" w:ascii="Times New Roman" w:hAnsi="Times New Roman" w:cs="Times New Roman"/>
          <w:color w:val="auto"/>
          <w:lang w:eastAsia="zh-CN"/>
        </w:rPr>
        <w:t>各建筑物距离一览表</w:t>
      </w:r>
    </w:p>
    <w:tbl>
      <w:tblPr>
        <w:tblStyle w:val="19"/>
        <w:tblW w:w="496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36"/>
        <w:gridCol w:w="1285"/>
        <w:gridCol w:w="686"/>
        <w:gridCol w:w="1719"/>
        <w:gridCol w:w="1136"/>
        <w:gridCol w:w="1132"/>
        <w:gridCol w:w="710"/>
        <w:gridCol w:w="191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345"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697"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建构筑物</w:t>
            </w:r>
          </w:p>
        </w:tc>
        <w:tc>
          <w:tcPr>
            <w:tcW w:w="372"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方位</w:t>
            </w:r>
          </w:p>
        </w:tc>
        <w:tc>
          <w:tcPr>
            <w:tcW w:w="932"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相邻建构筑物</w:t>
            </w:r>
          </w:p>
        </w:tc>
        <w:tc>
          <w:tcPr>
            <w:tcW w:w="616"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拟设</w:t>
            </w:r>
            <w:r>
              <w:rPr>
                <w:rFonts w:hint="default" w:ascii="Times New Roman" w:hAnsi="Times New Roman" w:cs="Times New Roman"/>
                <w:color w:val="auto"/>
                <w:sz w:val="21"/>
                <w:szCs w:val="21"/>
              </w:rPr>
              <w:t>距离</w:t>
            </w:r>
          </w:p>
        </w:tc>
        <w:tc>
          <w:tcPr>
            <w:tcW w:w="614"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规范距离</w:t>
            </w:r>
          </w:p>
        </w:tc>
        <w:tc>
          <w:tcPr>
            <w:tcW w:w="385"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结论</w:t>
            </w:r>
          </w:p>
        </w:tc>
        <w:tc>
          <w:tcPr>
            <w:tcW w:w="1036"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依据规范及条款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3" w:hRule="atLeast"/>
          <w:jc w:val="center"/>
        </w:trPr>
        <w:tc>
          <w:tcPr>
            <w:tcW w:w="3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69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氨化车间（丁）</w:t>
            </w: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北</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原料库（戊）</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19.03</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符合</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3.4.1条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3" w:hRule="atLeast"/>
          <w:jc w:val="center"/>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南</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原有成品库二</w:t>
            </w:r>
            <w:r>
              <w:rPr>
                <w:rFonts w:hint="default" w:ascii="Times New Roman" w:hAnsi="Times New Roman" w:cs="Times New Roman"/>
                <w:color w:val="auto"/>
                <w:sz w:val="21"/>
                <w:szCs w:val="21"/>
                <w:lang w:val="en-US" w:eastAsia="zh-CN"/>
              </w:rPr>
              <w:t>（戊）</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26.18</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符合</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3.4.1条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西</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原有高塔复合肥厂房（戊）</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24.0</w:t>
            </w:r>
            <w:r>
              <w:rPr>
                <w:rFonts w:hint="eastAsia" w:cs="Times New Roman"/>
                <w:color w:val="auto"/>
                <w:sz w:val="21"/>
                <w:szCs w:val="21"/>
                <w:lang w:val="en-US" w:eastAsia="zh-CN"/>
              </w:rPr>
              <w:t>3</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符合</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3.4.1条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3" w:hRule="atLeast"/>
          <w:jc w:val="center"/>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东</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预留空地</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3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69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lang w:val="en-US" w:eastAsia="zh-CN"/>
              </w:rPr>
              <w:t>浓硫酸储罐（乙，充装量不超过80%）</w:t>
            </w: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eastAsia="zh-CN"/>
              </w:rPr>
              <w:t>北</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cs="Times New Roman"/>
                <w:color w:val="auto"/>
                <w:spacing w:val="6"/>
                <w:sz w:val="21"/>
                <w:szCs w:val="21"/>
                <w:lang w:eastAsia="zh-CN"/>
              </w:rPr>
              <w:t>装卸场地</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cs="Times New Roman"/>
                <w:color w:val="auto"/>
                <w:spacing w:val="6"/>
                <w:sz w:val="21"/>
                <w:szCs w:val="21"/>
                <w:lang w:val="en-US" w:eastAsia="zh-CN"/>
              </w:rPr>
              <w:t>36.1</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15</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符合</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4.2.7</w:t>
            </w:r>
            <w:r>
              <w:rPr>
                <w:rFonts w:hint="default" w:ascii="Times New Roman" w:hAnsi="Times New Roman" w:eastAsia="宋体" w:cs="Times New Roman"/>
                <w:color w:val="auto"/>
                <w:spacing w:val="6"/>
                <w:sz w:val="21"/>
                <w:szCs w:val="21"/>
                <w:lang w:val="en-US" w:eastAsia="zh-CN"/>
              </w:rPr>
              <w:t>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cs="Times New Roman"/>
                <w:color w:val="auto"/>
                <w:spacing w:val="6"/>
                <w:sz w:val="21"/>
                <w:szCs w:val="21"/>
                <w:lang w:eastAsia="zh-CN"/>
              </w:rPr>
              <w:t>东</w:t>
            </w:r>
            <w:r>
              <w:rPr>
                <w:rFonts w:hint="default" w:ascii="Times New Roman" w:hAnsi="Times New Roman" w:cs="Times New Roman"/>
                <w:color w:val="auto"/>
                <w:spacing w:val="6"/>
                <w:sz w:val="21"/>
                <w:szCs w:val="21"/>
                <w:lang w:eastAsia="zh-CN"/>
              </w:rPr>
              <w:t>南</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rPr>
            </w:pPr>
            <w:r>
              <w:rPr>
                <w:rFonts w:hint="eastAsia" w:cs="Times New Roman"/>
                <w:color w:val="auto"/>
                <w:spacing w:val="6"/>
                <w:sz w:val="21"/>
                <w:szCs w:val="21"/>
                <w:lang w:val="en-US" w:eastAsia="zh-CN"/>
              </w:rPr>
              <w:t>原有硫酸钾厂房（丁）</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sz w:val="21"/>
                <w:szCs w:val="21"/>
                <w:lang w:val="en-US" w:eastAsia="zh-CN"/>
              </w:rPr>
            </w:pPr>
            <w:r>
              <w:rPr>
                <w:rFonts w:hint="eastAsia" w:cs="Times New Roman"/>
                <w:color w:val="auto"/>
                <w:sz w:val="21"/>
                <w:szCs w:val="21"/>
                <w:lang w:val="en-US" w:eastAsia="zh-CN"/>
              </w:rPr>
              <w:t>25.01</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cs="Times New Roman"/>
                <w:color w:val="auto"/>
                <w:sz w:val="21"/>
                <w:szCs w:val="21"/>
                <w:lang w:val="en-US" w:eastAsia="zh-CN"/>
              </w:rPr>
              <w:t>25</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1"/>
                <w:szCs w:val="21"/>
                <w:lang w:val="en-US" w:eastAsia="zh-CN"/>
              </w:rPr>
              <w:t>符合</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kern w:val="2"/>
                <w:sz w:val="21"/>
                <w:szCs w:val="21"/>
                <w:lang w:val="en-US" w:eastAsia="zh-CN" w:bidi="ar-SA"/>
              </w:rPr>
              <w:t>4.2.</w:t>
            </w:r>
            <w:r>
              <w:rPr>
                <w:rFonts w:hint="eastAsia" w:cs="Times New Roman"/>
                <w:color w:val="auto"/>
                <w:kern w:val="2"/>
                <w:sz w:val="21"/>
                <w:szCs w:val="21"/>
                <w:lang w:val="en-US" w:eastAsia="zh-CN" w:bidi="ar-SA"/>
              </w:rPr>
              <w:t>1</w:t>
            </w:r>
            <w:r>
              <w:rPr>
                <w:rFonts w:hint="default" w:ascii="Times New Roman" w:hAnsi="Times New Roman" w:cs="Times New Roman"/>
                <w:color w:val="auto"/>
                <w:kern w:val="2"/>
                <w:sz w:val="21"/>
                <w:szCs w:val="21"/>
                <w:lang w:val="en-US" w:eastAsia="zh-CN" w:bidi="ar-SA"/>
              </w:rPr>
              <w:t>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rPr>
            </w:pPr>
          </w:p>
        </w:tc>
        <w:tc>
          <w:tcPr>
            <w:tcW w:w="37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kern w:val="2"/>
                <w:sz w:val="21"/>
                <w:szCs w:val="21"/>
                <w:lang w:val="en-US" w:eastAsia="zh-CN" w:bidi="ar-SA"/>
              </w:rPr>
            </w:pPr>
            <w:r>
              <w:rPr>
                <w:rFonts w:hint="default" w:ascii="Times New Roman" w:hAnsi="Times New Roman" w:cs="Times New Roman"/>
                <w:color w:val="auto"/>
                <w:spacing w:val="6"/>
                <w:kern w:val="2"/>
                <w:sz w:val="21"/>
                <w:szCs w:val="21"/>
                <w:lang w:val="en-US" w:eastAsia="zh-CN" w:bidi="ar-SA"/>
              </w:rPr>
              <w:t>东</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盐酸储罐（戊）</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lang w:val="en-US" w:eastAsia="zh-CN"/>
              </w:rPr>
            </w:pPr>
            <w:r>
              <w:rPr>
                <w:rFonts w:hint="eastAsia" w:cs="Times New Roman"/>
                <w:color w:val="auto"/>
                <w:sz w:val="21"/>
                <w:szCs w:val="21"/>
                <w:lang w:val="en-US" w:eastAsia="zh-CN"/>
              </w:rPr>
              <w:t>18</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z w:val="21"/>
                <w:szCs w:val="21"/>
                <w:lang w:val="en-US" w:eastAsia="zh-CN"/>
              </w:rPr>
              <w:t>/</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z w:val="21"/>
                <w:szCs w:val="21"/>
                <w:lang w:val="en-US" w:eastAsia="zh-CN"/>
              </w:rPr>
              <w:t>/</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kern w:val="2"/>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auto"/>
              </w:rPr>
            </w:pPr>
          </w:p>
        </w:tc>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auto"/>
              </w:rPr>
            </w:pPr>
          </w:p>
        </w:tc>
        <w:tc>
          <w:tcPr>
            <w:tcW w:w="3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auto"/>
              </w:rPr>
            </w:pP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lang w:val="en-US" w:eastAsia="zh-CN"/>
              </w:rPr>
            </w:pPr>
            <w:r>
              <w:rPr>
                <w:rFonts w:hint="eastAsia" w:cs="Times New Roman"/>
                <w:color w:val="auto"/>
                <w:spacing w:val="6"/>
                <w:sz w:val="21"/>
                <w:szCs w:val="21"/>
                <w:lang w:val="en-US" w:eastAsia="zh-CN"/>
              </w:rPr>
              <w:t>防火堤</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lang w:val="en-US" w:eastAsia="zh-CN"/>
              </w:rPr>
            </w:pPr>
            <w:r>
              <w:rPr>
                <w:rFonts w:hint="eastAsia" w:cs="Times New Roman"/>
                <w:color w:val="auto"/>
                <w:spacing w:val="6"/>
                <w:sz w:val="21"/>
                <w:szCs w:val="21"/>
                <w:lang w:val="en-US" w:eastAsia="zh-CN"/>
              </w:rPr>
              <w:t>6.48</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lang w:val="en-US" w:eastAsia="zh-CN"/>
              </w:rPr>
            </w:pPr>
            <w:r>
              <w:rPr>
                <w:rFonts w:hint="eastAsia" w:cs="Times New Roman"/>
                <w:color w:val="auto"/>
                <w:spacing w:val="6"/>
                <w:sz w:val="21"/>
                <w:szCs w:val="21"/>
                <w:lang w:val="en-US" w:eastAsia="zh-CN"/>
              </w:rPr>
              <w:t>5.75（0.5D）</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符合</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4.2.</w:t>
            </w:r>
            <w:r>
              <w:rPr>
                <w:rFonts w:hint="eastAsia" w:cs="Times New Roman"/>
                <w:color w:val="auto"/>
                <w:spacing w:val="6"/>
                <w:sz w:val="21"/>
                <w:szCs w:val="21"/>
                <w:lang w:val="en-US" w:eastAsia="zh-CN"/>
              </w:rPr>
              <w:t>5</w:t>
            </w:r>
            <w:r>
              <w:rPr>
                <w:rFonts w:hint="default" w:ascii="Times New Roman" w:hAnsi="Times New Roman" w:cs="Times New Roman"/>
                <w:color w:val="auto"/>
                <w:spacing w:val="6"/>
                <w:sz w:val="21"/>
                <w:szCs w:val="21"/>
                <w:lang w:val="en-US" w:eastAsia="zh-CN"/>
              </w:rPr>
              <w:t>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kern w:val="2"/>
                <w:sz w:val="21"/>
                <w:szCs w:val="21"/>
                <w:lang w:val="en-US" w:eastAsia="zh-CN" w:bidi="ar-SA"/>
              </w:rPr>
              <w:t>西</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sz w:val="21"/>
                <w:szCs w:val="21"/>
                <w:lang w:eastAsia="zh-CN"/>
              </w:rPr>
            </w:pPr>
            <w:r>
              <w:rPr>
                <w:rFonts w:hint="eastAsia" w:cs="Times New Roman"/>
                <w:color w:val="auto"/>
                <w:spacing w:val="6"/>
                <w:sz w:val="21"/>
                <w:szCs w:val="21"/>
                <w:lang w:val="en-US" w:eastAsia="zh-CN"/>
              </w:rPr>
              <w:t>用地红线</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2</w:t>
            </w:r>
            <w:r>
              <w:rPr>
                <w:rFonts w:hint="eastAsia" w:cs="Times New Roman"/>
                <w:color w:val="auto"/>
                <w:spacing w:val="6"/>
                <w:sz w:val="21"/>
                <w:szCs w:val="21"/>
                <w:lang w:val="en-US" w:eastAsia="zh-CN"/>
              </w:rPr>
              <w:t>9.10</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3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bookmarkStart w:id="34" w:name="_Toc8513"/>
            <w:r>
              <w:rPr>
                <w:rFonts w:hint="default" w:ascii="Times New Roman" w:hAnsi="Times New Roman" w:cs="Times New Roman"/>
                <w:color w:val="auto"/>
                <w:sz w:val="21"/>
                <w:szCs w:val="21"/>
                <w:lang w:val="en-US" w:eastAsia="zh-CN"/>
              </w:rPr>
              <w:t>3</w:t>
            </w:r>
          </w:p>
        </w:tc>
        <w:tc>
          <w:tcPr>
            <w:tcW w:w="69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原料库</w:t>
            </w:r>
            <w:r>
              <w:rPr>
                <w:rFonts w:hint="default" w:ascii="Times New Roman" w:hAnsi="Times New Roman" w:eastAsia="宋体" w:cs="Times New Roman"/>
                <w:color w:val="auto"/>
                <w:spacing w:val="6"/>
                <w:sz w:val="21"/>
                <w:szCs w:val="21"/>
                <w:lang w:eastAsia="zh-CN"/>
              </w:rPr>
              <w:t>（戊）</w:t>
            </w: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kern w:val="2"/>
                <w:sz w:val="21"/>
                <w:szCs w:val="21"/>
                <w:lang w:val="en-US" w:eastAsia="zh-CN" w:bidi="ar-SA"/>
              </w:rPr>
            </w:pPr>
            <w:r>
              <w:rPr>
                <w:rFonts w:hint="default" w:ascii="Times New Roman" w:hAnsi="Times New Roman" w:cs="Times New Roman"/>
                <w:color w:val="auto"/>
                <w:spacing w:val="6"/>
                <w:kern w:val="2"/>
                <w:sz w:val="21"/>
                <w:szCs w:val="21"/>
                <w:lang w:val="en-US" w:eastAsia="zh-CN" w:bidi="ar-SA"/>
              </w:rPr>
              <w:t>北</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预留空地</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sz w:val="21"/>
                <w:szCs w:val="21"/>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3" w:hRule="atLeast"/>
          <w:jc w:val="center"/>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p>
        </w:tc>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南</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氨化车间（丁）</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19.03</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符合</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3.4.1条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345" w:type="pct"/>
            <w:vMerge w:val="continue"/>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p>
        </w:tc>
        <w:tc>
          <w:tcPr>
            <w:tcW w:w="697" w:type="pct"/>
            <w:vMerge w:val="continue"/>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p>
        </w:tc>
        <w:tc>
          <w:tcPr>
            <w:tcW w:w="372"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西</w:t>
            </w:r>
          </w:p>
        </w:tc>
        <w:tc>
          <w:tcPr>
            <w:tcW w:w="932"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eastAsia="zh-CN"/>
              </w:rPr>
              <w:t>原有</w:t>
            </w:r>
            <w:r>
              <w:rPr>
                <w:rFonts w:hint="default" w:ascii="Times New Roman" w:hAnsi="Times New Roman" w:cs="Times New Roman"/>
                <w:color w:val="auto"/>
                <w:sz w:val="21"/>
                <w:szCs w:val="21"/>
                <w:lang w:eastAsia="zh-CN"/>
              </w:rPr>
              <w:t>高塔原料库二</w:t>
            </w:r>
            <w:r>
              <w:rPr>
                <w:rFonts w:hint="default" w:ascii="Times New Roman" w:hAnsi="Times New Roman" w:cs="Times New Roman"/>
                <w:color w:val="auto"/>
                <w:sz w:val="21"/>
                <w:szCs w:val="21"/>
                <w:lang w:val="en-US" w:eastAsia="zh-CN"/>
              </w:rPr>
              <w:t>（戊）</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24.04</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符合</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3.5.2条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345" w:type="pct"/>
            <w:vMerge w:val="continue"/>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p>
        </w:tc>
        <w:tc>
          <w:tcPr>
            <w:tcW w:w="697" w:type="pct"/>
            <w:vMerge w:val="continue"/>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p>
        </w:tc>
        <w:tc>
          <w:tcPr>
            <w:tcW w:w="372"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东</w:t>
            </w:r>
          </w:p>
        </w:tc>
        <w:tc>
          <w:tcPr>
            <w:tcW w:w="932"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厂区围墙</w:t>
            </w:r>
          </w:p>
        </w:tc>
        <w:tc>
          <w:tcPr>
            <w:tcW w:w="616"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21.27</w:t>
            </w:r>
          </w:p>
        </w:tc>
        <w:tc>
          <w:tcPr>
            <w:tcW w:w="614"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符合</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3.5.5条</w:t>
            </w:r>
          </w:p>
        </w:tc>
      </w:tr>
      <w:bookmarkEnd w:id="34"/>
    </w:tbl>
    <w:p>
      <w:pPr>
        <w:pStyle w:val="4"/>
        <w:bidi w:val="0"/>
        <w:rPr>
          <w:rFonts w:hint="default" w:ascii="Times New Roman" w:hAnsi="Times New Roman" w:cs="Times New Roman"/>
          <w:color w:val="auto"/>
          <w:lang w:val="en-US" w:eastAsia="zh-CN"/>
        </w:rPr>
      </w:pPr>
      <w:bookmarkStart w:id="35" w:name="_Toc16605"/>
      <w:r>
        <w:rPr>
          <w:rFonts w:hint="default" w:ascii="Times New Roman" w:hAnsi="Times New Roman" w:cs="Times New Roman"/>
          <w:color w:val="auto"/>
          <w:lang w:val="en-US" w:eastAsia="zh-CN"/>
        </w:rPr>
        <w:t>2.6主要设备选择</w:t>
      </w:r>
      <w:bookmarkEnd w:id="35"/>
    </w:p>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表2.6-1 主要设备一览表</w:t>
      </w:r>
    </w:p>
    <w:tbl>
      <w:tblPr>
        <w:tblStyle w:val="19"/>
        <w:tblW w:w="49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15"/>
        <w:gridCol w:w="2122"/>
        <w:gridCol w:w="773"/>
        <w:gridCol w:w="3885"/>
        <w:gridCol w:w="1275"/>
        <w:gridCol w:w="7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序号</w:t>
            </w:r>
          </w:p>
        </w:tc>
        <w:tc>
          <w:tcPr>
            <w:tcW w:w="1143"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名 称</w:t>
            </w:r>
          </w:p>
        </w:tc>
        <w:tc>
          <w:tcPr>
            <w:tcW w:w="416"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数（台）</w:t>
            </w:r>
          </w:p>
        </w:tc>
        <w:tc>
          <w:tcPr>
            <w:tcW w:w="2092"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规格型号</w:t>
            </w:r>
          </w:p>
        </w:tc>
        <w:tc>
          <w:tcPr>
            <w:tcW w:w="686"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材料</w:t>
            </w:r>
          </w:p>
        </w:tc>
        <w:tc>
          <w:tcPr>
            <w:tcW w:w="383"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5000" w:type="pct"/>
            <w:gridSpan w:val="6"/>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cs="Times New Roman"/>
                <w:b/>
                <w:bCs/>
                <w:color w:val="auto"/>
                <w:sz w:val="21"/>
                <w:szCs w:val="21"/>
                <w:lang w:val="zh-CN"/>
              </w:rPr>
              <w:t>氨化车间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Borders>
              <w:tl2br w:val="nil"/>
              <w:tr2bl w:val="nil"/>
            </w:tcBorders>
            <w:noWrap w:val="0"/>
            <w:vAlign w:val="center"/>
          </w:tcPr>
          <w:p>
            <w:pPr>
              <w:numPr>
                <w:ilvl w:val="0"/>
                <w:numId w:val="6"/>
              </w:numPr>
              <w:bidi w:val="0"/>
              <w:spacing w:line="240" w:lineRule="auto"/>
              <w:ind w:left="425" w:leftChars="0" w:hanging="425" w:firstLineChars="0"/>
              <w:jc w:val="center"/>
              <w:rPr>
                <w:rFonts w:hint="default" w:ascii="Times New Roman" w:hAnsi="Times New Roman" w:eastAsia="宋体" w:cs="Times New Roman"/>
                <w:color w:val="auto"/>
                <w:sz w:val="21"/>
                <w:szCs w:val="21"/>
                <w:lang w:val="en-US" w:eastAsia="zh-CN"/>
              </w:rPr>
            </w:pPr>
          </w:p>
        </w:tc>
        <w:tc>
          <w:tcPr>
            <w:tcW w:w="1143"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i w:val="0"/>
                <w:iCs w:val="0"/>
                <w:color w:val="auto"/>
                <w:kern w:val="0"/>
                <w:sz w:val="21"/>
                <w:szCs w:val="21"/>
                <w:u w:val="none"/>
                <w:lang w:val="en-US" w:eastAsia="zh-CN" w:bidi="ar"/>
              </w:rPr>
              <w:t>投料区引风机</w:t>
            </w:r>
          </w:p>
        </w:tc>
        <w:tc>
          <w:tcPr>
            <w:tcW w:w="416"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Style w:val="35"/>
                <w:rFonts w:hint="default" w:ascii="Times New Roman" w:hAnsi="Times New Roman" w:cs="Times New Roman"/>
                <w:color w:val="auto"/>
                <w:sz w:val="21"/>
                <w:szCs w:val="21"/>
                <w:lang w:val="en-US" w:eastAsia="zh-CN" w:bidi="ar"/>
              </w:rPr>
              <w:t>Q=42000m</w:t>
            </w:r>
            <w:r>
              <w:rPr>
                <w:rStyle w:val="36"/>
                <w:rFonts w:hint="default" w:ascii="Times New Roman" w:hAnsi="Times New Roman" w:cs="Times New Roman"/>
                <w:color w:val="auto"/>
                <w:sz w:val="21"/>
                <w:szCs w:val="21"/>
                <w:lang w:val="en-US" w:eastAsia="zh-CN" w:bidi="ar"/>
              </w:rPr>
              <w:t>3</w:t>
            </w:r>
            <w:r>
              <w:rPr>
                <w:rStyle w:val="35"/>
                <w:rFonts w:hint="default" w:ascii="Times New Roman" w:hAnsi="Times New Roman" w:cs="Times New Roman"/>
                <w:color w:val="auto"/>
                <w:sz w:val="21"/>
                <w:szCs w:val="21"/>
                <w:lang w:val="en-US" w:eastAsia="zh-CN" w:bidi="ar"/>
              </w:rPr>
              <w:t>/h；P=5300P；</w:t>
            </w:r>
            <w:r>
              <w:rPr>
                <w:rFonts w:hint="default" w:ascii="Times New Roman" w:hAnsi="Times New Roman" w:eastAsia="宋体" w:cs="Times New Roman"/>
                <w:i w:val="0"/>
                <w:iCs w:val="0"/>
                <w:color w:val="auto"/>
                <w:kern w:val="0"/>
                <w:sz w:val="21"/>
                <w:szCs w:val="21"/>
                <w:u w:val="none"/>
                <w:lang w:val="en-US" w:eastAsia="zh-CN" w:bidi="ar"/>
              </w:rPr>
              <w:t>n=1450r/min</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附电机:N=YE4-280M-4-90KW</w:t>
            </w:r>
            <w:r>
              <w:rPr>
                <w:rFonts w:hint="default" w:ascii="Times New Roman" w:hAnsi="Times New Roman" w:cs="Times New Roman"/>
                <w:i w:val="0"/>
                <w:iCs w:val="0"/>
                <w:color w:val="auto"/>
                <w:sz w:val="21"/>
                <w:szCs w:val="21"/>
                <w:u w:val="none"/>
                <w:lang w:eastAsia="zh-CN"/>
              </w:rPr>
              <w:t>；</w:t>
            </w:r>
            <w:r>
              <w:rPr>
                <w:rFonts w:hint="default" w:ascii="Times New Roman" w:hAnsi="Times New Roman" w:eastAsia="宋体" w:cs="Times New Roman"/>
                <w:i w:val="0"/>
                <w:iCs w:val="0"/>
                <w:color w:val="auto"/>
                <w:kern w:val="0"/>
                <w:sz w:val="21"/>
                <w:szCs w:val="21"/>
                <w:u w:val="none"/>
                <w:lang w:val="en-US" w:eastAsia="zh-CN" w:bidi="ar"/>
              </w:rPr>
              <w:t>工作温度：20-50℃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工作介质：带粉尘空气</w:t>
            </w:r>
            <w:r>
              <w:rPr>
                <w:rFonts w:hint="default" w:ascii="Times New Roman" w:hAnsi="Times New Roman" w:cs="Times New Roman"/>
                <w:i w:val="0"/>
                <w:iCs w:val="0"/>
                <w:color w:val="auto"/>
                <w:sz w:val="21"/>
                <w:szCs w:val="21"/>
                <w:u w:val="none"/>
                <w:lang w:eastAsia="zh-CN"/>
              </w:rPr>
              <w:t>；</w:t>
            </w:r>
            <w:r>
              <w:rPr>
                <w:rFonts w:hint="default" w:ascii="Times New Roman" w:hAnsi="Times New Roman" w:eastAsia="宋体" w:cs="Times New Roman"/>
                <w:i w:val="0"/>
                <w:iCs w:val="0"/>
                <w:color w:val="auto"/>
                <w:kern w:val="0"/>
                <w:sz w:val="21"/>
                <w:szCs w:val="21"/>
                <w:u w:val="none"/>
                <w:lang w:val="en-US" w:eastAsia="zh-CN" w:bidi="ar"/>
              </w:rPr>
              <w:t>风机旋向：7-41NO11D右90</w:t>
            </w:r>
            <w:r>
              <w:rPr>
                <w:rFonts w:hint="default" w:ascii="Times New Roman" w:hAnsi="Times New Roman" w:cs="Times New Roman"/>
                <w:i w:val="0"/>
                <w:iCs w:val="0"/>
                <w:color w:val="auto"/>
                <w:kern w:val="0"/>
                <w:sz w:val="21"/>
                <w:szCs w:val="21"/>
                <w:u w:val="none"/>
                <w:lang w:val="en-US" w:eastAsia="zh-CN" w:bidi="ar"/>
              </w:rPr>
              <w:t>；常压</w:t>
            </w:r>
          </w:p>
        </w:tc>
        <w:tc>
          <w:tcPr>
            <w:tcW w:w="686"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Q235-A</w:t>
            </w:r>
          </w:p>
        </w:tc>
        <w:tc>
          <w:tcPr>
            <w:tcW w:w="383"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Borders>
              <w:tl2br w:val="nil"/>
              <w:tr2bl w:val="nil"/>
            </w:tcBorders>
            <w:noWrap w:val="0"/>
            <w:vAlign w:val="center"/>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一烘热风机</w:t>
            </w:r>
          </w:p>
        </w:tc>
        <w:tc>
          <w:tcPr>
            <w:tcW w:w="416"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tcBorders>
              <w:tl2br w:val="nil"/>
              <w:tr2bl w:val="nil"/>
            </w:tcBorders>
            <w:noWrap w:val="0"/>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sz w:val="21"/>
                <w:szCs w:val="21"/>
                <w:u w:val="none"/>
              </w:rPr>
            </w:pPr>
            <w:r>
              <w:rPr>
                <w:rStyle w:val="35"/>
                <w:rFonts w:hint="default" w:ascii="Times New Roman" w:hAnsi="Times New Roman" w:cs="Times New Roman"/>
                <w:color w:val="auto"/>
                <w:sz w:val="21"/>
                <w:szCs w:val="21"/>
                <w:lang w:val="en-US" w:eastAsia="zh-CN" w:bidi="ar"/>
              </w:rPr>
              <w:t xml:space="preserve"> Q=80000m</w:t>
            </w:r>
            <w:r>
              <w:rPr>
                <w:rStyle w:val="36"/>
                <w:rFonts w:hint="default" w:ascii="Times New Roman" w:hAnsi="Times New Roman" w:cs="Times New Roman"/>
                <w:color w:val="auto"/>
                <w:sz w:val="21"/>
                <w:szCs w:val="21"/>
                <w:lang w:val="en-US" w:eastAsia="zh-CN" w:bidi="ar"/>
              </w:rPr>
              <w:t>3</w:t>
            </w:r>
            <w:r>
              <w:rPr>
                <w:rStyle w:val="35"/>
                <w:rFonts w:hint="default" w:ascii="Times New Roman" w:hAnsi="Times New Roman" w:cs="Times New Roman"/>
                <w:color w:val="auto"/>
                <w:sz w:val="21"/>
                <w:szCs w:val="21"/>
                <w:lang w:val="en-US" w:eastAsia="zh-CN" w:bidi="ar"/>
              </w:rPr>
              <w:t>/h； P=1700Pa；</w:t>
            </w:r>
            <w:r>
              <w:rPr>
                <w:rFonts w:hint="default" w:ascii="Times New Roman" w:hAnsi="Times New Roman" w:eastAsia="宋体" w:cs="Times New Roman"/>
                <w:i w:val="0"/>
                <w:iCs w:val="0"/>
                <w:color w:val="auto"/>
                <w:kern w:val="0"/>
                <w:sz w:val="21"/>
                <w:szCs w:val="21"/>
                <w:u w:val="none"/>
                <w:lang w:val="en-US" w:eastAsia="zh-CN" w:bidi="ar"/>
              </w:rPr>
              <w:t>n=960r/min</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附电机:YE4-280M-6-55KW</w:t>
            </w:r>
            <w:r>
              <w:rPr>
                <w:rFonts w:hint="default" w:ascii="Times New Roman" w:hAnsi="Times New Roman" w:cs="Times New Roman"/>
                <w:i w:val="0"/>
                <w:iCs w:val="0"/>
                <w:color w:val="auto"/>
                <w:sz w:val="21"/>
                <w:szCs w:val="21"/>
                <w:u w:val="none"/>
                <w:lang w:eastAsia="zh-CN"/>
              </w:rPr>
              <w:t>；</w:t>
            </w:r>
            <w:r>
              <w:rPr>
                <w:rFonts w:hint="default" w:ascii="Times New Roman" w:hAnsi="Times New Roman" w:eastAsia="宋体" w:cs="Times New Roman"/>
                <w:i w:val="0"/>
                <w:iCs w:val="0"/>
                <w:color w:val="auto"/>
                <w:kern w:val="0"/>
                <w:sz w:val="21"/>
                <w:szCs w:val="21"/>
                <w:u w:val="none"/>
                <w:lang w:val="en-US" w:eastAsia="zh-CN" w:bidi="ar"/>
              </w:rPr>
              <w:t>工作温度：100-600℃</w:t>
            </w:r>
            <w:r>
              <w:rPr>
                <w:rFonts w:hint="default" w:ascii="Times New Roman" w:hAnsi="Times New Roman" w:cs="Times New Roman"/>
                <w:i w:val="0"/>
                <w:iCs w:val="0"/>
                <w:color w:val="auto"/>
                <w:kern w:val="0"/>
                <w:sz w:val="21"/>
                <w:szCs w:val="21"/>
                <w:u w:val="none"/>
                <w:lang w:val="en-US" w:eastAsia="zh-CN" w:bidi="ar"/>
              </w:rPr>
              <w:t>；常压</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2"/>
                <w:sz w:val="21"/>
                <w:szCs w:val="21"/>
                <w:u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工作介质：热空气</w:t>
            </w:r>
            <w:r>
              <w:rPr>
                <w:rFonts w:hint="default" w:ascii="Times New Roman" w:hAnsi="Times New Roman" w:cs="Times New Roman"/>
                <w:i w:val="0"/>
                <w:iCs w:val="0"/>
                <w:color w:val="auto"/>
                <w:sz w:val="21"/>
                <w:szCs w:val="21"/>
                <w:u w:val="none"/>
                <w:lang w:eastAsia="zh-CN"/>
              </w:rPr>
              <w:t>；</w:t>
            </w:r>
            <w:r>
              <w:rPr>
                <w:rFonts w:hint="default" w:ascii="Times New Roman" w:hAnsi="Times New Roman" w:eastAsia="宋体" w:cs="Times New Roman"/>
                <w:i w:val="0"/>
                <w:iCs w:val="0"/>
                <w:color w:val="auto"/>
                <w:kern w:val="0"/>
                <w:sz w:val="21"/>
                <w:szCs w:val="21"/>
                <w:u w:val="none"/>
                <w:lang w:val="en-US" w:eastAsia="zh-CN" w:bidi="ar"/>
              </w:rPr>
              <w:t>6-51No14.5C右90°</w:t>
            </w:r>
          </w:p>
        </w:tc>
        <w:tc>
          <w:tcPr>
            <w:tcW w:w="686"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SS310S</w:t>
            </w:r>
          </w:p>
        </w:tc>
        <w:tc>
          <w:tcPr>
            <w:tcW w:w="383"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造粒尾气风机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Q=37000m3/h；P=5300Pa；n=1450r/min；附电机:YE4-280S-4-75kw；工作温度：70°Ｃ</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zh-CN" w:eastAsia="zh-CN" w:bidi="ar"/>
              </w:rPr>
            </w:pPr>
            <w:r>
              <w:rPr>
                <w:rFonts w:hint="default" w:ascii="Times New Roman" w:hAnsi="Times New Roman" w:eastAsia="宋体" w:cs="Times New Roman"/>
                <w:i w:val="0"/>
                <w:iCs w:val="0"/>
                <w:color w:val="auto"/>
                <w:kern w:val="0"/>
                <w:sz w:val="21"/>
                <w:szCs w:val="21"/>
                <w:u w:val="none"/>
                <w:lang w:val="en-US" w:eastAsia="zh-CN" w:bidi="ar"/>
              </w:rPr>
              <w:t>7-41NO11C右90；工作介质：含尘烟气、空气、水蒸汽</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Style w:val="37"/>
                <w:rFonts w:hint="default" w:ascii="Times New Roman" w:hAnsi="Times New Roman" w:cs="Times New Roman"/>
                <w:color w:val="auto"/>
                <w:sz w:val="21"/>
                <w:szCs w:val="21"/>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一烘尾气风机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sz w:val="21"/>
                <w:szCs w:val="21"/>
                <w:u w:val="none"/>
              </w:rPr>
            </w:pPr>
            <w:r>
              <w:rPr>
                <w:rStyle w:val="35"/>
                <w:rFonts w:hint="default" w:ascii="Times New Roman" w:hAnsi="Times New Roman" w:cs="Times New Roman"/>
                <w:color w:val="auto"/>
                <w:sz w:val="21"/>
                <w:szCs w:val="21"/>
                <w:lang w:val="en-US" w:eastAsia="zh-CN" w:bidi="ar"/>
              </w:rPr>
              <w:t>Q=80000m</w:t>
            </w:r>
            <w:r>
              <w:rPr>
                <w:rStyle w:val="36"/>
                <w:rFonts w:hint="default" w:ascii="Times New Roman" w:hAnsi="Times New Roman" w:cs="Times New Roman"/>
                <w:color w:val="auto"/>
                <w:sz w:val="21"/>
                <w:szCs w:val="21"/>
                <w:lang w:val="en-US" w:eastAsia="zh-CN" w:bidi="ar"/>
              </w:rPr>
              <w:t>3</w:t>
            </w:r>
            <w:r>
              <w:rPr>
                <w:rStyle w:val="35"/>
                <w:rFonts w:hint="default" w:ascii="Times New Roman" w:hAnsi="Times New Roman" w:cs="Times New Roman"/>
                <w:color w:val="auto"/>
                <w:sz w:val="21"/>
                <w:szCs w:val="21"/>
                <w:lang w:val="en-US" w:eastAsia="zh-CN" w:bidi="ar"/>
              </w:rPr>
              <w:t>/h；P=5300Pa</w:t>
            </w:r>
            <w:r>
              <w:rPr>
                <w:rFonts w:hint="default" w:ascii="Times New Roman" w:hAnsi="Times New Roman" w:cs="Times New Roman"/>
                <w:i w:val="0"/>
                <w:iCs w:val="0"/>
                <w:color w:val="auto"/>
                <w:sz w:val="21"/>
                <w:szCs w:val="21"/>
                <w:u w:val="none"/>
                <w:lang w:eastAsia="zh-CN"/>
              </w:rPr>
              <w:t>；</w:t>
            </w:r>
            <w:r>
              <w:rPr>
                <w:rFonts w:hint="default" w:ascii="Times New Roman" w:hAnsi="Times New Roman" w:eastAsia="宋体" w:cs="Times New Roman"/>
                <w:i w:val="0"/>
                <w:iCs w:val="0"/>
                <w:color w:val="auto"/>
                <w:kern w:val="0"/>
                <w:sz w:val="21"/>
                <w:szCs w:val="21"/>
                <w:u w:val="none"/>
                <w:lang w:val="en-US" w:eastAsia="zh-CN" w:bidi="ar"/>
              </w:rPr>
              <w:t xml:space="preserve">n=1450r/min </w:t>
            </w:r>
            <w:r>
              <w:rPr>
                <w:rFonts w:hint="default" w:ascii="Times New Roman" w:hAnsi="Times New Roman" w:cs="Times New Roman"/>
                <w:i w:val="0"/>
                <w:iCs w:val="0"/>
                <w:color w:val="auto"/>
                <w:sz w:val="21"/>
                <w:szCs w:val="21"/>
                <w:u w:val="none"/>
                <w:lang w:eastAsia="zh-CN"/>
              </w:rPr>
              <w:t>；</w:t>
            </w:r>
            <w:r>
              <w:rPr>
                <w:rFonts w:hint="default" w:ascii="Times New Roman" w:hAnsi="Times New Roman" w:eastAsia="宋体" w:cs="Times New Roman"/>
                <w:i w:val="0"/>
                <w:iCs w:val="0"/>
                <w:color w:val="auto"/>
                <w:kern w:val="0"/>
                <w:sz w:val="21"/>
                <w:szCs w:val="21"/>
                <w:u w:val="none"/>
                <w:lang w:val="en-US" w:eastAsia="zh-CN" w:bidi="ar"/>
              </w:rPr>
              <w:t>附电机:YE4-315L-4-185kw</w:t>
            </w:r>
            <w:r>
              <w:rPr>
                <w:rFonts w:hint="default" w:ascii="Times New Roman" w:hAnsi="Times New Roman" w:cs="Times New Roman"/>
                <w:i w:val="0"/>
                <w:iCs w:val="0"/>
                <w:color w:val="auto"/>
                <w:sz w:val="21"/>
                <w:szCs w:val="21"/>
                <w:u w:val="none"/>
                <w:lang w:eastAsia="zh-CN"/>
              </w:rPr>
              <w:t>；</w:t>
            </w:r>
            <w:r>
              <w:rPr>
                <w:rFonts w:hint="default" w:ascii="Times New Roman" w:hAnsi="Times New Roman" w:eastAsia="宋体" w:cs="Times New Roman"/>
                <w:i w:val="0"/>
                <w:iCs w:val="0"/>
                <w:color w:val="auto"/>
                <w:kern w:val="0"/>
                <w:sz w:val="21"/>
                <w:szCs w:val="21"/>
                <w:u w:val="none"/>
                <w:lang w:val="en-US" w:eastAsia="zh-CN" w:bidi="ar"/>
              </w:rPr>
              <w:t>工作温度：40-80℃</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2"/>
                <w:sz w:val="21"/>
                <w:szCs w:val="21"/>
                <w:u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工作介质：含尘烟气、空气、水蒸汽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一冷尾气风机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Q=80000m3/h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P=5300Pa</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n=1450r/min N=110KW</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附电机:YE4-315L-4-185kw</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工作温度：20-50℃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工作介质：含尘烟气、空气、水蒸汽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二烘尾气风机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Q=54000m3/h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P=5300Pa</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n=1450r/min</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附电机:YE4-315S-4-110KW</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工作温度：20-70℃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工作介质：含尘烟气、空气、水蒸汽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二冷尾气风机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Q=50000m3/h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P=5300Pa</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n=1450r/min N=110KW</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工作温度：70°Ｃ </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风机出口方向：7-41NO12D右90</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工作介质：含尘烟气、空气、水蒸汽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除尘尾气风机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Q=42000m3/h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P=5300Pa</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n=1450r/min N=90KW</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附电机:YE4-280M-4-90KW</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工作温度：20-50℃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风机出口方向：7-41NO11D右90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工作介质：含尘烟气、空气、水蒸汽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罗茨风机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处理风量2000m3/h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风压3500pa</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n=1450r/min N=30KW</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附电机N=30KW</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除湿机配套</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造粒机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φ2600×10000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产量：~30t/h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倾角3.0°,转速:11.6r/min,电机：YE4-315S-6-75KW</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 n=960r/min</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减速机：H2SH09   i=10</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齿轮模数20小齿轮齿数21大齿轮齿数176</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出料含水量及温度:H2O~6-10%,～80℃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物料处理能力60T/h</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第一烘干机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∅3000X27000</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附减速机:H3SH15  i=32</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附电机:YE4-315L1-6-110KW</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斜度2.5°，筒体传速主传动:3.6r/min</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操作温度：180-360°C</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进风温度&lt;500°C，出风温度~85°C</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齿轮模数25，小齿轮数21大齿轮数166</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工作介质：S-NPK颗粒</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Q235-A</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第一冷却机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∅2600X22000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附减速机:ZL100-35.5-I </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附电机:Y315M-6 N=90KW </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斜度4%  筒体传速:3.57r/min</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齿轮模数22小齿轮齿数23大齿轮齿数162</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工作介质：S-NPK颗粒</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Q235-A</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第二烘干机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∅2200X22000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附减速机:H2SH10 i=27</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附电机:YE4-280M-6-55KW</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斜度2.5°，筒体传速:4.6r/min</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齿轮模数18小齿轮齿数21大齿轮齿数156</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操作温度：50-90°C，工作介质：S-NPK颗粒</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进风温度：≤500℃ 出风温度~90℃</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Q235-A</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第二冷却机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∅2200X18000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附减速机:H2SH09 i=28 </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附电机:YE4-280S-6-45KW</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斜度2.5°筒体传速:4.8r/min</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齿轮模数18小齿轮齿数21大齿轮齿数156</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操作温度：50-90°C，工作介质：S-NPK颗粒</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进风温度：≤500℃ 出风温度~90℃</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Q235-A</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板式冷却器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1500X1900X9889（二段半）</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板间工作温度：&lt;40°C  工作压力：0.3MPa</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容器内工作温度&lt;80°C工作压力常压</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板间设计温度：&lt;95°C  工作压力：0.5MPa</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容器内工作温度&lt;90°C设计压力常压</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介质板间循环水，容器间复肥颗粒，密度：1.184</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F=500m2</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SUS304</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一烘热风炉</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额定供热量:480×104KCal/h,输出热气体温度:500~700℃可调</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输出热气体压力:-100Pa～-300Pa</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额定热烟气量:~80000m3/h（550℃）,额定煤气消耗:~Nm3/h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天然气热值~8000kcal/Nm3,压力:~0.3MPa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二烘热风炉</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额定供热量:180×104KCal/h,输出热气体温度:500~700℃可调 </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输出热气体压力:-100Pa～-300Pa</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额定热烟气量:~50000m3/h（400℃）,额定煤气消耗:~Nm3/h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天然气热值~8000kcal/Nm3, 压力:~0.3MPa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磷铵齿辊式破碎机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处理物料能力：15t/h</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进料粒度≤100mm</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出料粒度≤10 mm</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介质：磷酸一铵</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电机：YE4-160L-4  15KW</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减速机：ZQ350-31.5-II</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工作温度：常温</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工作压力：常压</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原料布袋除尘器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处理气量:37000m3/h,</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过滤风速:0.84m/min  </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过滤面积:736m2,</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设备阻力:≤1500Pa</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排放浓度:≤10mg/Nm3</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工作介质：空气、S-NPK粉尘</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工作温度：≤100℃</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清灰方式:气箱脉冲</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原料链式破碎机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Q=30-40t/h（链式）</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附电机：YE4-225S-4 N=37KW 2个</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进料≤100mm  出料≤2达到70%</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工作温度&lt;90°C</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滚筒粗筛</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∅2200X7000 </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 N=30kw</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减速机：H2SH07</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筛体转速15r/min,安装倾角为3.5°</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304不锈钢编织筛网：筛孔4.5*4.5</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链式破碎机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Q=20-40t/h（链式）</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附电机：YE4-180L-4， 22KW*2</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进料≤120mm  出料≤2mm（≥ 60%）</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工作温度：常温</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工作压力：常压</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滚筒细筛</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∅2200X7000</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 N=30kw</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减速机：H2SH07</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筛体转速15r/min,安装倾角为3.5°</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304不锈钢编织筛网：筛孔2.5*2.5,</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滚筒精筛</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∅2200X6000</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附电机:Y185M-6 N=22KW</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减速机：H2SH06</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筛体转速15r/min,安装倾角为3.5°</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304不锈钢编织筛网：筛孔2.5*2.5,</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包膜机扑粉装置</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工作温度：常温</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工作压力：常压</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一烘旋风除尘器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处理气量80000m3/h</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带盘管保温，盘管D20长度不小于100M</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工作温度&lt;90°C</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一烘重力降尘室</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处理气量80000m3/h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 工作温度&lt;90°C</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一烘布袋除尘器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处理气量:61000m3/h,</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过滤风速:0.77m/min  </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过滤面积:1334m2,</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设备阻力:≤1500Pa</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排放浓度:≤10mg/Nm3</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工作介质：空气、S-NPK粉尘</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工作温度：≤100℃</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清灰方式:气箱脉冲</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一冷旋风除尘器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处理气量80000m3/h</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带盘管保温，盘管D20长度不小于100M</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工作温度&lt;90°C</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带盘管保温，盘管D20长度不小于100M</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工作温度&lt;90°C</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一冷重力降尘室</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处理气量80000m3/h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工作温度&lt;90°C</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一冷布袋除尘器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处理气量:75000m3/h,</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过滤风速:0.76m/min  </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过滤面积:1686m2,</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设备阻力:≤1500Pa</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排放浓度:≤10mg/Nm3</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工作介质：空气、S-NPK粉尘</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工作温度：≤100℃</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清灰方式:气箱脉冲</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二烘旋风除尘器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处理气量50000m3/h</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带盘管保温，盘管D20长度不小于100M</w:t>
            </w:r>
          </w:p>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工作温度&lt;90°C</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二烘布袋除尘器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处理气量:42000m3/h,过滤风速:0.8m/min</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过滤面积:889m2,</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设备阻力:≤1500Pa</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排放浓度:≤30mg/Nm3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工作介质：空气、S-NPK粉尘</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工作温度：≤100℃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清灰方式:气箱脉冲</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二冷旋风除尘器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处理气量50000m3/h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带盘管保温，盘管D20长度不小于100M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工作温度&lt;90°C</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二冷布袋除尘器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处理气量:42000m3/h,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过滤风速:0.8m/min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过滤面积:889m2,</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设备阻力:≤1500Pa</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排放浓度:≤10mg/Nm3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工作介质：空气、S-NPK粉尘</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工作温度：≤100℃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清灰方式:气箱脉冲</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电除雾器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处理气量290000m3/h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管内气速&lt;1m/s</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工作温度:60°C </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工作压力：常压</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设计温度：50°C</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设计压力：常压</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玻璃钢</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除尘尾气旋风除尘器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处理气量40000m3/h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带盘管保温，盘管D20长度不小于100M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工作温度&lt;90°C</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除尘尾气布袋除尘器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处理气量:37000m3/h,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过滤风速:0.84m/min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过滤面积:736m2,</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设备阻力:≤1500Pa</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排放浓度:≤10mg/Nm3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工作介质：空气、S-NPK粉尘</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工作温度：≤100℃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清灰方式:气箱脉冲</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滚筒成品筛</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∅1800X5000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 N=15KW</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减速机：H2SH05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筛体转速16r/min,安装倾角为3°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304不锈钢编织筛网：筛孔2.5*2.5,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设计压力：常压</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磷铵溶解给料料仓</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18000x1800x1000(直）x1700（锥）</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介质：粉状磷铵固体；密度1.18</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磷铵溶解槽</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D3000X2000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V=19.2m3</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附搅拌：减速机XLD11-8-43</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电机：N=11KW</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机架SJ90A</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搅拌轴SAφ108×12-1500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搅拌器XJ1200-110CT9(4叶斜45°）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下联轴器GT110 上联轴器TK90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工作温度:90°C 工作压力：常压 设计温度：95°C</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使用压力：常压</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介质：磷铵、氯化钾、硫酸钾、尿素溶液</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SS316L</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磷铵喷浆槽</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D3000X2000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V=19.2m3</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使用温度：90°C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使用压力：常压</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介质：磷铵、氯化钾、硫酸钾、尿素溶液</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附搅拌：减速机XLD11-8-43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电机：N=11KW</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机架SJ90A</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搅拌轴SAφ108×12-1500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搅拌器XJ1200-110CT9(4叶斜45°）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下联轴器GT110 上联轴器TK90</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SS316L</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洗涤水中间槽</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∅4000X4000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V=50m3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附搅拌：减速机XLD11-8-35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电机：N=11KW</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机架SJ90A</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搅拌轴SAφ133×12-3250/1550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搅拌器XJ1500-110CT9(双叶斜45°）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下联轴器GT110 上联轴器TK90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工作温度:60°C 工作压力：常压 设计温度：95°C</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工作介质：H2O、KCL、NH4HPO4等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丁基橡胶+中灰碳砖</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混酸槽</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∅4000X4000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V=50m3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附搅拌：减速机XLD11-8-35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电机：N=11KW</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机架SJ90A</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搅拌轴SAφ133×12-3250/1550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搅拌器XJ1500-110CT9(双叶斜45°）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下联轴器GT110 上联轴器TK90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工作温度:90°C 工作压力：常压 设计温度：95°C</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工作介质：H2O、KCL、NH4HPO4等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Q235-B</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停车卸料仓</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2300X2300X3350X2700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V=22m3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工作温度：常温</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工作压力：常压 设计温度：60°C</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Q235-B</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板冷进料仓</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1600X1600X1900I直高) X1450 V全=5.8m3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工作温度:常温 工作压力：常压 设计温度：60°C</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工作介质：复肥颗粒,密度：1180kg/m3</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Q235B</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包膜油槽</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∅1200X1200 V全=1.36m3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工作介质：设备内:包膜油,伴热管:水蒸汽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工作压力：设备内:常压,伴热管:0.6MPa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工作温度：设备内:90℃,伴热管内:159℃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密度：设备内:998kg/m3,伴热管:3.3kg/m3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Q235B</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成品料仓</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3500X3500X1815X2970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工作压力：常压</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工作温度：常温</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Q235B</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综合洗涤水槽</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9000*9000*2100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附搅拌：减速机XLD7.5-8-35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电机：N=7.5KW</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机架SJ90A</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搅拌轴SAφ133×12-2400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搅拌器XJ1500-110CT9(双叶斜45°）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下联轴器GT110 上联轴器TK90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工作压力：设备内:常压,伴热管:0.6MPa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密度：设备内:998kg/m3,伴热管:3.3kg/m3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工作温度：设备内:90℃,伴热管内:159℃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砼+玻璃钢+碳砖</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返料料仓</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3000X3000X2300I直高) X2300 V全=28.5m3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工作温度:常温 工作压力：常压 设计温度：50°C</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Q235B</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磷铵溶解槽料浆泵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Q=20m3/h H=30m</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316L</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混酸泵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Q=15m3/h H=50m</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附电机: N=15KW</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氟塑料</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包膜油泵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Q=30-150kg/h  H=30m</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N=2.2Kw</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造粒尾气文丘里洗涤循环泵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Q=60m3/h H=26m</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SS316L</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造粒尾气洗涤塔洗涤循环泵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Q=120m3/h H=26m</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SS316L</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一烘文丘里洗涤泵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Q=120m3/h H=26m</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SS316L</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洗涤酸输送泵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Q=40m3/h H=35m</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SS316L</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一洗塔循环泵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Q=200m3/h H=24m</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SS316L</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二洗塔循环泵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Q=200m3/h H=24m</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SS316L</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原料汇总刮板输送机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B=630  L=48125mm,倾角0.85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附电机：N=15KW，减速机：ZSY180-50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电机:YE3-160L-4</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工作温度：~40℃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输送量:100t/h，速度：0.32m/s,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1#原料输送刮板输送机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B=630  L=19305mm,倾角11.275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附电机：N=15KW，减速机：ZSY180-50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电机:YE3-160L-4</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工作温度：~40℃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输送量:100t/h，速度：0.32m/s,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2#原料输送刮板输送机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B=630  L=26030mm,倾角9.67</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附电机：N=15KW，减速机：ZSY180-50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电机:YE3-160L-4</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工作温度：~40℃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输送量:100t/h，速度：0.32m/s,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3#原料输送刮板输送机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B=630  L=18620mm,倾角4.6</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附电机：N=15KW，减速机：ZSY180-50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电机:YE3-160L-4</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工作温度：~40℃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输送量:100t/h，速度：0.32m/s,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造粒机进料斗提机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TH800SH提升高度:C=16091mm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附电机N=30KW,减速机：K157DR200L4/RS/32rpm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工作介质：S-NPK颗粒，工作温度：~80℃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提升量：120t/h，提升速度：1.5m/s，密度：1.18t/m3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每6个尼龙料斗一个304料斗，</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304角钢框架，PP板筒体</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造粒出料皮带机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TD75型 B=1000B L=12790mm17.26度</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LH=3750附电机： N=KW，减速机：</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工作介质：粒状NPK复合肥，密度：1.18t/m3</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工作温度：~40℃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输送量:120t/h，速度：0.5m/s,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一烘出料皮带机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TD75型 B=1000B L=24750mm倾角16</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LH=6860附电机： N=KW，减速机：</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工作介质：粒状NPK复合肥，密度：1.18t/m3</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工作温度：~40℃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输送量:120t/h，速度：0.6m/s,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停车卸料皮带</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TD75型 B=800B L=8350mm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 N=KW，减速机：</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工作介质：粒状NPK复合肥，密度：1.18t/m3</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工作温度：~40℃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输送量:90t/h，速度：0.5m/s,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粗筛大颗粒斗提机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TH630SH提升高度:C=12810mm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附电机N=30KW,减速机：K157DR200L4/RS/32rpm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工作介质：S-NPK颗粒，工作温度：~80℃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提升量：120t/h，提升速度：1.5m/s，密度：1.18t/m3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每6个尼龙料斗一个304料斗，</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304角钢框架，PP板筒体</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粗筛细料皮带</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TD75型 B=630 L=22255mm倾角12.6</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LH=4806附电机： N=KW，减速机：</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工作介质：粒状NPK复合肥，密度：1.18t/m3</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工作温度：~40℃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输送量:90t/h，速度：0.5m/s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细筛成品皮带</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TD75型 B=630B L=24630mm倾角13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 N=KW，减速机：</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工作介质：粒状NPK复合肥，密度：1.18t/m3</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工作温度：~40℃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输送量:90t/h，速度：0.5m/s,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1#细筛细粉返料刮板</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B=630  L=12020mm,倾角8.5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附电机：N=15KW，减速机：ZSY180-50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电机:YE3-160L-4</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工作温度：~40℃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输送量:100t/h，速度：0.32m/s,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2#细筛细粉返料刮板</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B=630  L=8090mm,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附电机：N=15KW，减速机：ZSY180-50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电机:YE3-160L-4</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工作温度：~40℃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输送量:100t/h，速度：0.32m/s,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二烘出料皮带</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TD75型 B=650 L=21650mm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LH=5146附电机： N=KW，减速机：</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工作温度：~40℃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输送量:60t/h，速度：0.5m/s,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1#汇总料返料刮板</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B=400 L=30670mm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 N=KW，减速机：</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工作温度：~40℃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输送量:60t/h，速度：0.5m/s,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二冷出料斗提机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TH500SH提升高度:C=11000mm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附电机N=30KW,减速机：K157DR200L4/RS/32rpm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工作介质：S-NPK颗粒，工作温度：~80℃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提升量：60t/h，提升速度：1.5m/s，密度：1.18t/m3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每6个尼龙料斗一个304料斗，</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304角钢框架，PP板筒体</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1#精筛颗粒出料皮带</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TD75型 B=650 L=14625mm倾角1.35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 N=KW，减速机：</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工作温度：~40℃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输送量:60t/h，速度：0.5m/s,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2#精筛颗粒出料皮带</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TD75型 B=650 L=18090mm倾角</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 N=KW，减速机：</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工作温度：~40℃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输送量:60t/h，速度：0.5m/s,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板冷进料斗提机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TH400SH提升高度:C=20485mm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附电机N=30KW,减速机：K157DR200L4/RS/32rpm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工作介质：S-NPK颗粒，工作温度：~80℃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提升量：50t/h，提升速度：1.5m/s，密度：1.18t/m3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每6个尼龙料斗一个304料斗，</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304角钢框架，PP板筒体</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成品斗提机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TH400SH提升高度:C=26212mm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附电机N=30KW,减速机：K157DR200L4/RS/32rpm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工作介质：S-NPK颗粒，工作温度：~80℃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提升量：50t/h，提升速度：1.5m/s，密度：1.18t/m3</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每6个尼龙料斗一个304料斗</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304角钢框架，PP板筒体</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二烘除尘刮板</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B=400  L=12615mm,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附电机：N=15KW，减速机：ZSY180-50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电机:YE3-160L-4</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工作温度：~40℃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输送量:10t/h，速度：0.32m/s,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二冷除尘刮板</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B=400  L=12615mm,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附电机：N=15KW，减速机：ZSY180-50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电机:YE3-160L-4；工作温度：~40℃；输送量:10t/h，速度：0.32m/s,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2#汇总返料刮板</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B=630  L=19670mm,倾角4.5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附电机：N=15KW，减速机：ZSY180-50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电机:YE3-160L-4</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工作温度：~40℃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3#汇总返料刮板</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B=630  L=20500mm,倾角12.5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附电机：N=15KW，减速机：ZSY180-50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电机:YE3-160L-4</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工作温度：~40℃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一烘除尘刮板</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B=400  L=14745mm,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附电机：N=15KW，减速机：ZSY180-50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电机:YE3-160L-4</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工作温度：~40℃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输送量:10t/h，速度：0.32m/s,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一冷除尘刮板</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B=400  L=12800mm,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附电机：N=15KW，减速机：ZSY180-50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电机:YE3-160L-4</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工作温度：~40℃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输送量:10t/h，速度：0.32m/s,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磷铵斗提机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TH400SH提升高度:C=11760mm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附电机N=11KW,减速机：</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工作介质：S-NPK颗粒，工作温度：~80℃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提升量：50t/h，提升速度：1.5m/s，密度：1.18t/m3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每6个尼龙料斗一个304料斗，</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304角钢框架，PP板筒体</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氨化管式反应器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∅200X7000 全容积:0.2m3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工作温度：&lt;100°C  工作压力：0.5MPa</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设计温度：120°C  设计压力：0.6MPa</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SS316L</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氨酸管式反应器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∅100X5000 全容积:0.2m3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工作温度：&lt;100°C  工作压力：0.5MPa</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设计温度：120°C  设计压力：0.6MPa</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钢衬氮化硅</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1#造粒尾气文丘里洗涤器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喉管直径∅600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工作温度：&lt;70°C  工作压力：常压</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设计温度：90°C  设计压力：常压</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附文丘里循环槽D3250X2000</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2#造粒尾气文丘里洗涤器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喉管直径∅500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工作温度：&lt;70°C  工作压力：常压</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设计温度：90°C  设计压力：常压</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附文丘里循环槽D3000X2000</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板冷出料计量皮带</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输送量：1~40吨/h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操作温度：常温</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操作压力：常压</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皮带带宽：650mm；L=8500mm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电压380V  N=1.5kW  变频</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包装码垛系统</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包装码垛量：~30吨/h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含自动包装机，半自动包装及各一台</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缝包机，倒带机、输送机</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方辊输送机、压包整形输送机</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待码输送机、机器手、托盘输送机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出垛输送机各两台</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尾气烟囱</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D2600*30000(含电除雾高度）</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1#综合尾气洗涤塔</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D6000*15370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处理气量280000M3/H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操作温度&lt;80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操作压力常压</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2#综合尾气洗涤塔</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D6000*15370；处理气量280000M3/H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操作温度&lt;80；操作压力常压</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1#造粒尾气洗涤塔</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D1800*127000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处理气量37000M3/H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操作温度&lt;80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操作压力常压</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返料计量皮带</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输送量：1~40吨/h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操作温度：常温</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操作压力：常压</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皮带带宽：650mm；L=4250mm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电压380V  N=1.5kW  变频</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返料料仓</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3000X5000X1150X4000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工作压力：常压,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Q235B</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磷铵溶解计量皮带</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输送量：1~5吨/h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给料皮带：650mm；L=2000mm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称量皮带：650mm；L=2000mm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散料仓</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4000x24000x4500x4000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介质：尿素、氯化铵等；密度1.5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v=624m³</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原料加料仓</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1800x1800x500x1500</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散料仓加料大块破碎机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双棍破碎机</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处理物料能力0-10T/H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进料力度&lt;50mm </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出料粒度&lt;5MM</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尿素破碎机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笼式破碎机</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处理物料能力0-10T/H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进料力度&lt;50mm</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出料粒度&lt;5MM</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大块破碎机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单棍破碎机</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处理物料能力0-10T/H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进料力度&lt;50mm</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出料粒度&lt;5MM</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大块破碎机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双棍破碎机</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处理物料能力0-10T/H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进料力度&lt;50mm</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出料粒度&lt;5MM</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散料仓加料斗提机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TH630SH提升高度:C=22710mm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附电机N=30KW,减速机：K157DR200L4/RS/32rpm</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工作介质：S-NPK颗粒，工作温度：~80℃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提升量：50t/h，提升速度：1.5m/s，密度：1.18t/m3</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每6个尼龙料斗一个304料斗，304角钢框架，PP板筒体</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原料计量皮带</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输送量：1~10吨/h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介质：氯化钾、磷铵、尿素硫酸铵等固体；操作温度：常温</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操作压力：常压</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皮带带宽：650mm；L=4500mm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散装仓总进料输送刮板</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B=400  L=44500mm,倾角12.5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附电机：N=15KW，减速机：ZSY180-50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电机:YE3-160L-4</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工作温度：~40℃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输送量:10t/h，速度：0.32m/s,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散装各仓进料刮板</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B=400  L=22500mm,倾角12.5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附电机：N=15KW，减速机：ZSY180-50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电机:YE3-160L-4</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工作温度：~40℃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输送量:10t/h，速度：0.32m/s,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返料各仓出料刮板</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B400  L=31800mm,倾角12.5</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附电机：N=15KW，减速机：ZSY180-50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电机:YE3-160L-4</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工作温度：~40℃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输送量:10t/h，速度：0.32m/s,</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氯化钾原料刮板</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输送量：1~10吨/h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MGB500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电压380V   N=7.5kW</w:t>
            </w:r>
            <w:r>
              <w:rPr>
                <w:rFonts w:hint="default" w:ascii="Times New Roman" w:hAnsi="Times New Roman" w:cs="Times New Roman"/>
                <w:i w:val="0"/>
                <w:iCs w:val="0"/>
                <w:color w:val="auto"/>
                <w:kern w:val="0"/>
                <w:sz w:val="21"/>
                <w:szCs w:val="21"/>
                <w:u w:val="none"/>
                <w:lang w:val="en-US" w:eastAsia="zh-CN" w:bidi="ar"/>
              </w:rPr>
              <w:t>；常温、常压</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氯化钾大块破碎</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处理能力0-10t/h</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氯化钾加料斗</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介质：氯化钾固体</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比重：1.95</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Q235B</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氯化钾储斗</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介质：氯化钾固体；比重：1.95</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Q235B</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1"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氯化钾计量皮带</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输送量：1~10吨/h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介质：氯化钾固体；</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操作温度：常温</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操作压力：常压</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皮带带宽：650mm；L=3550mm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氯化钾加料螺旋机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输送量：1~10吨/h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D325X2250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氯化钾斗提机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输送量：1~10吨/h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TH315SH</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C=18540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SS304框架，PP板筒体</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尼龙料斗，每隔六个一个304料斗，304料斗周边大5MM</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氯化钾转化槽</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V=72m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操作温度：110℃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操作压力：-50Pa</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砼+衬胶</w:t>
            </w:r>
          </w:p>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+耐酸砖</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混合料浆槽</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V=24m3</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介质：混合料浆；比重：1.46</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操作温度：110℃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操作压力：常压</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CS+衬胶</w:t>
            </w:r>
          </w:p>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+碳砖</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混合料浆泵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Q=30m3/h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H=35m</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比重:1.46</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操作温度：90℃</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氟塑料</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地下槽</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尺寸∅3000X2000 </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V=14m3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操作温度：90℃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操作压力：常压</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CS+衬胶</w:t>
            </w:r>
          </w:p>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+碳砖</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地下槽泵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Q=15m3/h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H=30m</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操作温度：90℃</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氟塑料</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硫酸中转罐</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V=30m3</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介质：</w:t>
            </w:r>
            <w:r>
              <w:rPr>
                <w:rFonts w:hint="eastAsia" w:cs="Times New Roman"/>
                <w:i w:val="0"/>
                <w:iCs w:val="0"/>
                <w:color w:val="auto"/>
                <w:kern w:val="0"/>
                <w:sz w:val="21"/>
                <w:szCs w:val="21"/>
                <w:u w:val="none"/>
                <w:lang w:val="en-US" w:eastAsia="zh-CN" w:bidi="ar"/>
              </w:rPr>
              <w:t>98%</w:t>
            </w:r>
            <w:r>
              <w:rPr>
                <w:rFonts w:hint="default" w:ascii="Times New Roman" w:hAnsi="Times New Roman" w:eastAsia="宋体" w:cs="Times New Roman"/>
                <w:i w:val="0"/>
                <w:iCs w:val="0"/>
                <w:color w:val="auto"/>
                <w:kern w:val="0"/>
                <w:sz w:val="21"/>
                <w:szCs w:val="21"/>
                <w:u w:val="none"/>
                <w:lang w:val="en-US" w:eastAsia="zh-CN" w:bidi="ar"/>
              </w:rPr>
              <w:t>硫酸；</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操作温度：常温</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操作压力：常压</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碳钢</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硫酸泵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Q=10m3/h</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 H=20m</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操作温度：常温</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碳钢</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降膜冷凝器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∅1400x5860  F=210m2</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操作温度：50℃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操作压力：0.3MPa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Q235B+</w:t>
            </w:r>
          </w:p>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石墨</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第一降膜吸收器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∅1000x5860  F=180m2</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操作温度：50℃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操作压力：0.3MPa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Q235B+</w:t>
            </w:r>
          </w:p>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石墨</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第二降膜吸收器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∅1000x5860  F=180m2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操作温度：50℃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操作压力：0.3MPa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Q235B+</w:t>
            </w:r>
          </w:p>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石墨</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第三降膜吸收器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∅1000x5860  F=150m2</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操作温度：50℃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操作压力：0.3MPa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Q235B+</w:t>
            </w:r>
          </w:p>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石墨</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第四降膜吸收器</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∅1000x5860  F=150m2</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操作温度：50℃；操作压力：0.3MPa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Q235B+</w:t>
            </w:r>
          </w:p>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石墨</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冷凝循环槽</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外形尺寸 ∅2400X3250；V=9.5m3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操作温度：≤80℃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操作压力：-0.002Pa</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一吸循环槽</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外形尺寸 ∅2400X3250；V=9.5m3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操作温度：≤80℃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操作压力：-0.002Pa</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二吸循环槽</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外形尺寸 ∅2400X3250；V=9.5m3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操作温度：≤80℃；操作压力：-0.002Pa</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三吸循环槽</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外形尺寸 ∅2400X3250；V=9.5m3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操作温度：≤80℃；操作压力：-0.002Pa</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四吸循环槽</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外形尺寸 ∅2400X3250；V=9.5m3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操作温度：≤80℃；操作压力：-0.002Pa</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储水槽</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∅3000X1500 V=10m3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操作温度：常温</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操作压力：常压</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Q235B</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冷凝循环泵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Q=40m3/h    H=35m</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氟塑料</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脱硫塔循环泵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Q=40m3/h    H=35m</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氟塑料</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废盐酸泵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Q=20m3/h    H=30m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氟塑料</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吸收循环泵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Q=40m3/h    H=35m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氟塑料</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尾吸塔循环泵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Q=40m3/h    H=35m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氟塑料</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吸收中间风机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Q=12000m3/h   △P=3800Pa</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尾气风机</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Q=12000m3/h   △P=3800Pa</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脱硫洗涤塔</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∅1800x12700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操作温度：&lt;80℃；操作压力：微负压</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1#尾气吸收塔</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∅1800x12700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操作温度：&lt;80℃；操作压力：微负压</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2#尾气吸收塔</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∅1800x12700</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操作温度：&lt;80℃；操作压力：微负压</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尾气烟囱</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∅900X24000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操作温度：45℃</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电动葫芦</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起重量：2t</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起升高度：12m</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5000" w:type="pct"/>
            <w:gridSpan w:val="6"/>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cs="Times New Roman"/>
                <w:color w:val="auto"/>
                <w:sz w:val="21"/>
                <w:szCs w:val="21"/>
                <w:lang w:val="zh-CN"/>
              </w:rPr>
              <w:t>盐酸、硫酸罐区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盐酸储罐</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vertAlign w:val="superscript"/>
                <w:lang w:val="en-US" w:eastAsia="zh-CN" w:bidi="ar"/>
              </w:rPr>
            </w:pPr>
            <w:r>
              <w:rPr>
                <w:rFonts w:hint="default" w:ascii="Times New Roman" w:hAnsi="Times New Roman" w:cs="Times New Roman"/>
                <w:i w:val="0"/>
                <w:iCs w:val="0"/>
                <w:color w:val="auto"/>
                <w:kern w:val="0"/>
                <w:sz w:val="21"/>
                <w:szCs w:val="21"/>
                <w:u w:val="none"/>
                <w:lang w:val="en-US" w:eastAsia="zh-CN" w:bidi="ar"/>
              </w:rPr>
              <w:t>工作温度：常温；工作压力：常压V=1000m</w:t>
            </w:r>
            <w:r>
              <w:rPr>
                <w:rFonts w:hint="default" w:ascii="Times New Roman" w:hAnsi="Times New Roman" w:cs="Times New Roman"/>
                <w:i w:val="0"/>
                <w:iCs w:val="0"/>
                <w:color w:val="auto"/>
                <w:kern w:val="0"/>
                <w:sz w:val="21"/>
                <w:szCs w:val="21"/>
                <w:u w:val="none"/>
                <w:vertAlign w:val="superscript"/>
                <w:lang w:val="en-US" w:eastAsia="zh-CN" w:bidi="ar"/>
              </w:rPr>
              <w:t>3</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FRP</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硫酸储罐</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工作温度：常温；工作压力：常压V=1000m</w:t>
            </w:r>
            <w:r>
              <w:rPr>
                <w:rFonts w:hint="default" w:ascii="Times New Roman" w:hAnsi="Times New Roman" w:cs="Times New Roman"/>
                <w:i w:val="0"/>
                <w:iCs w:val="0"/>
                <w:color w:val="auto"/>
                <w:kern w:val="0"/>
                <w:sz w:val="21"/>
                <w:szCs w:val="21"/>
                <w:u w:val="none"/>
                <w:vertAlign w:val="superscript"/>
                <w:lang w:val="en-US" w:eastAsia="zh-CN" w:bidi="ar"/>
              </w:rPr>
              <w:t>3</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Q235B</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盐酸进料泵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Q=40m3/h    H=35m</w:t>
            </w:r>
            <w:r>
              <w:rPr>
                <w:rFonts w:hint="default" w:ascii="Times New Roman" w:hAnsi="Times New Roman" w:cs="Times New Roman"/>
                <w:i w:val="0"/>
                <w:iCs w:val="0"/>
                <w:color w:val="auto"/>
                <w:kern w:val="0"/>
                <w:sz w:val="21"/>
                <w:szCs w:val="21"/>
                <w:u w:val="none"/>
                <w:lang w:val="en-US" w:eastAsia="zh-CN" w:bidi="ar"/>
              </w:rPr>
              <w:tab/>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盐酸出料泵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Q=40m3/h    H=35m</w:t>
            </w:r>
            <w:r>
              <w:rPr>
                <w:rFonts w:hint="default" w:ascii="Times New Roman" w:hAnsi="Times New Roman" w:cs="Times New Roman"/>
                <w:i w:val="0"/>
                <w:iCs w:val="0"/>
                <w:color w:val="auto"/>
                <w:kern w:val="0"/>
                <w:sz w:val="21"/>
                <w:szCs w:val="21"/>
                <w:u w:val="none"/>
                <w:lang w:val="en-US" w:eastAsia="zh-CN" w:bidi="ar"/>
              </w:rPr>
              <w:tab/>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硫酸进料泵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Q=40m3/h    H=35m</w:t>
            </w:r>
            <w:r>
              <w:rPr>
                <w:rFonts w:hint="default" w:ascii="Times New Roman" w:hAnsi="Times New Roman" w:cs="Times New Roman"/>
                <w:i w:val="0"/>
                <w:iCs w:val="0"/>
                <w:color w:val="auto"/>
                <w:kern w:val="0"/>
                <w:sz w:val="21"/>
                <w:szCs w:val="21"/>
                <w:u w:val="none"/>
                <w:lang w:val="en-US" w:eastAsia="zh-CN" w:bidi="ar"/>
              </w:rPr>
              <w:tab/>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77" w:type="pct"/>
          </w:tcPr>
          <w:p>
            <w:pPr>
              <w:numPr>
                <w:ilvl w:val="0"/>
                <w:numId w:val="6"/>
              </w:numPr>
              <w:bidi w:val="0"/>
              <w:spacing w:line="240" w:lineRule="auto"/>
              <w:ind w:left="425" w:leftChars="0" w:hanging="425" w:firstLineChars="0"/>
              <w:jc w:val="center"/>
              <w:rPr>
                <w:rFonts w:hint="default" w:ascii="Times New Roman" w:hAnsi="Times New Roman" w:cs="Times New Roman"/>
                <w:color w:val="auto"/>
                <w:sz w:val="21"/>
                <w:szCs w:val="21"/>
                <w:lang w:val="en-US" w:eastAsia="zh-CN"/>
              </w:rPr>
            </w:pPr>
          </w:p>
        </w:tc>
        <w:tc>
          <w:tcPr>
            <w:tcW w:w="1143" w:type="pc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硫酸出料泵</w:t>
            </w:r>
          </w:p>
        </w:tc>
        <w:tc>
          <w:tcPr>
            <w:tcW w:w="416" w:type="pct"/>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092" w:type="pct"/>
            <w:vAlign w:val="center"/>
          </w:tcPr>
          <w:p>
            <w:pPr>
              <w:keepNext w:val="0"/>
              <w:keepLines w:val="0"/>
              <w:widowControl/>
              <w:suppressLineNumbers w:val="0"/>
              <w:spacing w:line="240" w:lineRule="auto"/>
              <w:jc w:val="both"/>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Q=40m3/h    H=35m</w:t>
            </w:r>
            <w:r>
              <w:rPr>
                <w:rFonts w:hint="default" w:ascii="Times New Roman" w:hAnsi="Times New Roman" w:cs="Times New Roman"/>
                <w:i w:val="0"/>
                <w:iCs w:val="0"/>
                <w:color w:val="auto"/>
                <w:kern w:val="0"/>
                <w:sz w:val="21"/>
                <w:szCs w:val="21"/>
                <w:u w:val="none"/>
                <w:lang w:val="en-US" w:eastAsia="zh-CN" w:bidi="ar"/>
              </w:rPr>
              <w:tab/>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组合件</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bl>
    <w:p>
      <w:pPr>
        <w:bidi w:val="0"/>
        <w:spacing w:line="240" w:lineRule="auto"/>
        <w:jc w:val="center"/>
        <w:rPr>
          <w:rFonts w:hint="default" w:ascii="Times New Roman" w:hAnsi="Times New Roman" w:eastAsia="宋体" w:cs="Times New Roman"/>
          <w:color w:val="auto"/>
          <w:sz w:val="21"/>
          <w:szCs w:val="21"/>
          <w:lang w:val="zh-CN"/>
        </w:rPr>
      </w:pPr>
    </w:p>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表2.6-2 特种设备一览表</w:t>
      </w:r>
    </w:p>
    <w:tbl>
      <w:tblPr>
        <w:tblStyle w:val="19"/>
        <w:tblW w:w="49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2018"/>
        <w:gridCol w:w="881"/>
        <w:gridCol w:w="4225"/>
        <w:gridCol w:w="990"/>
        <w:gridCol w:w="7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2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序号</w:t>
            </w:r>
          </w:p>
        </w:tc>
        <w:tc>
          <w:tcPr>
            <w:tcW w:w="1087"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名 称</w:t>
            </w:r>
          </w:p>
        </w:tc>
        <w:tc>
          <w:tcPr>
            <w:tcW w:w="47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数（台）</w:t>
            </w:r>
          </w:p>
        </w:tc>
        <w:tc>
          <w:tcPr>
            <w:tcW w:w="227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规格型号</w:t>
            </w: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材料</w:t>
            </w:r>
          </w:p>
        </w:tc>
        <w:tc>
          <w:tcPr>
            <w:tcW w:w="39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2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87"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电动葫芦</w:t>
            </w:r>
          </w:p>
        </w:tc>
        <w:tc>
          <w:tcPr>
            <w:tcW w:w="47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27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起重量：2t；起升高度：12m</w:t>
            </w: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组合件</w:t>
            </w:r>
          </w:p>
        </w:tc>
        <w:tc>
          <w:tcPr>
            <w:tcW w:w="39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29"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087"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cs="Times New Roman"/>
                <w:color w:val="auto"/>
                <w:sz w:val="21"/>
                <w:szCs w:val="21"/>
                <w:lang w:val="zh-CN"/>
              </w:rPr>
              <w:t>叉车</w:t>
            </w:r>
          </w:p>
        </w:tc>
        <w:tc>
          <w:tcPr>
            <w:tcW w:w="47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w:t>
            </w:r>
          </w:p>
        </w:tc>
        <w:tc>
          <w:tcPr>
            <w:tcW w:w="227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cs="Times New Roman"/>
                <w:color w:val="auto"/>
                <w:sz w:val="21"/>
                <w:szCs w:val="21"/>
                <w:lang w:val="zh-CN"/>
              </w:rPr>
              <w:t>内燃式</w:t>
            </w: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cs="Times New Roman"/>
                <w:color w:val="auto"/>
                <w:sz w:val="21"/>
                <w:szCs w:val="21"/>
              </w:rPr>
              <w:t>组合件</w:t>
            </w:r>
          </w:p>
        </w:tc>
        <w:tc>
          <w:tcPr>
            <w:tcW w:w="39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依托原有项目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29"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087"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zh-CN" w:eastAsia="zh-CN" w:bidi="ar"/>
              </w:rPr>
            </w:pPr>
            <w:r>
              <w:rPr>
                <w:rFonts w:hint="default" w:ascii="Times New Roman" w:hAnsi="Times New Roman" w:eastAsia="宋体" w:cs="Times New Roman"/>
                <w:i w:val="0"/>
                <w:iCs w:val="0"/>
                <w:color w:val="auto"/>
                <w:kern w:val="0"/>
                <w:sz w:val="21"/>
                <w:szCs w:val="21"/>
                <w:u w:val="none"/>
                <w:lang w:val="en-US" w:eastAsia="zh-CN" w:bidi="ar"/>
              </w:rPr>
              <w:t>氨化管式反应器</w:t>
            </w:r>
          </w:p>
        </w:tc>
        <w:tc>
          <w:tcPr>
            <w:tcW w:w="475"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275" w:type="pct"/>
            <w:tcBorders>
              <w:tl2br w:val="nil"/>
              <w:tr2bl w:val="nil"/>
            </w:tcBorders>
            <w:noWrap w:val="0"/>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∅200X7000 全容积:0.2m3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工作温度：&lt;100°C  工作压力：0.5MPa</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zh-CN" w:eastAsia="zh-CN" w:bidi="ar"/>
              </w:rPr>
            </w:pPr>
            <w:r>
              <w:rPr>
                <w:rFonts w:hint="default" w:ascii="Times New Roman" w:hAnsi="Times New Roman" w:eastAsia="宋体" w:cs="Times New Roman"/>
                <w:i w:val="0"/>
                <w:iCs w:val="0"/>
                <w:color w:val="auto"/>
                <w:kern w:val="0"/>
                <w:sz w:val="21"/>
                <w:szCs w:val="21"/>
                <w:u w:val="none"/>
                <w:lang w:val="en-US" w:eastAsia="zh-CN" w:bidi="ar"/>
              </w:rPr>
              <w:t>设计温度：120°C  设计压力：0.6MPa</w:t>
            </w:r>
          </w:p>
        </w:tc>
        <w:tc>
          <w:tcPr>
            <w:tcW w:w="533"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SS316L</w:t>
            </w:r>
          </w:p>
        </w:tc>
        <w:tc>
          <w:tcPr>
            <w:tcW w:w="39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0" w:type="auto"/>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zh-CN" w:eastAsia="zh-CN" w:bidi="ar"/>
              </w:rPr>
            </w:pPr>
            <w:r>
              <w:rPr>
                <w:rFonts w:hint="default" w:ascii="Times New Roman" w:hAnsi="Times New Roman" w:eastAsia="宋体" w:cs="Times New Roman"/>
                <w:i w:val="0"/>
                <w:iCs w:val="0"/>
                <w:color w:val="auto"/>
                <w:kern w:val="0"/>
                <w:sz w:val="21"/>
                <w:szCs w:val="21"/>
                <w:u w:val="none"/>
                <w:lang w:val="en-US" w:eastAsia="zh-CN" w:bidi="ar"/>
              </w:rPr>
              <w:t>氨酸管式反应器</w:t>
            </w:r>
          </w:p>
        </w:tc>
        <w:tc>
          <w:tcPr>
            <w:tcW w:w="0" w:type="auto"/>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0" w:type="auto"/>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∅100X5000 全容积:0.2m3</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工作温度：&lt;100°C  工作压力：0.5MPa</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zh-CN" w:eastAsia="zh-CN" w:bidi="ar"/>
              </w:rPr>
            </w:pPr>
            <w:r>
              <w:rPr>
                <w:rFonts w:hint="default" w:ascii="Times New Roman" w:hAnsi="Times New Roman" w:eastAsia="宋体" w:cs="Times New Roman"/>
                <w:i w:val="0"/>
                <w:iCs w:val="0"/>
                <w:color w:val="auto"/>
                <w:kern w:val="0"/>
                <w:sz w:val="21"/>
                <w:szCs w:val="21"/>
                <w:u w:val="none"/>
                <w:lang w:val="en-US" w:eastAsia="zh-CN" w:bidi="ar"/>
              </w:rPr>
              <w:t>设计温度：120°C  设计压力：0.6MPa</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钢衬氮化硅</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0" w:type="auto"/>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第一降膜吸收器</w:t>
            </w:r>
          </w:p>
        </w:tc>
        <w:tc>
          <w:tcPr>
            <w:tcW w:w="0" w:type="auto"/>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0" w:type="auto"/>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∅1000x5860  F=180m2</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操作温度：50℃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操作压力：0.3MPa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Q235B+</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石墨</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0" w:type="auto"/>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第二降膜吸收器</w:t>
            </w:r>
          </w:p>
        </w:tc>
        <w:tc>
          <w:tcPr>
            <w:tcW w:w="0" w:type="auto"/>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0" w:type="auto"/>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∅1000x5860  F=180m2   </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操作温度：50℃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操作压力：0.3MPa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Q235B+</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石墨</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0" w:type="auto"/>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第三降膜吸收器</w:t>
            </w:r>
          </w:p>
        </w:tc>
        <w:tc>
          <w:tcPr>
            <w:tcW w:w="0" w:type="auto"/>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0" w:type="auto"/>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∅1000x5860  F=150m2</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操作温度：50℃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操作压力：0.3MPa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Q235B+</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石墨</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0" w:type="auto"/>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第四降膜吸收器</w:t>
            </w:r>
          </w:p>
        </w:tc>
        <w:tc>
          <w:tcPr>
            <w:tcW w:w="0" w:type="auto"/>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0" w:type="auto"/>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∅1000x5860  F=150m2</w:t>
            </w:r>
          </w:p>
          <w:p>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操作温度：50℃；操作压力：0.3MPa </w:t>
            </w:r>
          </w:p>
        </w:tc>
        <w:tc>
          <w:tcPr>
            <w:tcW w:w="0" w:type="auto"/>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Q235B+</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石墨</w:t>
            </w:r>
          </w:p>
        </w:tc>
        <w:tc>
          <w:tcPr>
            <w:tcW w:w="0" w:type="auto"/>
          </w:tcPr>
          <w:p>
            <w:pPr>
              <w:bidi w:val="0"/>
              <w:spacing w:line="240" w:lineRule="auto"/>
              <w:jc w:val="center"/>
              <w:rPr>
                <w:rFonts w:hint="default" w:ascii="Times New Roman" w:hAnsi="Times New Roman" w:eastAsia="宋体" w:cs="Times New Roman"/>
                <w:color w:val="auto"/>
                <w:sz w:val="21"/>
                <w:szCs w:val="21"/>
                <w:lang w:val="zh-CN"/>
              </w:rPr>
            </w:pPr>
          </w:p>
        </w:tc>
      </w:tr>
    </w:tbl>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2）压力管道：公用工程管道如天然气管道</w:t>
      </w:r>
      <w:r>
        <w:rPr>
          <w:rFonts w:hint="eastAsia" w:cs="Times New Roman"/>
          <w:color w:val="auto"/>
          <w:lang w:val="en-US" w:eastAsia="zh-CN"/>
        </w:rPr>
        <w:t>、蒸汽管道、氨管道</w:t>
      </w:r>
      <w:r>
        <w:rPr>
          <w:rFonts w:hint="default" w:ascii="Times New Roman" w:hAnsi="Times New Roman" w:cs="Times New Roman"/>
          <w:color w:val="auto"/>
          <w:lang w:val="en-US" w:eastAsia="zh-CN"/>
        </w:rPr>
        <w:t>等。</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该项目可研中提供的设备资料不甚详细，设计时应根据企业设备实际选型情况对涉及的特种设备进行辨识。</w:t>
      </w:r>
    </w:p>
    <w:p>
      <w:pPr>
        <w:pStyle w:val="4"/>
        <w:bidi w:val="0"/>
        <w:rPr>
          <w:rFonts w:hint="default" w:ascii="Times New Roman" w:hAnsi="Times New Roman" w:cs="Times New Roman"/>
          <w:color w:val="auto"/>
          <w:lang w:val="en-US" w:eastAsia="zh-CN"/>
        </w:rPr>
      </w:pPr>
      <w:bookmarkStart w:id="36" w:name="_Toc15159"/>
      <w:r>
        <w:rPr>
          <w:rFonts w:hint="default" w:ascii="Times New Roman" w:hAnsi="Times New Roman" w:cs="Times New Roman"/>
          <w:color w:val="auto"/>
          <w:lang w:val="en-US" w:eastAsia="zh-CN"/>
        </w:rPr>
        <w:t>2.7自控技术方案</w:t>
      </w:r>
      <w:bookmarkEnd w:id="36"/>
    </w:p>
    <w:p>
      <w:pPr>
        <w:numPr>
          <w:ilvl w:val="0"/>
          <w:numId w:val="7"/>
        </w:numPr>
        <w:ind w:firstLine="560" w:firstLineChars="200"/>
        <w:rPr>
          <w:rFonts w:hint="eastAsia"/>
          <w:color w:val="auto"/>
          <w:lang w:val="en-US" w:eastAsia="zh-CN"/>
        </w:rPr>
      </w:pPr>
      <w:r>
        <w:rPr>
          <w:rFonts w:hint="eastAsia" w:ascii="Times New Roman" w:eastAsia="宋体"/>
          <w:color w:val="auto"/>
          <w:lang w:val="en-US" w:eastAsia="zh-CN"/>
        </w:rPr>
        <w:t>控制方案</w:t>
      </w:r>
    </w:p>
    <w:p>
      <w:pPr>
        <w:numPr>
          <w:ilvl w:val="0"/>
          <w:numId w:val="0"/>
        </w:numPr>
        <w:ind w:firstLine="560" w:firstLineChars="200"/>
        <w:rPr>
          <w:rFonts w:hint="eastAsia"/>
          <w:color w:val="auto"/>
          <w:lang w:val="en-US" w:eastAsia="zh-CN"/>
        </w:rPr>
      </w:pPr>
      <w:r>
        <w:rPr>
          <w:rFonts w:hint="eastAsia" w:ascii="Times New Roman" w:eastAsia="宋体"/>
          <w:color w:val="auto"/>
          <w:lang w:val="en-US" w:eastAsia="zh-CN"/>
        </w:rPr>
        <w:t>该项目自控采用DCS控制系统和就地控制相结合原则，保证生产安全、平稳、高效、经济地运行。</w:t>
      </w:r>
    </w:p>
    <w:p>
      <w:pPr>
        <w:numPr>
          <w:ilvl w:val="0"/>
          <w:numId w:val="0"/>
        </w:numPr>
        <w:ind w:firstLine="560" w:firstLineChars="200"/>
        <w:rPr>
          <w:rFonts w:hint="eastAsia" w:ascii="Times New Roman" w:eastAsia="宋体"/>
          <w:color w:val="auto"/>
          <w:lang w:val="en-US" w:eastAsia="zh-CN"/>
        </w:rPr>
      </w:pPr>
      <w:r>
        <w:rPr>
          <w:rFonts w:hint="eastAsia" w:ascii="Times New Roman" w:eastAsia="宋体"/>
          <w:color w:val="auto"/>
          <w:lang w:val="en-US" w:eastAsia="zh-CN"/>
        </w:rPr>
        <w:t>该项目的自控设计原则是：以集中检测和控制为主，现场指示操作为辅，采用DCS控制系统为该项目的控制系统实现工艺过程参数的显示和控制，对</w:t>
      </w:r>
      <w:r>
        <w:rPr>
          <w:rFonts w:hint="eastAsia"/>
          <w:color w:val="auto"/>
          <w:lang w:val="en-US" w:eastAsia="zh-CN"/>
        </w:rPr>
        <w:t>转鼓氨化造粒复合肥</w:t>
      </w:r>
      <w:r>
        <w:rPr>
          <w:rFonts w:hint="eastAsia" w:ascii="Times New Roman" w:eastAsia="宋体"/>
          <w:color w:val="auto"/>
          <w:lang w:val="en-US" w:eastAsia="zh-CN"/>
        </w:rPr>
        <w:t>生产过程主要参数温度、压力、流量、物位、成份等数据监视、控制、安全联锁保护及运行管理等任务，有关的电气参数及主要电气设备的运行/故障、停车等均在DCS中显示或实现。</w:t>
      </w:r>
    </w:p>
    <w:p>
      <w:pPr>
        <w:bidi w:val="0"/>
        <w:jc w:val="center"/>
        <w:rPr>
          <w:rFonts w:hint="eastAsia"/>
          <w:color w:val="auto"/>
        </w:rPr>
      </w:pPr>
      <w:r>
        <w:rPr>
          <w:color w:val="auto"/>
        </w:rPr>
        <w:t>表</w:t>
      </w:r>
      <w:r>
        <w:rPr>
          <w:rFonts w:hint="eastAsia"/>
          <w:color w:val="auto"/>
          <w:lang w:val="en-US" w:eastAsia="zh-CN"/>
        </w:rPr>
        <w:t>2</w:t>
      </w:r>
      <w:r>
        <w:rPr>
          <w:rFonts w:hint="eastAsia"/>
          <w:color w:val="auto"/>
        </w:rPr>
        <w:t>.</w:t>
      </w:r>
      <w:r>
        <w:rPr>
          <w:rFonts w:hint="eastAsia"/>
          <w:color w:val="auto"/>
          <w:lang w:val="en-US" w:eastAsia="zh-CN"/>
        </w:rPr>
        <w:t>7</w:t>
      </w:r>
      <w:r>
        <w:rPr>
          <w:color w:val="auto"/>
        </w:rPr>
        <w:t>-</w:t>
      </w:r>
      <w:r>
        <w:rPr>
          <w:rFonts w:hint="eastAsia"/>
          <w:color w:val="auto"/>
        </w:rPr>
        <w:t xml:space="preserve">1  </w:t>
      </w:r>
      <w:r>
        <w:rPr>
          <w:color w:val="auto"/>
        </w:rPr>
        <w:t>检测</w:t>
      </w:r>
      <w:r>
        <w:rPr>
          <w:rFonts w:hint="eastAsia"/>
          <w:color w:val="auto"/>
        </w:rPr>
        <w:t>、</w:t>
      </w:r>
      <w:r>
        <w:rPr>
          <w:color w:val="auto"/>
        </w:rPr>
        <w:t>报警设施一览表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4841"/>
        <w:gridCol w:w="1726"/>
        <w:gridCol w:w="2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4"/>
            <w:noWrap w:val="0"/>
            <w:vAlign w:val="center"/>
          </w:tcPr>
          <w:p>
            <w:pPr>
              <w:spacing w:line="240" w:lineRule="auto"/>
              <w:jc w:val="center"/>
              <w:rPr>
                <w:rFonts w:hint="eastAsia"/>
                <w:color w:val="auto"/>
                <w:sz w:val="21"/>
                <w:szCs w:val="21"/>
              </w:rPr>
            </w:pPr>
            <w:r>
              <w:rPr>
                <w:rFonts w:hint="eastAsia"/>
                <w:color w:val="auto"/>
                <w:sz w:val="21"/>
                <w:szCs w:val="21"/>
              </w:rPr>
              <w:t>盐酸储罐区、硫酸储罐区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adjustRightInd w:val="0"/>
              <w:snapToGrid w:val="0"/>
              <w:spacing w:line="240" w:lineRule="auto"/>
              <w:ind w:firstLine="210" w:firstLineChars="100"/>
              <w:jc w:val="center"/>
              <w:rPr>
                <w:rFonts w:hint="eastAsia"/>
                <w:color w:val="auto"/>
                <w:sz w:val="21"/>
                <w:szCs w:val="21"/>
              </w:rPr>
            </w:pPr>
            <w:r>
              <w:rPr>
                <w:rFonts w:hint="eastAsia"/>
                <w:color w:val="auto"/>
                <w:sz w:val="21"/>
                <w:szCs w:val="21"/>
              </w:rPr>
              <w:t>一</w:t>
            </w: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液位</w:t>
            </w:r>
          </w:p>
        </w:tc>
        <w:tc>
          <w:tcPr>
            <w:tcW w:w="929" w:type="pct"/>
            <w:noWrap w:val="0"/>
            <w:vAlign w:val="center"/>
          </w:tcPr>
          <w:p>
            <w:pPr>
              <w:adjustRightInd w:val="0"/>
              <w:snapToGrid w:val="0"/>
              <w:spacing w:line="240" w:lineRule="auto"/>
              <w:rPr>
                <w:rFonts w:hint="eastAsia"/>
                <w:color w:val="auto"/>
                <w:sz w:val="21"/>
                <w:szCs w:val="21"/>
              </w:rPr>
            </w:pPr>
          </w:p>
        </w:tc>
        <w:tc>
          <w:tcPr>
            <w:tcW w:w="1083" w:type="pct"/>
            <w:noWrap w:val="0"/>
            <w:vAlign w:val="center"/>
          </w:tcPr>
          <w:p>
            <w:pPr>
              <w:spacing w:line="240" w:lineRule="auto"/>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8"/>
              </w:numPr>
              <w:adjustRightInd w:val="0"/>
              <w:snapToGrid w:val="0"/>
              <w:spacing w:line="240" w:lineRule="auto"/>
              <w:jc w:val="center"/>
              <w:rPr>
                <w:rFonts w:hint="eastAsia"/>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盐酸储罐V</w:t>
            </w:r>
            <w:r>
              <w:rPr>
                <w:rFonts w:hint="eastAsia"/>
                <w:color w:val="auto"/>
                <w:sz w:val="21"/>
                <w:szCs w:val="21"/>
                <w:lang w:eastAsia="zh-CN"/>
              </w:rPr>
              <w:t>301</w:t>
            </w:r>
            <w:r>
              <w:rPr>
                <w:rFonts w:hint="eastAsia"/>
                <w:color w:val="auto"/>
                <w:sz w:val="21"/>
                <w:szCs w:val="21"/>
              </w:rPr>
              <w:t>01A液位检测（LIAS-</w:t>
            </w:r>
            <w:r>
              <w:rPr>
                <w:rFonts w:hint="eastAsia"/>
                <w:color w:val="auto"/>
                <w:sz w:val="21"/>
                <w:szCs w:val="21"/>
                <w:lang w:eastAsia="zh-CN"/>
              </w:rPr>
              <w:t>301</w:t>
            </w:r>
            <w:r>
              <w:rPr>
                <w:rFonts w:hint="eastAsia"/>
                <w:color w:val="auto"/>
                <w:sz w:val="21"/>
                <w:szCs w:val="21"/>
              </w:rPr>
              <w:t>01a）</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指示、报警、联锁</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高报警（8200mm）</w:t>
            </w:r>
          </w:p>
          <w:p>
            <w:pPr>
              <w:spacing w:line="240" w:lineRule="auto"/>
              <w:rPr>
                <w:color w:val="auto"/>
                <w:sz w:val="21"/>
                <w:szCs w:val="21"/>
              </w:rPr>
            </w:pPr>
            <w:r>
              <w:rPr>
                <w:rFonts w:hint="eastAsia"/>
                <w:color w:val="auto"/>
                <w:sz w:val="21"/>
                <w:szCs w:val="21"/>
              </w:rPr>
              <w:t>低报警（1200mm）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8"/>
              </w:numPr>
              <w:adjustRightInd w:val="0"/>
              <w:snapToGrid w:val="0"/>
              <w:spacing w:line="240" w:lineRule="auto"/>
              <w:jc w:val="center"/>
              <w:rPr>
                <w:rFonts w:hint="eastAsia"/>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盐酸储罐V</w:t>
            </w:r>
            <w:r>
              <w:rPr>
                <w:rFonts w:hint="eastAsia"/>
                <w:color w:val="auto"/>
                <w:sz w:val="21"/>
                <w:szCs w:val="21"/>
                <w:lang w:eastAsia="zh-CN"/>
              </w:rPr>
              <w:t>301</w:t>
            </w:r>
            <w:r>
              <w:rPr>
                <w:rFonts w:hint="eastAsia"/>
                <w:color w:val="auto"/>
                <w:sz w:val="21"/>
                <w:szCs w:val="21"/>
              </w:rPr>
              <w:t>01B液位检测（LIAS-</w:t>
            </w:r>
            <w:r>
              <w:rPr>
                <w:rFonts w:hint="eastAsia"/>
                <w:color w:val="auto"/>
                <w:sz w:val="21"/>
                <w:szCs w:val="21"/>
                <w:lang w:eastAsia="zh-CN"/>
              </w:rPr>
              <w:t>301</w:t>
            </w:r>
            <w:r>
              <w:rPr>
                <w:rFonts w:hint="eastAsia"/>
                <w:color w:val="auto"/>
                <w:sz w:val="21"/>
                <w:szCs w:val="21"/>
              </w:rPr>
              <w:t>01b）</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指示、报警、联锁</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高报警（8200mm）</w:t>
            </w:r>
          </w:p>
          <w:p>
            <w:pPr>
              <w:spacing w:line="240" w:lineRule="auto"/>
              <w:rPr>
                <w:rFonts w:hint="eastAsia"/>
                <w:color w:val="auto"/>
                <w:sz w:val="21"/>
                <w:szCs w:val="21"/>
              </w:rPr>
            </w:pPr>
            <w:r>
              <w:rPr>
                <w:rFonts w:hint="eastAsia"/>
                <w:color w:val="auto"/>
                <w:sz w:val="21"/>
                <w:szCs w:val="21"/>
              </w:rPr>
              <w:t>低报警（1200mm）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8"/>
              </w:numPr>
              <w:adjustRightInd w:val="0"/>
              <w:snapToGrid w:val="0"/>
              <w:spacing w:line="240" w:lineRule="auto"/>
              <w:jc w:val="center"/>
              <w:rPr>
                <w:rFonts w:hint="eastAsia"/>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盐酸储罐V</w:t>
            </w:r>
            <w:r>
              <w:rPr>
                <w:rFonts w:hint="eastAsia"/>
                <w:color w:val="auto"/>
                <w:sz w:val="21"/>
                <w:szCs w:val="21"/>
                <w:lang w:eastAsia="zh-CN"/>
              </w:rPr>
              <w:t>301</w:t>
            </w:r>
            <w:r>
              <w:rPr>
                <w:rFonts w:hint="eastAsia"/>
                <w:color w:val="auto"/>
                <w:sz w:val="21"/>
                <w:szCs w:val="21"/>
              </w:rPr>
              <w:t>01C液位检测（LIAS-</w:t>
            </w:r>
            <w:r>
              <w:rPr>
                <w:rFonts w:hint="eastAsia"/>
                <w:color w:val="auto"/>
                <w:sz w:val="21"/>
                <w:szCs w:val="21"/>
                <w:lang w:eastAsia="zh-CN"/>
              </w:rPr>
              <w:t>301</w:t>
            </w:r>
            <w:r>
              <w:rPr>
                <w:rFonts w:hint="eastAsia"/>
                <w:color w:val="auto"/>
                <w:sz w:val="21"/>
                <w:szCs w:val="21"/>
              </w:rPr>
              <w:t>01c）</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指示、报警、联锁</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高报警（8200mm）</w:t>
            </w:r>
          </w:p>
          <w:p>
            <w:pPr>
              <w:spacing w:line="240" w:lineRule="auto"/>
              <w:rPr>
                <w:rFonts w:hint="eastAsia"/>
                <w:color w:val="auto"/>
                <w:sz w:val="21"/>
                <w:szCs w:val="21"/>
              </w:rPr>
            </w:pPr>
            <w:r>
              <w:rPr>
                <w:rFonts w:hint="eastAsia"/>
                <w:color w:val="auto"/>
                <w:sz w:val="21"/>
                <w:szCs w:val="21"/>
              </w:rPr>
              <w:t>低报警（1200mm）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8"/>
              </w:numPr>
              <w:adjustRightInd w:val="0"/>
              <w:snapToGrid w:val="0"/>
              <w:spacing w:line="240" w:lineRule="auto"/>
              <w:jc w:val="center"/>
              <w:rPr>
                <w:rFonts w:hint="eastAsia"/>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盐酸储罐V</w:t>
            </w:r>
            <w:r>
              <w:rPr>
                <w:rFonts w:hint="eastAsia"/>
                <w:color w:val="auto"/>
                <w:sz w:val="21"/>
                <w:szCs w:val="21"/>
                <w:lang w:eastAsia="zh-CN"/>
              </w:rPr>
              <w:t>301</w:t>
            </w:r>
            <w:r>
              <w:rPr>
                <w:rFonts w:hint="eastAsia"/>
                <w:color w:val="auto"/>
                <w:sz w:val="21"/>
                <w:szCs w:val="21"/>
              </w:rPr>
              <w:t>01D液位检测（LIAS-</w:t>
            </w:r>
            <w:r>
              <w:rPr>
                <w:rFonts w:hint="eastAsia"/>
                <w:color w:val="auto"/>
                <w:sz w:val="21"/>
                <w:szCs w:val="21"/>
                <w:lang w:eastAsia="zh-CN"/>
              </w:rPr>
              <w:t>301</w:t>
            </w:r>
            <w:r>
              <w:rPr>
                <w:rFonts w:hint="eastAsia"/>
                <w:color w:val="auto"/>
                <w:sz w:val="21"/>
                <w:szCs w:val="21"/>
              </w:rPr>
              <w:t>01d）</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指示、报警、联锁</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高报警（8200mm）</w:t>
            </w:r>
          </w:p>
          <w:p>
            <w:pPr>
              <w:spacing w:line="240" w:lineRule="auto"/>
              <w:rPr>
                <w:rFonts w:hint="eastAsia"/>
                <w:color w:val="auto"/>
                <w:sz w:val="21"/>
                <w:szCs w:val="21"/>
              </w:rPr>
            </w:pPr>
            <w:r>
              <w:rPr>
                <w:rFonts w:hint="eastAsia"/>
                <w:color w:val="auto"/>
                <w:sz w:val="21"/>
                <w:szCs w:val="21"/>
              </w:rPr>
              <w:t>低报警（1200mm）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8"/>
              </w:numPr>
              <w:adjustRightInd w:val="0"/>
              <w:snapToGrid w:val="0"/>
              <w:spacing w:line="240" w:lineRule="auto"/>
              <w:jc w:val="center"/>
              <w:rPr>
                <w:rFonts w:hint="eastAsia"/>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硫酸卸酸槽V40202液位检测（LIA-40201）</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高报警（1800mm）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widowControl w:val="0"/>
              <w:numPr>
                <w:ilvl w:val="0"/>
                <w:numId w:val="8"/>
              </w:numPr>
              <w:adjustRightInd w:val="0"/>
              <w:snapToGrid w:val="0"/>
              <w:spacing w:line="240" w:lineRule="auto"/>
              <w:jc w:val="center"/>
              <w:rPr>
                <w:rFonts w:hint="eastAsia"/>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硫酸储罐V40201A液位检测（LIAS-40202a）</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指示、报警、联锁</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高报警（7500mm）</w:t>
            </w:r>
          </w:p>
          <w:p>
            <w:pPr>
              <w:spacing w:line="240" w:lineRule="auto"/>
              <w:rPr>
                <w:rFonts w:hint="eastAsia"/>
                <w:color w:val="auto"/>
                <w:sz w:val="21"/>
                <w:szCs w:val="21"/>
              </w:rPr>
            </w:pPr>
            <w:r>
              <w:rPr>
                <w:rFonts w:hint="eastAsia"/>
                <w:color w:val="auto"/>
                <w:sz w:val="21"/>
                <w:szCs w:val="21"/>
              </w:rPr>
              <w:t>低报警（400mm）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8"/>
              </w:numPr>
              <w:adjustRightInd w:val="0"/>
              <w:snapToGrid w:val="0"/>
              <w:spacing w:line="240" w:lineRule="auto"/>
              <w:jc w:val="center"/>
              <w:rPr>
                <w:color w:val="auto"/>
                <w:sz w:val="21"/>
                <w:szCs w:val="21"/>
              </w:rPr>
            </w:pPr>
          </w:p>
        </w:tc>
        <w:tc>
          <w:tcPr>
            <w:tcW w:w="2606" w:type="pct"/>
            <w:noWrap w:val="0"/>
            <w:vAlign w:val="center"/>
          </w:tcPr>
          <w:p>
            <w:pPr>
              <w:adjustRightInd w:val="0"/>
              <w:snapToGrid w:val="0"/>
              <w:spacing w:line="240" w:lineRule="auto"/>
              <w:rPr>
                <w:color w:val="auto"/>
                <w:sz w:val="21"/>
                <w:szCs w:val="21"/>
              </w:rPr>
            </w:pPr>
            <w:r>
              <w:rPr>
                <w:rFonts w:hint="eastAsia"/>
                <w:color w:val="auto"/>
                <w:sz w:val="21"/>
                <w:szCs w:val="21"/>
              </w:rPr>
              <w:t xml:space="preserve">硫酸储罐V40201B液位检测（LIAS-40202b） </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指示、报警、联锁</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高报警（7500mm）</w:t>
            </w:r>
          </w:p>
          <w:p>
            <w:pPr>
              <w:spacing w:line="240" w:lineRule="auto"/>
              <w:rPr>
                <w:rFonts w:hint="eastAsia"/>
                <w:color w:val="auto"/>
                <w:sz w:val="21"/>
                <w:szCs w:val="21"/>
              </w:rPr>
            </w:pPr>
            <w:r>
              <w:rPr>
                <w:rFonts w:hint="eastAsia"/>
                <w:color w:val="auto"/>
                <w:sz w:val="21"/>
                <w:szCs w:val="21"/>
              </w:rPr>
              <w:t>低报警（400mm）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4"/>
            <w:noWrap w:val="0"/>
            <w:vAlign w:val="center"/>
          </w:tcPr>
          <w:p>
            <w:pPr>
              <w:spacing w:line="240" w:lineRule="auto"/>
              <w:jc w:val="center"/>
              <w:rPr>
                <w:rFonts w:hint="eastAsia"/>
                <w:color w:val="auto"/>
                <w:sz w:val="21"/>
                <w:szCs w:val="21"/>
              </w:rPr>
            </w:pPr>
            <w:r>
              <w:rPr>
                <w:rFonts w:hint="eastAsia"/>
                <w:color w:val="auto"/>
                <w:sz w:val="21"/>
                <w:szCs w:val="21"/>
              </w:rPr>
              <w:t>转鼓造粒复合肥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adjustRightInd w:val="0"/>
              <w:snapToGrid w:val="0"/>
              <w:spacing w:line="240" w:lineRule="auto"/>
              <w:ind w:firstLine="210" w:firstLineChars="100"/>
              <w:jc w:val="center"/>
              <w:rPr>
                <w:rFonts w:hint="eastAsia"/>
                <w:color w:val="auto"/>
                <w:sz w:val="21"/>
                <w:szCs w:val="21"/>
              </w:rPr>
            </w:pPr>
            <w:r>
              <w:rPr>
                <w:rFonts w:hint="eastAsia"/>
                <w:color w:val="auto"/>
                <w:sz w:val="21"/>
                <w:szCs w:val="21"/>
              </w:rPr>
              <w:t>一</w:t>
            </w: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温度</w:t>
            </w:r>
          </w:p>
        </w:tc>
        <w:tc>
          <w:tcPr>
            <w:tcW w:w="929" w:type="pct"/>
            <w:noWrap w:val="0"/>
            <w:vAlign w:val="center"/>
          </w:tcPr>
          <w:p>
            <w:pPr>
              <w:adjustRightInd w:val="0"/>
              <w:snapToGrid w:val="0"/>
              <w:spacing w:line="240" w:lineRule="auto"/>
              <w:rPr>
                <w:rFonts w:hint="eastAsia"/>
                <w:color w:val="auto"/>
                <w:sz w:val="21"/>
                <w:szCs w:val="21"/>
              </w:rPr>
            </w:pPr>
          </w:p>
        </w:tc>
        <w:tc>
          <w:tcPr>
            <w:tcW w:w="1083" w:type="pct"/>
            <w:noWrap w:val="0"/>
            <w:vAlign w:val="center"/>
          </w:tcPr>
          <w:p>
            <w:pPr>
              <w:spacing w:line="240" w:lineRule="auto"/>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adjustRightInd w:val="0"/>
              <w:snapToGrid w:val="0"/>
              <w:spacing w:line="240" w:lineRule="auto"/>
              <w:ind w:firstLine="210" w:firstLineChars="100"/>
              <w:jc w:val="center"/>
              <w:rPr>
                <w:rFonts w:hint="eastAsia"/>
                <w:color w:val="auto"/>
                <w:sz w:val="21"/>
                <w:szCs w:val="21"/>
              </w:rPr>
            </w:pPr>
            <w:r>
              <w:rPr>
                <w:rFonts w:hint="eastAsia"/>
                <w:color w:val="auto"/>
                <w:sz w:val="21"/>
                <w:szCs w:val="21"/>
              </w:rPr>
              <w:t>1</w:t>
            </w: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转化反应槽温度检测（TIA0302）</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adjustRightInd w:val="0"/>
              <w:snapToGrid w:val="0"/>
              <w:spacing w:line="240" w:lineRule="auto"/>
              <w:jc w:val="center"/>
              <w:rPr>
                <w:rFonts w:hint="eastAsia"/>
                <w:color w:val="auto"/>
                <w:sz w:val="21"/>
                <w:szCs w:val="21"/>
              </w:rPr>
            </w:pPr>
            <w:r>
              <w:rPr>
                <w:rFonts w:hint="eastAsia"/>
                <w:color w:val="auto"/>
                <w:sz w:val="21"/>
                <w:szCs w:val="21"/>
              </w:rPr>
              <w:t>二</w:t>
            </w: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压力</w:t>
            </w:r>
          </w:p>
        </w:tc>
        <w:tc>
          <w:tcPr>
            <w:tcW w:w="929" w:type="pct"/>
            <w:noWrap w:val="0"/>
            <w:vAlign w:val="center"/>
          </w:tcPr>
          <w:p>
            <w:pPr>
              <w:adjustRightInd w:val="0"/>
              <w:snapToGrid w:val="0"/>
              <w:spacing w:line="240" w:lineRule="auto"/>
              <w:rPr>
                <w:rFonts w:hint="eastAsia"/>
                <w:color w:val="auto"/>
                <w:sz w:val="21"/>
                <w:szCs w:val="21"/>
              </w:rPr>
            </w:pPr>
          </w:p>
        </w:tc>
        <w:tc>
          <w:tcPr>
            <w:tcW w:w="1083" w:type="pct"/>
            <w:noWrap w:val="0"/>
            <w:vAlign w:val="center"/>
          </w:tcPr>
          <w:p>
            <w:pPr>
              <w:spacing w:line="240" w:lineRule="auto"/>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adjustRightInd w:val="0"/>
              <w:snapToGrid w:val="0"/>
              <w:spacing w:line="240" w:lineRule="auto"/>
              <w:ind w:firstLine="210" w:firstLineChars="100"/>
              <w:jc w:val="center"/>
              <w:rPr>
                <w:rFonts w:hint="eastAsia"/>
                <w:color w:val="auto"/>
                <w:sz w:val="21"/>
                <w:szCs w:val="21"/>
              </w:rPr>
            </w:pPr>
            <w:r>
              <w:rPr>
                <w:rFonts w:hint="eastAsia"/>
                <w:color w:val="auto"/>
                <w:sz w:val="21"/>
                <w:szCs w:val="21"/>
              </w:rPr>
              <w:t>1</w:t>
            </w: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原料除尘布袋进出口压力差检测（PDIA0201）</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高报警（3KPa）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adjustRightInd w:val="0"/>
              <w:snapToGrid w:val="0"/>
              <w:spacing w:line="240" w:lineRule="auto"/>
              <w:ind w:firstLine="210" w:firstLineChars="100"/>
              <w:jc w:val="center"/>
              <w:rPr>
                <w:color w:val="auto"/>
                <w:sz w:val="21"/>
                <w:szCs w:val="21"/>
              </w:rPr>
            </w:pPr>
            <w:r>
              <w:rPr>
                <w:rFonts w:hint="eastAsia"/>
                <w:color w:val="auto"/>
                <w:sz w:val="21"/>
                <w:szCs w:val="21"/>
              </w:rPr>
              <w:t>2</w:t>
            </w: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一烘除尘布袋进出口压力差检测（PDIA0202）</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高报警（3KPa）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adjustRightInd w:val="0"/>
              <w:snapToGrid w:val="0"/>
              <w:spacing w:line="240" w:lineRule="auto"/>
              <w:ind w:firstLine="210" w:firstLineChars="100"/>
              <w:jc w:val="center"/>
              <w:rPr>
                <w:color w:val="auto"/>
                <w:sz w:val="21"/>
                <w:szCs w:val="21"/>
              </w:rPr>
            </w:pPr>
            <w:r>
              <w:rPr>
                <w:rFonts w:hint="eastAsia"/>
                <w:color w:val="auto"/>
                <w:sz w:val="21"/>
                <w:szCs w:val="21"/>
              </w:rPr>
              <w:t>3</w:t>
            </w: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一冷除尘布袋进出口压力差检测（PDIA0203）</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高报警（3KPa）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adjustRightInd w:val="0"/>
              <w:snapToGrid w:val="0"/>
              <w:spacing w:line="240" w:lineRule="auto"/>
              <w:ind w:firstLine="210" w:firstLineChars="100"/>
              <w:jc w:val="center"/>
              <w:rPr>
                <w:color w:val="auto"/>
                <w:sz w:val="21"/>
                <w:szCs w:val="21"/>
              </w:rPr>
            </w:pPr>
            <w:r>
              <w:rPr>
                <w:rFonts w:hint="eastAsia"/>
                <w:color w:val="auto"/>
                <w:sz w:val="21"/>
                <w:szCs w:val="21"/>
              </w:rPr>
              <w:t>4</w:t>
            </w: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二烘除尘布袋进出口压力差检测（PDIA0204）</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高报警（3KPa）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adjustRightInd w:val="0"/>
              <w:snapToGrid w:val="0"/>
              <w:spacing w:line="240" w:lineRule="auto"/>
              <w:ind w:firstLine="210" w:firstLineChars="100"/>
              <w:jc w:val="center"/>
              <w:rPr>
                <w:color w:val="auto"/>
                <w:sz w:val="21"/>
                <w:szCs w:val="21"/>
              </w:rPr>
            </w:pPr>
            <w:r>
              <w:rPr>
                <w:rFonts w:hint="eastAsia"/>
                <w:color w:val="auto"/>
                <w:sz w:val="21"/>
                <w:szCs w:val="21"/>
              </w:rPr>
              <w:t>5</w:t>
            </w: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二冷除尘布袋进出口压力差检测（PDIA0205）</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高报警（3KPa）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adjustRightInd w:val="0"/>
              <w:snapToGrid w:val="0"/>
              <w:spacing w:line="240" w:lineRule="auto"/>
              <w:jc w:val="center"/>
              <w:rPr>
                <w:rFonts w:hint="eastAsia"/>
                <w:color w:val="auto"/>
                <w:sz w:val="21"/>
                <w:szCs w:val="21"/>
              </w:rPr>
            </w:pPr>
            <w:r>
              <w:rPr>
                <w:rFonts w:hint="eastAsia"/>
                <w:color w:val="auto"/>
                <w:sz w:val="21"/>
                <w:szCs w:val="21"/>
              </w:rPr>
              <w:t>三</w:t>
            </w: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液位</w:t>
            </w:r>
          </w:p>
        </w:tc>
        <w:tc>
          <w:tcPr>
            <w:tcW w:w="929" w:type="pct"/>
            <w:noWrap w:val="0"/>
            <w:vAlign w:val="center"/>
          </w:tcPr>
          <w:p>
            <w:pPr>
              <w:adjustRightInd w:val="0"/>
              <w:snapToGrid w:val="0"/>
              <w:spacing w:line="240" w:lineRule="auto"/>
              <w:rPr>
                <w:rFonts w:hint="eastAsia"/>
                <w:color w:val="auto"/>
                <w:sz w:val="21"/>
                <w:szCs w:val="21"/>
              </w:rPr>
            </w:pPr>
          </w:p>
        </w:tc>
        <w:tc>
          <w:tcPr>
            <w:tcW w:w="1083" w:type="pct"/>
            <w:noWrap w:val="0"/>
            <w:vAlign w:val="center"/>
          </w:tcPr>
          <w:p>
            <w:pPr>
              <w:spacing w:line="240" w:lineRule="auto"/>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9"/>
              </w:numPr>
              <w:adjustRightInd w:val="0"/>
              <w:snapToGrid w:val="0"/>
              <w:spacing w:line="240" w:lineRule="auto"/>
              <w:jc w:val="center"/>
              <w:rPr>
                <w:rFonts w:hint="eastAsia"/>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磷铵溶解槽液位检测（LIA0201）</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高报警（1600mm）</w:t>
            </w:r>
          </w:p>
          <w:p>
            <w:pPr>
              <w:spacing w:line="240" w:lineRule="auto"/>
              <w:rPr>
                <w:rFonts w:hint="eastAsia"/>
                <w:color w:val="auto"/>
                <w:sz w:val="21"/>
                <w:szCs w:val="21"/>
              </w:rPr>
            </w:pPr>
            <w:r>
              <w:rPr>
                <w:rFonts w:hint="eastAsia"/>
                <w:color w:val="auto"/>
                <w:sz w:val="21"/>
                <w:szCs w:val="21"/>
              </w:rPr>
              <w:t>低报警（600mm）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9"/>
              </w:numPr>
              <w:adjustRightInd w:val="0"/>
              <w:snapToGrid w:val="0"/>
              <w:spacing w:line="240" w:lineRule="auto"/>
              <w:jc w:val="center"/>
              <w:rPr>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磷铵料浆槽液位检测（LIA0202）</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高报警（3600mm）</w:t>
            </w:r>
          </w:p>
          <w:p>
            <w:pPr>
              <w:spacing w:line="240" w:lineRule="auto"/>
              <w:rPr>
                <w:rFonts w:hint="eastAsia"/>
                <w:color w:val="auto"/>
                <w:sz w:val="21"/>
                <w:szCs w:val="21"/>
              </w:rPr>
            </w:pPr>
            <w:r>
              <w:rPr>
                <w:rFonts w:hint="eastAsia"/>
                <w:color w:val="auto"/>
                <w:sz w:val="21"/>
                <w:szCs w:val="21"/>
              </w:rPr>
              <w:t>低报警（600mm）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9"/>
              </w:numPr>
              <w:adjustRightInd w:val="0"/>
              <w:snapToGrid w:val="0"/>
              <w:spacing w:line="240" w:lineRule="auto"/>
              <w:jc w:val="center"/>
              <w:rPr>
                <w:rFonts w:hint="eastAsia"/>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洗涤水中间槽液位检测（LIA0203）</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高报警（3600mm）</w:t>
            </w:r>
          </w:p>
          <w:p>
            <w:pPr>
              <w:spacing w:line="240" w:lineRule="auto"/>
              <w:rPr>
                <w:rFonts w:hint="eastAsia"/>
                <w:color w:val="auto"/>
                <w:sz w:val="21"/>
                <w:szCs w:val="21"/>
              </w:rPr>
            </w:pPr>
            <w:r>
              <w:rPr>
                <w:rFonts w:hint="eastAsia"/>
                <w:color w:val="auto"/>
                <w:sz w:val="21"/>
                <w:szCs w:val="21"/>
              </w:rPr>
              <w:t>低报警（600mm）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9"/>
              </w:numPr>
              <w:adjustRightInd w:val="0"/>
              <w:snapToGrid w:val="0"/>
              <w:spacing w:line="240" w:lineRule="auto"/>
              <w:jc w:val="center"/>
              <w:rPr>
                <w:rFonts w:hint="eastAsia"/>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混酸储槽液位检测（LIA0204）</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高报警（3600mm）</w:t>
            </w:r>
          </w:p>
          <w:p>
            <w:pPr>
              <w:spacing w:line="240" w:lineRule="auto"/>
              <w:rPr>
                <w:rFonts w:hint="eastAsia"/>
                <w:color w:val="auto"/>
                <w:sz w:val="21"/>
                <w:szCs w:val="21"/>
              </w:rPr>
            </w:pPr>
            <w:r>
              <w:rPr>
                <w:rFonts w:hint="eastAsia"/>
                <w:color w:val="auto"/>
                <w:sz w:val="21"/>
                <w:szCs w:val="21"/>
              </w:rPr>
              <w:t>低报警（600mm）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9"/>
              </w:numPr>
              <w:adjustRightInd w:val="0"/>
              <w:snapToGrid w:val="0"/>
              <w:spacing w:line="240" w:lineRule="auto"/>
              <w:jc w:val="center"/>
              <w:rPr>
                <w:rFonts w:hint="eastAsia"/>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包膜油槽液位检测（LIA0205A</w:t>
            </w:r>
            <w:r>
              <w:rPr>
                <w:color w:val="auto"/>
                <w:sz w:val="21"/>
                <w:szCs w:val="21"/>
              </w:rPr>
              <w:t>/</w:t>
            </w:r>
            <w:r>
              <w:rPr>
                <w:rFonts w:hint="eastAsia"/>
                <w:color w:val="auto"/>
                <w:sz w:val="21"/>
                <w:szCs w:val="21"/>
              </w:rPr>
              <w:t>B）</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高报警（1000mm）</w:t>
            </w:r>
          </w:p>
          <w:p>
            <w:pPr>
              <w:spacing w:line="240" w:lineRule="auto"/>
              <w:rPr>
                <w:rFonts w:hint="eastAsia"/>
                <w:color w:val="auto"/>
                <w:sz w:val="21"/>
                <w:szCs w:val="21"/>
              </w:rPr>
            </w:pPr>
            <w:r>
              <w:rPr>
                <w:rFonts w:hint="eastAsia"/>
                <w:color w:val="auto"/>
                <w:sz w:val="21"/>
                <w:szCs w:val="21"/>
              </w:rPr>
              <w:t>低报警（400mm）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9"/>
              </w:numPr>
              <w:adjustRightInd w:val="0"/>
              <w:snapToGrid w:val="0"/>
              <w:spacing w:line="240" w:lineRule="auto"/>
              <w:jc w:val="center"/>
              <w:rPr>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综合洗涤水槽液位检测（LIA0206）</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高报警（3600mm）</w:t>
            </w:r>
          </w:p>
          <w:p>
            <w:pPr>
              <w:spacing w:line="240" w:lineRule="auto"/>
              <w:rPr>
                <w:rFonts w:hint="eastAsia"/>
                <w:color w:val="auto"/>
                <w:sz w:val="21"/>
                <w:szCs w:val="21"/>
              </w:rPr>
            </w:pPr>
            <w:r>
              <w:rPr>
                <w:rFonts w:hint="eastAsia"/>
                <w:color w:val="auto"/>
                <w:sz w:val="21"/>
                <w:szCs w:val="21"/>
              </w:rPr>
              <w:t>低报警（600mm）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9"/>
              </w:numPr>
              <w:adjustRightInd w:val="0"/>
              <w:snapToGrid w:val="0"/>
              <w:spacing w:line="240" w:lineRule="auto"/>
              <w:jc w:val="center"/>
              <w:rPr>
                <w:rFonts w:hint="eastAsia"/>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混合料浆槽液位检测（LISA0301）</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指示、报警、联锁</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高报警（2000mm）</w:t>
            </w:r>
          </w:p>
          <w:p>
            <w:pPr>
              <w:spacing w:line="240" w:lineRule="auto"/>
              <w:rPr>
                <w:rFonts w:hint="eastAsia"/>
                <w:color w:val="auto"/>
                <w:sz w:val="21"/>
                <w:szCs w:val="21"/>
              </w:rPr>
            </w:pPr>
            <w:r>
              <w:rPr>
                <w:rFonts w:hint="eastAsia"/>
                <w:color w:val="auto"/>
                <w:sz w:val="21"/>
                <w:szCs w:val="21"/>
              </w:rPr>
              <w:t>低报警（400mm）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9"/>
              </w:numPr>
              <w:adjustRightInd w:val="0"/>
              <w:snapToGrid w:val="0"/>
              <w:spacing w:line="240" w:lineRule="auto"/>
              <w:jc w:val="center"/>
              <w:rPr>
                <w:rFonts w:hint="eastAsia"/>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地下槽液位检测（LIA0302）</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高报警（1600mm）</w:t>
            </w:r>
          </w:p>
          <w:p>
            <w:pPr>
              <w:spacing w:line="240" w:lineRule="auto"/>
              <w:rPr>
                <w:rFonts w:hint="eastAsia"/>
                <w:color w:val="auto"/>
                <w:sz w:val="21"/>
                <w:szCs w:val="21"/>
              </w:rPr>
            </w:pPr>
            <w:r>
              <w:rPr>
                <w:rFonts w:hint="eastAsia"/>
                <w:color w:val="auto"/>
                <w:sz w:val="21"/>
                <w:szCs w:val="21"/>
              </w:rPr>
              <w:t>低报警（400mm）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9"/>
              </w:numPr>
              <w:adjustRightInd w:val="0"/>
              <w:snapToGrid w:val="0"/>
              <w:spacing w:line="240" w:lineRule="auto"/>
              <w:jc w:val="center"/>
              <w:rPr>
                <w:rFonts w:hint="eastAsia"/>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脱硫洗涤塔液位检测（LISA0304）</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高报警（2300mm）</w:t>
            </w:r>
          </w:p>
          <w:p>
            <w:pPr>
              <w:spacing w:line="240" w:lineRule="auto"/>
              <w:rPr>
                <w:rFonts w:hint="eastAsia"/>
                <w:color w:val="auto"/>
                <w:sz w:val="21"/>
                <w:szCs w:val="21"/>
              </w:rPr>
            </w:pPr>
            <w:r>
              <w:rPr>
                <w:rFonts w:hint="eastAsia"/>
                <w:color w:val="auto"/>
                <w:sz w:val="21"/>
                <w:szCs w:val="21"/>
              </w:rPr>
              <w:t>低报警（400mm）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9"/>
              </w:numPr>
              <w:adjustRightInd w:val="0"/>
              <w:snapToGrid w:val="0"/>
              <w:spacing w:line="240" w:lineRule="auto"/>
              <w:jc w:val="center"/>
              <w:rPr>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一吸循环槽液位检测（LISA0305）</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高报警（1800mm）</w:t>
            </w:r>
          </w:p>
          <w:p>
            <w:pPr>
              <w:spacing w:line="240" w:lineRule="auto"/>
              <w:rPr>
                <w:rFonts w:hint="eastAsia"/>
                <w:color w:val="auto"/>
                <w:sz w:val="21"/>
                <w:szCs w:val="21"/>
              </w:rPr>
            </w:pPr>
            <w:r>
              <w:rPr>
                <w:rFonts w:hint="eastAsia"/>
                <w:color w:val="auto"/>
                <w:sz w:val="21"/>
                <w:szCs w:val="21"/>
              </w:rPr>
              <w:t>低报警（400mm）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0" w:type="pct"/>
            <w:noWrap w:val="0"/>
            <w:vAlign w:val="center"/>
          </w:tcPr>
          <w:p>
            <w:pPr>
              <w:numPr>
                <w:ilvl w:val="0"/>
                <w:numId w:val="9"/>
              </w:numPr>
              <w:adjustRightInd w:val="0"/>
              <w:snapToGrid w:val="0"/>
              <w:spacing w:line="240" w:lineRule="auto"/>
              <w:jc w:val="center"/>
              <w:rPr>
                <w:color w:val="auto"/>
                <w:sz w:val="21"/>
                <w:szCs w:val="21"/>
              </w:rPr>
            </w:pPr>
          </w:p>
        </w:tc>
        <w:tc>
          <w:tcPr>
            <w:tcW w:w="2606"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2#尾气吸收塔液位检测（LISA0306）</w:t>
            </w:r>
          </w:p>
        </w:tc>
        <w:tc>
          <w:tcPr>
            <w:tcW w:w="929" w:type="pct"/>
            <w:noWrap w:val="0"/>
            <w:vAlign w:val="center"/>
          </w:tcPr>
          <w:p>
            <w:pPr>
              <w:adjustRightInd w:val="0"/>
              <w:snapToGrid w:val="0"/>
              <w:spacing w:line="240" w:lineRule="auto"/>
              <w:rPr>
                <w:rFonts w:hint="eastAsia"/>
                <w:color w:val="auto"/>
                <w:sz w:val="21"/>
                <w:szCs w:val="21"/>
              </w:rPr>
            </w:pPr>
            <w:r>
              <w:rPr>
                <w:rFonts w:hint="eastAsia"/>
                <w:color w:val="auto"/>
                <w:sz w:val="21"/>
                <w:szCs w:val="21"/>
              </w:rPr>
              <w:t>指示、报警</w:t>
            </w:r>
          </w:p>
        </w:tc>
        <w:tc>
          <w:tcPr>
            <w:tcW w:w="1083" w:type="pct"/>
            <w:noWrap w:val="0"/>
            <w:vAlign w:val="center"/>
          </w:tcPr>
          <w:p>
            <w:pPr>
              <w:spacing w:line="240" w:lineRule="auto"/>
              <w:rPr>
                <w:rFonts w:hint="eastAsia"/>
                <w:color w:val="auto"/>
                <w:sz w:val="21"/>
                <w:szCs w:val="21"/>
              </w:rPr>
            </w:pPr>
            <w:r>
              <w:rPr>
                <w:rFonts w:hint="eastAsia"/>
                <w:color w:val="auto"/>
                <w:sz w:val="21"/>
                <w:szCs w:val="21"/>
              </w:rPr>
              <w:t>高报警（2300mm）</w:t>
            </w:r>
          </w:p>
          <w:p>
            <w:pPr>
              <w:spacing w:line="240" w:lineRule="auto"/>
              <w:rPr>
                <w:rFonts w:hint="eastAsia"/>
                <w:color w:val="auto"/>
                <w:sz w:val="21"/>
                <w:szCs w:val="21"/>
              </w:rPr>
            </w:pPr>
            <w:r>
              <w:rPr>
                <w:rFonts w:hint="eastAsia"/>
                <w:color w:val="auto"/>
                <w:sz w:val="21"/>
                <w:szCs w:val="21"/>
              </w:rPr>
              <w:t>低报警（400mm）</w:t>
            </w:r>
          </w:p>
        </w:tc>
      </w:tr>
    </w:tbl>
    <w:p>
      <w:pPr>
        <w:ind w:firstLine="560" w:firstLineChars="200"/>
        <w:rPr>
          <w:rFonts w:hint="eastAsia" w:ascii="Times New Roman" w:hAnsi="Times New Roman" w:eastAsia="宋体" w:cs="Times New Roman"/>
          <w:color w:val="auto"/>
          <w:szCs w:val="22"/>
          <w:lang w:eastAsia="zh-CN"/>
        </w:rPr>
      </w:pPr>
      <w:r>
        <w:rPr>
          <w:rFonts w:hint="eastAsia"/>
          <w:color w:val="auto"/>
          <w:lang w:val="en-US" w:eastAsia="zh-CN"/>
        </w:rPr>
        <w:t>拟重点对</w:t>
      </w:r>
      <w:r>
        <w:rPr>
          <w:rFonts w:hint="eastAsia" w:cs="Times New Roman"/>
          <w:color w:val="auto"/>
          <w:szCs w:val="22"/>
          <w:lang w:eastAsia="zh-CN"/>
        </w:rPr>
        <w:t>管式反应器的</w:t>
      </w:r>
      <w:r>
        <w:rPr>
          <w:rFonts w:hint="default" w:ascii="Times New Roman" w:hAnsi="Times New Roman" w:cs="Times New Roman"/>
          <w:color w:val="auto"/>
          <w:szCs w:val="22"/>
        </w:rPr>
        <w:t>温度和压力；</w:t>
      </w:r>
      <w:r>
        <w:rPr>
          <w:rFonts w:hint="eastAsia" w:cs="Times New Roman"/>
          <w:color w:val="auto"/>
          <w:szCs w:val="22"/>
          <w:lang w:eastAsia="zh-CN"/>
        </w:rPr>
        <w:t>氨气</w:t>
      </w:r>
      <w:r>
        <w:rPr>
          <w:rFonts w:hint="default" w:ascii="Times New Roman" w:hAnsi="Times New Roman" w:cs="Times New Roman"/>
          <w:color w:val="auto"/>
          <w:szCs w:val="22"/>
        </w:rPr>
        <w:t>进料流量等进行监控。设置温度和压力的报警和联锁；</w:t>
      </w:r>
      <w:r>
        <w:rPr>
          <w:rFonts w:hint="eastAsia" w:cs="Times New Roman"/>
          <w:color w:val="auto"/>
          <w:szCs w:val="22"/>
          <w:lang w:eastAsia="zh-CN"/>
        </w:rPr>
        <w:t>氨气进料的</w:t>
      </w:r>
      <w:r>
        <w:rPr>
          <w:rFonts w:hint="default" w:ascii="Times New Roman" w:hAnsi="Times New Roman" w:cs="Times New Roman"/>
          <w:color w:val="auto"/>
          <w:szCs w:val="22"/>
        </w:rPr>
        <w:t>记录、报警、联锁控制</w:t>
      </w:r>
      <w:r>
        <w:rPr>
          <w:rFonts w:hint="eastAsia" w:cs="Times New Roman"/>
          <w:color w:val="auto"/>
          <w:szCs w:val="22"/>
          <w:lang w:eastAsia="zh-CN"/>
        </w:rPr>
        <w:t>。</w:t>
      </w:r>
    </w:p>
    <w:p>
      <w:pPr>
        <w:ind w:firstLine="560" w:firstLineChars="200"/>
        <w:rPr>
          <w:rFonts w:hint="default" w:ascii="Times New Roman" w:hAnsi="Times New Roman" w:cs="Times New Roman"/>
          <w:color w:val="auto"/>
          <w:szCs w:val="22"/>
        </w:rPr>
      </w:pPr>
      <w:r>
        <w:rPr>
          <w:rFonts w:hint="default" w:ascii="Times New Roman" w:hAnsi="Times New Roman" w:cs="Times New Roman"/>
          <w:color w:val="auto"/>
          <w:szCs w:val="22"/>
        </w:rPr>
        <w:t>对生产过程中不太重要的过程参数实行就地检测为主，对生产过程中的温度、压力、流量等参数实行就地显示。</w:t>
      </w:r>
    </w:p>
    <w:p>
      <w:pPr>
        <w:numPr>
          <w:ilvl w:val="0"/>
          <w:numId w:val="0"/>
        </w:numPr>
        <w:ind w:firstLine="560" w:firstLineChars="200"/>
        <w:rPr>
          <w:rFonts w:hint="default"/>
          <w:color w:val="auto"/>
          <w:lang w:val="en-US" w:eastAsia="zh-CN"/>
        </w:rPr>
      </w:pPr>
      <w:r>
        <w:rPr>
          <w:rFonts w:hint="eastAsia" w:ascii="Times New Roman" w:eastAsia="宋体"/>
          <w:color w:val="auto"/>
          <w:lang w:val="en-US" w:eastAsia="zh-CN"/>
        </w:rPr>
        <w:t>天然气进气控制系统：天然气进入</w:t>
      </w:r>
      <w:r>
        <w:rPr>
          <w:rFonts w:hint="eastAsia"/>
          <w:color w:val="auto"/>
          <w:lang w:val="en-US" w:eastAsia="zh-CN"/>
        </w:rPr>
        <w:t>热风炉</w:t>
      </w:r>
      <w:r>
        <w:rPr>
          <w:rFonts w:hint="eastAsia" w:ascii="Times New Roman" w:eastAsia="宋体"/>
          <w:color w:val="auto"/>
          <w:lang w:val="en-US" w:eastAsia="zh-CN"/>
        </w:rPr>
        <w:t>的管线上拟设置调节阀（当压力超过高限时自动调节压力），阻火器和止回阀。</w:t>
      </w:r>
    </w:p>
    <w:p>
      <w:pPr>
        <w:bidi w:val="0"/>
        <w:ind w:firstLine="560" w:firstLineChars="200"/>
        <w:rPr>
          <w:rFonts w:hint="eastAsia"/>
          <w:color w:val="auto"/>
          <w:lang w:val="en-US" w:eastAsia="zh-CN"/>
        </w:rPr>
      </w:pPr>
      <w:r>
        <w:rPr>
          <w:rFonts w:hint="eastAsia" w:ascii="Times New Roman" w:eastAsia="宋体"/>
          <w:color w:val="auto"/>
          <w:lang w:val="en-US" w:eastAsia="zh-CN"/>
        </w:rPr>
        <w:t>2.控制室设置</w:t>
      </w:r>
    </w:p>
    <w:p>
      <w:pPr>
        <w:bidi w:val="0"/>
        <w:ind w:firstLine="560" w:firstLineChars="200"/>
        <w:rPr>
          <w:rFonts w:hint="eastAsia"/>
          <w:color w:val="auto"/>
          <w:lang w:val="en-US" w:eastAsia="zh-CN"/>
        </w:rPr>
      </w:pPr>
      <w:r>
        <w:rPr>
          <w:rFonts w:hint="eastAsia" w:ascii="Times New Roman" w:eastAsia="宋体"/>
          <w:color w:val="auto"/>
          <w:lang w:val="en-US" w:eastAsia="zh-CN"/>
        </w:rPr>
        <w:t>该项目的控制系统拟设在原有的复合肥车间的中央控制室内。控制室地面采用防静电活动地板。控制室的照明采用人工照明，照度满足规范要求，设置事故照明。原有复合肥车间的中央控制室</w:t>
      </w:r>
      <w:r>
        <w:rPr>
          <w:rFonts w:hint="eastAsia"/>
          <w:color w:val="auto"/>
          <w:lang w:val="en-US" w:eastAsia="zh-CN"/>
        </w:rPr>
        <w:t>约</w:t>
      </w:r>
      <w:r>
        <w:rPr>
          <w:rFonts w:hint="eastAsia" w:ascii="Times New Roman" w:eastAsia="宋体"/>
          <w:color w:val="auto"/>
          <w:lang w:val="en-US" w:eastAsia="zh-CN"/>
        </w:rPr>
        <w:t>50平方米，控制室</w:t>
      </w:r>
      <w:r>
        <w:rPr>
          <w:rFonts w:hint="eastAsia"/>
          <w:color w:val="auto"/>
          <w:lang w:val="en-US" w:eastAsia="zh-CN"/>
        </w:rPr>
        <w:t>预留位置为该项目</w:t>
      </w:r>
      <w:r>
        <w:rPr>
          <w:rFonts w:hint="eastAsia" w:ascii="Times New Roman" w:eastAsia="宋体"/>
          <w:color w:val="auto"/>
          <w:lang w:val="en-US" w:eastAsia="zh-CN"/>
        </w:rPr>
        <w:t>单独设置</w:t>
      </w:r>
      <w:r>
        <w:rPr>
          <w:rFonts w:hint="eastAsia"/>
          <w:color w:val="auto"/>
          <w:lang w:val="en-US" w:eastAsia="zh-CN"/>
        </w:rPr>
        <w:t>GDS系统</w:t>
      </w:r>
      <w:r>
        <w:rPr>
          <w:rFonts w:hint="eastAsia" w:ascii="Times New Roman" w:eastAsia="宋体"/>
          <w:color w:val="auto"/>
          <w:lang w:val="en-US" w:eastAsia="zh-CN"/>
        </w:rPr>
        <w:t>和</w:t>
      </w:r>
      <w:r>
        <w:rPr>
          <w:rFonts w:hint="eastAsia"/>
          <w:color w:val="auto"/>
          <w:lang w:val="en-US" w:eastAsia="zh-CN"/>
        </w:rPr>
        <w:t>DCS自控</w:t>
      </w:r>
      <w:r>
        <w:rPr>
          <w:rFonts w:hint="eastAsia" w:ascii="Times New Roman" w:eastAsia="宋体"/>
          <w:color w:val="auto"/>
          <w:lang w:val="en-US" w:eastAsia="zh-CN"/>
        </w:rPr>
        <w:t>系统</w:t>
      </w:r>
      <w:r>
        <w:rPr>
          <w:rFonts w:hint="eastAsia"/>
          <w:color w:val="auto"/>
          <w:lang w:val="en-US" w:eastAsia="zh-CN"/>
        </w:rPr>
        <w:t>。</w:t>
      </w:r>
    </w:p>
    <w:p>
      <w:pPr>
        <w:bidi w:val="0"/>
        <w:ind w:firstLine="560" w:firstLineChars="200"/>
        <w:rPr>
          <w:rFonts w:hint="eastAsia"/>
          <w:color w:val="auto"/>
          <w:lang w:val="en-US" w:eastAsia="zh-CN"/>
        </w:rPr>
      </w:pPr>
      <w:r>
        <w:rPr>
          <w:rFonts w:hint="eastAsia" w:ascii="Times New Roman" w:eastAsia="宋体"/>
          <w:color w:val="auto"/>
          <w:lang w:val="en-US" w:eastAsia="zh-CN"/>
        </w:rPr>
        <w:t>3.自动控制系统的设置和安全功能</w:t>
      </w:r>
    </w:p>
    <w:p>
      <w:pPr>
        <w:bidi w:val="0"/>
        <w:ind w:firstLine="560" w:firstLineChars="200"/>
        <w:rPr>
          <w:rFonts w:hint="eastAsia"/>
          <w:color w:val="auto"/>
          <w:lang w:val="en-US" w:eastAsia="zh-CN"/>
        </w:rPr>
      </w:pPr>
      <w:r>
        <w:rPr>
          <w:rFonts w:hint="eastAsia" w:ascii="Times New Roman" w:eastAsia="宋体"/>
          <w:color w:val="auto"/>
          <w:lang w:val="en-US" w:eastAsia="zh-CN"/>
        </w:rPr>
        <w:t>保护装置和设备的安全，根据工艺专业所提条件设计报警联锁系统，这些功能由DCS实现，通过DCS操作站可清楚的观察联锁系统的运行情况，或者由继电器实现，DCS报警。</w:t>
      </w:r>
    </w:p>
    <w:p>
      <w:pPr>
        <w:bidi w:val="0"/>
        <w:ind w:firstLine="560" w:firstLineChars="200"/>
        <w:rPr>
          <w:rFonts w:hint="eastAsia"/>
          <w:color w:val="auto"/>
          <w:lang w:val="en-US" w:eastAsia="zh-CN"/>
        </w:rPr>
      </w:pPr>
      <w:r>
        <w:rPr>
          <w:rFonts w:hint="eastAsia" w:ascii="Times New Roman" w:eastAsia="宋体"/>
          <w:color w:val="auto"/>
          <w:lang w:val="en-US" w:eastAsia="zh-CN"/>
        </w:rPr>
        <w:t>安全控制的基本要求：主要设备温度和压力的报警和联锁；紧急切断系统和有毒气体检测报警装置等。</w:t>
      </w:r>
    </w:p>
    <w:p>
      <w:pPr>
        <w:numPr>
          <w:ilvl w:val="0"/>
          <w:numId w:val="10"/>
        </w:numPr>
        <w:bidi w:val="0"/>
        <w:ind w:firstLine="560" w:firstLineChars="200"/>
        <w:rPr>
          <w:rFonts w:hint="default" w:ascii="Times New Roman" w:hAnsi="Times New Roman" w:cs="Times New Roman"/>
          <w:color w:val="auto"/>
          <w:lang w:val="en-US" w:eastAsia="zh-CN"/>
        </w:rPr>
      </w:pPr>
      <w:r>
        <w:rPr>
          <w:rFonts w:hint="eastAsia" w:ascii="Times New Roman" w:eastAsia="宋体"/>
          <w:color w:val="auto"/>
          <w:lang w:val="en-US" w:eastAsia="zh-CN"/>
        </w:rPr>
        <w:t>对重要参数设置越限报警系统，调节系统紧急状态下均可手动操作。设计中设置可燃气体检测仪，用于监测装置各危险部位逸出有毒气体所达到的浓度，应符合《石油化工可燃气体和有毒气体检测报警设计标准》（GB/T50493-2019）的规定。报警信号宜引到控制室。DCS画面根据报警级别的高低分别选择不同的颜色及闪烁来提醒操作人员，操作键盘上预组态的报警指示灯可以提供非当前画面的报警信息。</w:t>
      </w:r>
    </w:p>
    <w:p>
      <w:pPr>
        <w:numPr>
          <w:ilvl w:val="0"/>
          <w:numId w:val="10"/>
        </w:num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仪表选型</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（1）温度仪表</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远传信号根据工艺介质的温度选Pt100热电阻或不同分度号的热电偶，分别配套法兰式保护套管，其材质应根据接触介质的腐蚀性、温度、压力等级来选择，材质同工艺或设备材质一致。就地指示的温度仪表原则上采用万向型双金属温度计，配套法兰式保护套管，外套管选型原则同上。</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（2）压力（差压）仪表</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现场就地指示压力仪表根据接触介质的特性选用普通压力表、隔膜压力表等，腐蚀性、粘稠性介质选用隔膜压力表，微压测量选用膜盒式压力表，泵出口压力表选用耐震式压力表。压力远传测量选用EJA系列压力或压差变送器。连接方式选用单平法兰、双平法兰及普通导压管连接方式。</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（3）流量仪表</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现场指示型流量仪表选用金属转子流量计；进入生产过程控制系统的流量仪表选用电磁流量计、涡街流量计，需精确计量的产品流量测量选用质量流量计，并对要求计量的气（汽）体流量进行压力温度自动修正。为便于产品计量管理，除了现场带流量数字显示和计算外，在控制室生产过程控制系统可以制表打印显示。</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（4）液位仪表</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就地液位指示仪表选用磁翻板液位计。根据工艺介质的特殊性，远传液位测量仪表选用普通差压变送器、单（双）法兰差压变送器及电容式半导体液位变送器。</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（5）控制阀</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调节阀口径DN&lt;150mm视使用介质不同，分别选用气动薄膜调节阀、气动球型调节阀和气动隔膜式调节阀。阀内件材质应根据流体特性选择，流量特性将根据具体情况决定每个阀门为等百分比特性还是线性、快开特性，Cv值选择以正常操作下最小流量时阀门开度不小于30％，最大流量不大于90％为原则；阀体连接方式原则上采用法兰连接，上阀盖和填料将根据介质的腐蚀性、温度而定；阀门执行机构一般情况下采用单作用气动薄膜执行机构，电气阀门定位器随调节阀成套供货；切断阀带有全开、全关阀位开关；所有阀门应选用故障安全型。</w:t>
      </w:r>
    </w:p>
    <w:p>
      <w:pPr>
        <w:pStyle w:val="4"/>
        <w:bidi w:val="0"/>
        <w:rPr>
          <w:rFonts w:hint="default" w:ascii="Times New Roman" w:hAnsi="Times New Roman" w:cs="Times New Roman"/>
          <w:color w:val="auto"/>
          <w:lang w:val="en-US" w:eastAsia="zh-CN"/>
        </w:rPr>
      </w:pPr>
      <w:bookmarkStart w:id="37" w:name="_Toc10463"/>
      <w:r>
        <w:rPr>
          <w:rFonts w:hint="default" w:ascii="Times New Roman" w:hAnsi="Times New Roman" w:cs="Times New Roman"/>
          <w:color w:val="auto"/>
          <w:lang w:val="en-US" w:eastAsia="zh-CN"/>
        </w:rPr>
        <w:t>2.8公用工程及辅助设施</w:t>
      </w:r>
      <w:bookmarkEnd w:id="37"/>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2.8.1供配电</w:t>
      </w:r>
    </w:p>
    <w:p>
      <w:pPr>
        <w:numPr>
          <w:ilvl w:val="0"/>
          <w:numId w:val="11"/>
        </w:num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供配电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拟建项目电源由园区龙城变电站引来两路10KV高压电源，架空引至厂内原有1号高塔复合肥装置的包装楼2F的总配电室内。由原有1号高塔复合肥装置总配电室</w:t>
      </w:r>
      <w:r>
        <w:rPr>
          <w:rFonts w:hint="eastAsia" w:cs="Times New Roman"/>
          <w:color w:val="auto"/>
          <w:lang w:val="en-US" w:eastAsia="zh-CN"/>
        </w:rPr>
        <w:t>二</w:t>
      </w:r>
      <w:r>
        <w:rPr>
          <w:rFonts w:hint="default" w:ascii="Times New Roman" w:hAnsi="Times New Roman" w:eastAsia="宋体" w:cs="Times New Roman"/>
          <w:color w:val="auto"/>
          <w:lang w:val="en-US" w:eastAsia="zh-CN"/>
        </w:rPr>
        <w:t>路10KV出线至氨化车间包装楼二层设置的配电间内，放射式对各生产、储存单元供电。</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2、负荷等级及供电电源可靠性</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一级负荷中特别重要负荷有DCS控制系统、可燃和有毒气体检测报警系统、应急照明等；该项目涉及的尾气吸收系统属于二级用电负荷；该项目大多数用电负荷，如生产装置及相关的辅助生产装置属于三级用电负荷。其中</w:t>
      </w:r>
      <w:r>
        <w:rPr>
          <w:rFonts w:hint="eastAsia" w:cs="Times New Roman"/>
          <w:color w:val="auto"/>
          <w:lang w:val="en-US" w:eastAsia="zh-CN"/>
        </w:rPr>
        <w:t>一级负荷中的特别重要负荷：</w:t>
      </w:r>
      <w:r>
        <w:rPr>
          <w:rFonts w:hint="default" w:ascii="Times New Roman" w:hAnsi="Times New Roman" w:cs="Times New Roman"/>
          <w:color w:val="auto"/>
          <w:lang w:val="en-US" w:eastAsia="zh-CN"/>
        </w:rPr>
        <w:t>应急照明拟采用自带蓄电池，连续供电时间不少于30min；可燃和有毒气体检测报警系统、仪表系统采用UPS不间断电源，持续时间不小于180分钟</w:t>
      </w:r>
      <w:r>
        <w:rPr>
          <w:rFonts w:hint="eastAsia" w:cs="Times New Roman"/>
          <w:color w:val="auto"/>
          <w:lang w:val="en-US" w:eastAsia="zh-CN"/>
        </w:rPr>
        <w:t>，并且拟新增1台200kW柴油发电机组供应，能够满足该项目一级负荷中的特别重要负荷的需求</w:t>
      </w:r>
      <w:r>
        <w:rPr>
          <w:rFonts w:hint="default" w:ascii="Times New Roman" w:hAnsi="Times New Roman" w:cs="Times New Roman"/>
          <w:color w:val="auto"/>
          <w:lang w:val="en-US" w:eastAsia="zh-CN"/>
        </w:rPr>
        <w:t>。二级负荷由双回路用电供应</w:t>
      </w:r>
      <w:r>
        <w:rPr>
          <w:rFonts w:hint="eastAsia" w:cs="Times New Roman"/>
          <w:color w:val="auto"/>
          <w:lang w:val="en-US" w:eastAsia="zh-CN"/>
        </w:rPr>
        <w:t>，</w:t>
      </w:r>
      <w:r>
        <w:rPr>
          <w:rFonts w:hint="default" w:ascii="Times New Roman" w:hAnsi="Times New Roman" w:cs="Times New Roman"/>
          <w:color w:val="auto"/>
          <w:lang w:val="en-US" w:eastAsia="zh-CN"/>
        </w:rPr>
        <w:t>能够保证该项目的生产需求。</w:t>
      </w:r>
    </w:p>
    <w:p>
      <w:pPr>
        <w:numPr>
          <w:ilvl w:val="0"/>
          <w:numId w:val="0"/>
        </w:num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w:t>
      </w:r>
      <w:r>
        <w:rPr>
          <w:rFonts w:hint="default" w:ascii="Times New Roman" w:hAnsi="Times New Roman" w:cs="Times New Roman"/>
          <w:color w:val="auto"/>
        </w:rPr>
        <w:t>拟</w:t>
      </w:r>
      <w:r>
        <w:rPr>
          <w:rFonts w:hint="default" w:ascii="Times New Roman" w:hAnsi="Times New Roman" w:cs="Times New Roman"/>
          <w:color w:val="auto"/>
          <w:lang w:eastAsia="zh-CN"/>
        </w:rPr>
        <w:t>在氨化车间二层包装楼的380V配电间内新增</w:t>
      </w:r>
      <w:r>
        <w:rPr>
          <w:rFonts w:hint="default" w:ascii="Times New Roman" w:hAnsi="Times New Roman" w:cs="Times New Roman"/>
          <w:color w:val="auto"/>
          <w:lang w:val="en-US" w:eastAsia="zh-CN"/>
        </w:rPr>
        <w:t>1台</w:t>
      </w:r>
      <w:r>
        <w:rPr>
          <w:rFonts w:hint="eastAsia" w:cs="Times New Roman"/>
          <w:color w:val="auto"/>
          <w:lang w:val="en-US" w:eastAsia="zh-CN"/>
        </w:rPr>
        <w:t>2500kva干式</w:t>
      </w:r>
      <w:r>
        <w:rPr>
          <w:rFonts w:hint="default" w:ascii="Times New Roman" w:hAnsi="Times New Roman" w:cs="Times New Roman"/>
          <w:color w:val="auto"/>
          <w:lang w:val="en-US" w:eastAsia="zh-CN"/>
        </w:rPr>
        <w:t>变压器，以放射式的形式向各工段用电负荷供电。该项目拟安装设备的装机容量约</w:t>
      </w:r>
      <w:r>
        <w:rPr>
          <w:rFonts w:hint="eastAsia" w:cs="Times New Roman"/>
          <w:color w:val="auto"/>
          <w:lang w:val="en-US" w:eastAsia="zh-CN"/>
        </w:rPr>
        <w:t>1620</w:t>
      </w:r>
      <w:r>
        <w:rPr>
          <w:rFonts w:hint="default" w:ascii="Times New Roman" w:hAnsi="Times New Roman" w:cs="Times New Roman"/>
          <w:color w:val="auto"/>
          <w:lang w:val="en-US" w:eastAsia="zh-CN"/>
        </w:rPr>
        <w:t>KW，变压器负荷率</w:t>
      </w:r>
      <w:r>
        <w:rPr>
          <w:rFonts w:hint="eastAsia" w:cs="Times New Roman"/>
          <w:color w:val="auto"/>
          <w:lang w:val="en-US" w:eastAsia="zh-CN"/>
        </w:rPr>
        <w:t>约81%，能够满足该项目的需求</w:t>
      </w:r>
      <w:r>
        <w:rPr>
          <w:rFonts w:hint="default" w:ascii="Times New Roman" w:hAnsi="Times New Roman" w:cs="Times New Roman"/>
          <w:color w:val="auto"/>
          <w:lang w:val="en-US" w:eastAsia="zh-CN"/>
        </w:rPr>
        <w:t>。</w:t>
      </w:r>
    </w:p>
    <w:p>
      <w:pPr>
        <w:numPr>
          <w:ilvl w:val="0"/>
          <w:numId w:val="0"/>
        </w:num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在该项目氨化车间设置配电装置，从各自配电装置向有关用电设备（或现场控制箱）放射式供电。现场设置设置就地控制操作按钮。</w:t>
      </w:r>
    </w:p>
    <w:p>
      <w:pPr>
        <w:numPr>
          <w:ilvl w:val="0"/>
          <w:numId w:val="0"/>
        </w:num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高压电力电缆选用交联聚乙烯电力电缆YJV22-10KV型，动力电力电缆选用YJV22-1KV；VV-1KV型；控制电缆选用</w:t>
      </w:r>
      <w:r>
        <w:rPr>
          <w:rFonts w:hint="eastAsia" w:cs="Times New Roman"/>
          <w:color w:val="auto"/>
          <w:lang w:val="en-US" w:eastAsia="zh-CN"/>
        </w:rPr>
        <w:t>ZA-YJV22</w:t>
      </w:r>
      <w:r>
        <w:rPr>
          <w:rFonts w:hint="default" w:ascii="Times New Roman" w:hAnsi="Times New Roman" w:cs="Times New Roman"/>
          <w:color w:val="auto"/>
          <w:lang w:val="en-US" w:eastAsia="zh-CN"/>
        </w:rPr>
        <w:t>。</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3.照明</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根据各场所不同照度要求和环境特征选用不同型式的灯具，照明电源引自氨化车间配电间照明盘。</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照明回路电压为AC 220V；照明光源：室内照明光源以荧光灯为主，室外照明光源以LED灯为主。</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控制方式：设专用照明盘，户外场所采用照明电脑控制器控制，并设手动、自动转换开关；户内场所根据需要采用照明箱集中控制或就地分散控制。</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照明配线：室外照明采用铜芯电缆配线，室内照明采用铜芯塑料导线穿钢管暗配。配电线路采用BV型、ZR-BV型穿钢管敷设。</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照度标准：该项目各场所照度设计按现行国家标准《建筑照明设计标准》GB50034-2013执行，标准如下：一般生产区域  75-100 LX  控制室及操作室  200--300LX；其余部分按国家照度标准执行</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车间内设应急照明两用灯，照明应急两用灯具采用四线制接线方式，正常情况下由相应开关控制其通断；疏散及安全出口应急灯采用三线制接法，正常点亮；应急灯均带蓄电池，且应急时间不低于30分钟。</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该项目在道路两侧适当位置设道路照明，道路照明选用节能型路灯，厂区外线选用YJV22-0.6/1KV电缆，沿道路直埋地敷设。道路照明选用LED型节能路灯，全厂路灯在控制室集中控制。</w:t>
      </w:r>
    </w:p>
    <w:p>
      <w:pPr>
        <w:numPr>
          <w:ilvl w:val="0"/>
          <w:numId w:val="0"/>
        </w:numPr>
        <w:bidi w:val="0"/>
        <w:ind w:left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4、防雷接地</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依据《建筑防雷设计规范》GB50057-2010中的有关规定，该项目的氨化车间为第三类防雷建筑物，按三类防雷等级设置保护，利用屋面接闪带防直击雷，屋面接闪带网格不大于20×20(m)或24×16(m)。防雷及电气保护接地均连成一体，组成接地网，接地电阻不大于4欧。接地极采用热镀锌角钢L50×50×5，接地极水平间距应大于5m。水平连接条采用热镀锌扁钢40×4，水平连接条距外墙3m，埋深-0.8m。接闪引下线采用构造柱内四对角主筋(不小于Ф10)，引下线上与接闪带焊接，下与接地扁钢连通。所有防雷及接地构件均热镀锌。</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该项目罐区的盐酸储罐和硫酸储罐为</w:t>
      </w:r>
      <w:r>
        <w:rPr>
          <w:rFonts w:hint="eastAsia" w:cs="Times New Roman"/>
          <w:color w:val="auto"/>
          <w:lang w:val="en-US" w:eastAsia="zh-CN"/>
        </w:rPr>
        <w:t>碳钢或不锈</w:t>
      </w:r>
      <w:r>
        <w:rPr>
          <w:rFonts w:hint="default" w:ascii="Times New Roman" w:hAnsi="Times New Roman" w:cs="Times New Roman"/>
          <w:color w:val="auto"/>
          <w:lang w:val="en-US" w:eastAsia="zh-CN"/>
        </w:rPr>
        <w:t>钢材质，顶部利用铁质栏杆做接闪带，接闪带通过引下线与接地干线相连，接地干线用50×50×5的角钢打地做接地极，并重复接地，接地电阻不大于10欧姆。</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接地设计：各建筑保护方式采用TN-S接地保护方式。采用建筑物地梁底部主钢筋或敷设-40×4热镀锌扁钢作环形连接体，建筑物基础内主钢筋作接地极。防雷接地及电气保护接地均连成一体，组成接地网，接地电阻不大于4欧。设置人工接地极，人工接地极采用长2.5m的L50×50×5热镀锌角钢，接地极水平间距大于5m。所有设备上的电机均利用专用PE线作接地线。室外设备的金属外壳均需与室外接地干线作可靠连接。</w:t>
      </w:r>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2.8.2给排水</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、给水水源</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该</w:t>
      </w:r>
      <w:r>
        <w:rPr>
          <w:rFonts w:hint="default" w:ascii="Times New Roman" w:hAnsi="Times New Roman" w:cs="Times New Roman"/>
          <w:color w:val="auto"/>
        </w:rPr>
        <w:t>项目</w:t>
      </w:r>
      <w:r>
        <w:rPr>
          <w:rFonts w:hint="default" w:ascii="Times New Roman" w:hAnsi="Times New Roman" w:cs="Times New Roman"/>
          <w:color w:val="auto"/>
          <w:lang w:eastAsia="zh-CN"/>
        </w:rPr>
        <w:t>生活用水的</w:t>
      </w:r>
      <w:r>
        <w:rPr>
          <w:rFonts w:hint="default" w:ascii="Times New Roman" w:hAnsi="Times New Roman" w:cs="Times New Roman"/>
          <w:color w:val="auto"/>
        </w:rPr>
        <w:t>水源利用工业园市政给水管网</w:t>
      </w:r>
      <w:r>
        <w:rPr>
          <w:rFonts w:hint="default" w:ascii="Times New Roman" w:hAnsi="Times New Roman" w:cs="Times New Roman"/>
          <w:color w:val="auto"/>
          <w:lang w:eastAsia="zh-CN"/>
        </w:rPr>
        <w:t>提供。生产用水由九江心连心清洁生产综合利用项目净水厂提供。</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2、给水方案</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根据工艺专业用水对水质、水量的要求该项目给水系统划分为生产给水系统、生活给水系统、消防给水系统、循环给水系统。</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（1）生产、生活新鲜水</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lang w:eastAsia="zh-CN"/>
        </w:rPr>
        <w:t>拟建项目总定员39人，用水量按约50L/人•d计算，生活用水量约为</w:t>
      </w:r>
      <w:r>
        <w:rPr>
          <w:rFonts w:hint="default" w:ascii="Times New Roman" w:hAnsi="Times New Roman" w:cs="Times New Roman"/>
          <w:color w:val="auto"/>
          <w:lang w:val="en-US" w:eastAsia="zh-CN"/>
        </w:rPr>
        <w:t>35280t/a</w:t>
      </w:r>
      <w:r>
        <w:rPr>
          <w:rFonts w:hint="default" w:ascii="Times New Roman" w:hAnsi="Times New Roman" w:cs="Times New Roman"/>
          <w:color w:val="auto"/>
          <w:lang w:eastAsia="zh-CN"/>
        </w:rPr>
        <w:t>。该项目生产用水主要为各生产车间的尾气吸收用水，生产用水由九江心连心清洁生产综合利用项目净水厂提供，净水厂设计规模为70000m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/d，按每个处理单元35000m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/d进行布置，共2个处理单元。净水厂满足清洁生产综合利用项目后净水余量为145t/h，而该项目生产用水每小时最大用量为4.8t/h，可满足该项目用水要求。该项目生产、生活用水量可以得到保障。</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）循环水系统</w:t>
      </w:r>
    </w:p>
    <w:p>
      <w:pPr>
        <w:bidi w:val="0"/>
        <w:ind w:firstLine="560" w:firstLineChars="200"/>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eastAsia="zh-CN"/>
        </w:rPr>
        <w:t>该项目</w:t>
      </w:r>
      <w:r>
        <w:rPr>
          <w:rFonts w:hint="default" w:ascii="Times New Roman" w:hAnsi="Times New Roman" w:cs="Times New Roman"/>
          <w:color w:val="auto"/>
        </w:rPr>
        <w:t>循环水由九江心连心清洁生产综合利用项目循环水站提供</w:t>
      </w:r>
      <w:r>
        <w:rPr>
          <w:rFonts w:hint="default" w:ascii="Times New Roman" w:hAnsi="Times New Roman" w:cs="Times New Roman"/>
          <w:color w:val="auto"/>
          <w:lang w:eastAsia="zh-CN"/>
        </w:rPr>
        <w:t>，</w:t>
      </w:r>
      <w:r>
        <w:rPr>
          <w:rFonts w:hint="default" w:ascii="Times New Roman" w:hAnsi="Times New Roman" w:cs="Times New Roman"/>
          <w:color w:val="auto"/>
        </w:rPr>
        <w:t>九江心连心清洁生产综合利用项目的</w:t>
      </w:r>
      <w:r>
        <w:rPr>
          <w:rFonts w:hint="default" w:ascii="Times New Roman" w:hAnsi="Times New Roman" w:cs="Times New Roman"/>
          <w:color w:val="auto"/>
          <w:lang w:val="en-US" w:eastAsia="zh-CN"/>
        </w:rPr>
        <w:t>循环水站</w:t>
      </w:r>
      <w:r>
        <w:rPr>
          <w:rFonts w:hint="default" w:ascii="Times New Roman" w:hAnsi="Times New Roman" w:cs="Times New Roman"/>
          <w:color w:val="auto"/>
        </w:rPr>
        <w:t>设计规模为1170000m³/h，余量为9000m³/h，该项目的需求量为250 m³/h</w:t>
      </w:r>
      <w:r>
        <w:rPr>
          <w:rFonts w:hint="default" w:ascii="Times New Roman" w:hAnsi="Times New Roman" w:cs="Times New Roman"/>
          <w:color w:val="auto"/>
          <w:vertAlign w:val="baseline"/>
          <w:lang w:val="en-US" w:eastAsia="zh-CN"/>
        </w:rPr>
        <w:t>。因此循环水可满足该项目需求。</w:t>
      </w:r>
    </w:p>
    <w:p>
      <w:pPr>
        <w:spacing w:line="600" w:lineRule="exact"/>
        <w:ind w:firstLine="560" w:firstLineChars="200"/>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lang w:eastAsia="zh-CN"/>
        </w:rPr>
        <w:t>）脱盐水系统</w:t>
      </w:r>
    </w:p>
    <w:p>
      <w:pPr>
        <w:spacing w:line="600" w:lineRule="exact"/>
        <w:ind w:firstLine="560" w:firstLineChars="200"/>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lang w:eastAsia="zh-CN"/>
        </w:rPr>
        <w:t>该项目在造粒冷却工段需要用到脱盐水，该项目脱盐水每小时最大用量为4.56t/h，由九江心连心清洁生产综合利用项目脱盐水站提供，脱盐水站设计规模为400t/h，余量为104t/h，能够满足该项目脱盐水需求。</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lang w:val="en-US" w:eastAsia="zh-CN"/>
        </w:rPr>
        <w:t>4</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rPr>
        <w:t>消防给水系统</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见</w:t>
      </w:r>
      <w:r>
        <w:rPr>
          <w:rFonts w:hint="default" w:ascii="Times New Roman" w:hAnsi="Times New Roman" w:cs="Times New Roman"/>
          <w:color w:val="auto"/>
          <w:sz w:val="28"/>
          <w:szCs w:val="28"/>
          <w:lang w:val="en-US" w:eastAsia="zh-CN"/>
        </w:rPr>
        <w:t>2.10节消防系统</w:t>
      </w:r>
      <w:r>
        <w:rPr>
          <w:rFonts w:hint="default" w:ascii="Times New Roman" w:hAnsi="Times New Roman" w:cs="Times New Roman"/>
          <w:color w:val="auto"/>
          <w:sz w:val="28"/>
          <w:szCs w:val="28"/>
        </w:rPr>
        <w:t>。</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、排水系统</w:t>
      </w:r>
    </w:p>
    <w:p>
      <w:pPr>
        <w:bidi w:val="0"/>
        <w:ind w:firstLine="56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sz w:val="28"/>
          <w:szCs w:val="28"/>
        </w:rPr>
        <w:t>为了尽量减少对环境污染，达到国家污水排放要求，节约投资，</w:t>
      </w:r>
      <w:r>
        <w:rPr>
          <w:rFonts w:hint="default" w:ascii="Times New Roman" w:hAnsi="Times New Roman" w:cs="Times New Roman"/>
          <w:color w:val="auto"/>
          <w:sz w:val="28"/>
          <w:szCs w:val="28"/>
          <w:lang w:eastAsia="zh-CN"/>
        </w:rPr>
        <w:t>该项目</w:t>
      </w:r>
      <w:r>
        <w:rPr>
          <w:rFonts w:hint="default" w:ascii="Times New Roman" w:hAnsi="Times New Roman" w:cs="Times New Roman"/>
          <w:color w:val="auto"/>
          <w:sz w:val="28"/>
          <w:szCs w:val="28"/>
        </w:rPr>
        <w:t>污水实行清污分流，根据排水来源及排水水质，排水划分为生活污水系统、生产污水系统和雨水系统。</w:t>
      </w:r>
      <w:r>
        <w:rPr>
          <w:rFonts w:hint="default" w:ascii="Times New Roman" w:hAnsi="Times New Roman" w:cs="Times New Roman"/>
          <w:color w:val="auto"/>
          <w:lang w:eastAsia="zh-CN"/>
        </w:rPr>
        <w:t>该</w:t>
      </w:r>
      <w:r>
        <w:rPr>
          <w:rFonts w:hint="default" w:ascii="Times New Roman" w:hAnsi="Times New Roman" w:cs="Times New Roman"/>
          <w:color w:val="auto"/>
        </w:rPr>
        <w:t>项目</w:t>
      </w:r>
      <w:r>
        <w:rPr>
          <w:rFonts w:hint="default" w:ascii="Times New Roman" w:hAnsi="Times New Roman" w:cs="Times New Roman"/>
          <w:color w:val="auto"/>
          <w:lang w:eastAsia="zh-CN"/>
        </w:rPr>
        <w:t>的污水通过污水管道排入在建氮肥项目的污水处理站，</w:t>
      </w:r>
      <w:r>
        <w:rPr>
          <w:rFonts w:hint="default" w:ascii="Times New Roman" w:hAnsi="Times New Roman" w:cs="Times New Roman"/>
          <w:color w:val="auto"/>
        </w:rPr>
        <w:t>该项目产生的废水主要为生活污水、尾气吸收用水等</w:t>
      </w:r>
      <w:r>
        <w:rPr>
          <w:rFonts w:hint="default" w:ascii="Times New Roman" w:hAnsi="Times New Roman" w:cs="Times New Roman"/>
          <w:color w:val="auto"/>
          <w:lang w:eastAsia="zh-CN"/>
        </w:rPr>
        <w:t>。该项目尾气吸收用水全部回用于氯化氢降膜吸收。因此主要为生活污水，</w:t>
      </w:r>
      <w:r>
        <w:rPr>
          <w:rFonts w:hint="default" w:ascii="Times New Roman" w:hAnsi="Times New Roman" w:cs="Times New Roman"/>
          <w:color w:val="auto"/>
        </w:rPr>
        <w:t>污水量合计约为</w:t>
      </w:r>
      <w:r>
        <w:rPr>
          <w:rFonts w:hint="default" w:ascii="Times New Roman" w:hAnsi="Times New Roman" w:cs="Times New Roman"/>
          <w:color w:val="auto"/>
          <w:lang w:val="en-US" w:eastAsia="zh-CN"/>
        </w:rPr>
        <w:t>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default" w:ascii="Times New Roman" w:hAnsi="Times New Roman" w:cs="Times New Roman"/>
          <w:color w:val="auto"/>
          <w:lang w:eastAsia="zh-CN"/>
        </w:rPr>
        <w:t>该公司现有污水站</w:t>
      </w:r>
      <w:r>
        <w:rPr>
          <w:rFonts w:hint="default" w:ascii="Times New Roman" w:hAnsi="Times New Roman" w:cs="Times New Roman"/>
          <w:color w:val="auto"/>
        </w:rPr>
        <w:t>处理规模为：</w:t>
      </w:r>
      <w:r>
        <w:rPr>
          <w:rFonts w:hint="default" w:ascii="Times New Roman" w:hAnsi="Times New Roman" w:cs="Times New Roman"/>
          <w:color w:val="auto"/>
          <w:lang w:val="en-US" w:eastAsia="zh-CN"/>
        </w:rPr>
        <w:t>1</w:t>
      </w:r>
      <w:r>
        <w:rPr>
          <w:rFonts w:hint="default" w:ascii="Times New Roman" w:hAnsi="Times New Roman" w:cs="Times New Roman"/>
          <w:color w:val="auto"/>
        </w:rPr>
        <w:t>50.0m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default" w:ascii="Times New Roman" w:hAnsi="Times New Roman" w:cs="Times New Roman"/>
          <w:color w:val="auto"/>
          <w:lang w:eastAsia="zh-CN"/>
        </w:rPr>
        <w:t>，余量为</w:t>
      </w:r>
      <w:r>
        <w:rPr>
          <w:rFonts w:hint="default" w:ascii="Times New Roman" w:hAnsi="Times New Roman" w:cs="Times New Roman"/>
          <w:color w:val="auto"/>
          <w:lang w:val="en-US" w:eastAsia="zh-CN"/>
        </w:rPr>
        <w:t>50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default" w:ascii="Times New Roman" w:hAnsi="Times New Roman" w:cs="Times New Roman"/>
          <w:color w:val="auto"/>
          <w:lang w:eastAsia="zh-CN"/>
        </w:rPr>
        <w:t>。因此可满足该项目污水处理的需求。</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（1）生活污水排水系统</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该系统主要收集生活污水，生活污水排水量约</w:t>
      </w:r>
      <w:r>
        <w:rPr>
          <w:rFonts w:hint="default" w:ascii="Times New Roman" w:hAnsi="Times New Roman" w:cs="Times New Roman"/>
          <w:color w:val="auto"/>
          <w:lang w:val="en-US" w:eastAsia="zh-CN"/>
        </w:rPr>
        <w:t>4</w:t>
      </w:r>
      <w:r>
        <w:rPr>
          <w:rFonts w:hint="default" w:ascii="Times New Roman" w:hAnsi="Times New Roman" w:cs="Times New Roman"/>
          <w:color w:val="auto"/>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rPr>
        <w:t>/h。</w:t>
      </w:r>
      <w:r>
        <w:rPr>
          <w:rFonts w:hint="default" w:ascii="Times New Roman" w:hAnsi="Times New Roman" w:cs="Times New Roman"/>
          <w:color w:val="auto"/>
          <w:lang w:eastAsia="zh-CN"/>
        </w:rPr>
        <w:t>该</w:t>
      </w:r>
      <w:r>
        <w:rPr>
          <w:rFonts w:hint="default" w:ascii="Times New Roman" w:hAnsi="Times New Roman" w:cs="Times New Roman"/>
          <w:color w:val="auto"/>
        </w:rPr>
        <w:t>项目内的各单体的生活污水就近由化粪池处理后，由厂区内的生活污水排水管网收集后送至本公司的污水处理站进行处理。</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（2）生产污水排水系统</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eastAsia="zh-CN"/>
        </w:rPr>
        <w:t>该项目</w:t>
      </w:r>
      <w:r>
        <w:rPr>
          <w:rFonts w:hint="default" w:ascii="Times New Roman" w:hAnsi="Times New Roman" w:cs="Times New Roman"/>
          <w:color w:val="auto"/>
          <w:sz w:val="28"/>
          <w:szCs w:val="28"/>
        </w:rPr>
        <w:t>酸性废气洗涤产生的废水全部回用于氯化氢降膜吸收，不排放。</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（3）雨水排水系统</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雨水通过道路雨水口收集后，经雨水支管、雨水干管最终排入工业园市政雨水管。</w:t>
      </w:r>
    </w:p>
    <w:p>
      <w:pPr>
        <w:bidi w:val="0"/>
        <w:ind w:firstLine="560" w:firstLineChars="200"/>
        <w:rPr>
          <w:rFonts w:hint="default" w:ascii="Times New Roman" w:hAnsi="Times New Roman" w:cs="Times New Roman"/>
          <w:color w:val="auto"/>
          <w:lang w:val="en-US" w:eastAsia="zh-CN"/>
        </w:rPr>
      </w:pPr>
      <w:r>
        <w:rPr>
          <w:rFonts w:hint="eastAsia" w:cs="Times New Roman"/>
          <w:color w:val="auto"/>
          <w:lang w:val="en-US" w:eastAsia="zh-CN"/>
        </w:rPr>
        <w:t>该项目厂区内可能受污染面积（包括厂区道路和生产区露天区域等）约11000m</w:t>
      </w:r>
      <w:r>
        <w:rPr>
          <w:rFonts w:hint="eastAsia" w:cs="Times New Roman"/>
          <w:color w:val="auto"/>
          <w:vertAlign w:val="superscript"/>
          <w:lang w:val="en-US" w:eastAsia="zh-CN"/>
        </w:rPr>
        <w:t>2</w:t>
      </w:r>
      <w:r>
        <w:rPr>
          <w:rFonts w:hint="eastAsia" w:cs="Times New Roman"/>
          <w:color w:val="auto"/>
          <w:lang w:val="en-US" w:eastAsia="zh-CN"/>
        </w:rPr>
        <w:t>，按收集15mm最大初期降雨考虑，根据《石油化工企业给水排水系统设计规范》第5.3.4条，取15mm降水深度，初期雨水量V1=11×15×10=1650m</w:t>
      </w:r>
      <w:r>
        <w:rPr>
          <w:rFonts w:hint="eastAsia" w:cs="Times New Roman"/>
          <w:color w:val="auto"/>
          <w:vertAlign w:val="superscript"/>
          <w:lang w:val="en-US" w:eastAsia="zh-CN"/>
        </w:rPr>
        <w:t>3</w:t>
      </w:r>
      <w:r>
        <w:rPr>
          <w:rFonts w:hint="eastAsia" w:cs="Times New Roman"/>
          <w:color w:val="auto"/>
          <w:lang w:val="en-US" w:eastAsia="zh-CN"/>
        </w:rPr>
        <w:t>。</w:t>
      </w:r>
    </w:p>
    <w:p>
      <w:pPr>
        <w:bidi w:val="0"/>
        <w:ind w:firstLine="560" w:firstLineChars="200"/>
        <w:rPr>
          <w:rFonts w:hint="eastAsia" w:ascii="Times New Roman" w:hAnsi="Times New Roman" w:eastAsia="宋体" w:cs="Times New Roman"/>
          <w:color w:val="auto"/>
          <w:vertAlign w:val="baseline"/>
          <w:lang w:val="en-US" w:eastAsia="zh-CN"/>
        </w:rPr>
      </w:pPr>
      <w:r>
        <w:rPr>
          <w:rFonts w:hint="eastAsia" w:cs="Times New Roman"/>
          <w:color w:val="auto"/>
          <w:lang w:val="en-US" w:eastAsia="zh-CN"/>
        </w:rPr>
        <w:t>生产区因消防而产生的污水V2=</w:t>
      </w:r>
      <w:r>
        <w:rPr>
          <w:rFonts w:hint="default" w:ascii="Times New Roman" w:hAnsi="Times New Roman" w:eastAsia="宋体" w:cs="Times New Roman"/>
          <w:color w:val="auto"/>
          <w:lang w:val="en-US" w:eastAsia="zh-CN"/>
        </w:rPr>
        <w:t>216</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eastAsia" w:ascii="Times New Roman" w:hAnsi="Times New Roman" w:eastAsia="宋体" w:cs="Times New Roman"/>
          <w:color w:val="auto"/>
          <w:vertAlign w:val="baseline"/>
          <w:lang w:eastAsia="zh-CN"/>
        </w:rPr>
        <w:t>。</w:t>
      </w:r>
    </w:p>
    <w:p>
      <w:pPr>
        <w:bidi w:val="0"/>
        <w:ind w:firstLine="560" w:firstLineChars="200"/>
        <w:rPr>
          <w:rFonts w:hint="default" w:ascii="Times New Roman" w:hAnsi="Times New Roman" w:cs="Times New Roman"/>
          <w:color w:val="auto"/>
          <w:vertAlign w:val="baseline"/>
          <w:lang w:val="en-US" w:eastAsia="zh-CN"/>
        </w:rPr>
      </w:pPr>
      <w:r>
        <w:rPr>
          <w:rFonts w:hint="eastAsia" w:cs="Times New Roman"/>
          <w:color w:val="auto"/>
          <w:lang w:val="en-US" w:eastAsia="zh-CN"/>
        </w:rPr>
        <w:t>该项目储罐区设有围堰，储罐发生泄漏时，物料可暂时储存在围堰内。因此发生事故时生产装置内最大事故物料泄漏量为车间最大储罐容积，V3=50m</w:t>
      </w:r>
      <w:r>
        <w:rPr>
          <w:rFonts w:hint="eastAsia" w:cs="Times New Roman"/>
          <w:color w:val="auto"/>
          <w:vertAlign w:val="superscript"/>
          <w:lang w:val="en-US" w:eastAsia="zh-CN"/>
        </w:rPr>
        <w:t>3</w:t>
      </w:r>
      <w:r>
        <w:rPr>
          <w:rFonts w:hint="eastAsia" w:cs="Times New Roman"/>
          <w:color w:val="auto"/>
          <w:lang w:val="en-US" w:eastAsia="zh-CN"/>
        </w:rPr>
        <w:t>。因此V</w:t>
      </w:r>
      <w:r>
        <w:rPr>
          <w:rFonts w:hint="eastAsia" w:cs="Times New Roman"/>
          <w:color w:val="auto"/>
          <w:vertAlign w:val="subscript"/>
          <w:lang w:val="en-US" w:eastAsia="zh-CN"/>
        </w:rPr>
        <w:t>事故</w:t>
      </w:r>
      <w:r>
        <w:rPr>
          <w:rFonts w:hint="eastAsia" w:cs="Times New Roman"/>
          <w:color w:val="auto"/>
          <w:vertAlign w:val="baseline"/>
          <w:lang w:val="en-US" w:eastAsia="zh-CN"/>
        </w:rPr>
        <w:t>=V1+V2+V3=1916m。</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lang w:eastAsia="zh-CN"/>
        </w:rPr>
        <w:t>该项目依托厂区原有2个事故收集池</w:t>
      </w:r>
      <w:r>
        <w:rPr>
          <w:rFonts w:hint="eastAsia" w:cs="Times New Roman"/>
          <w:color w:val="auto"/>
          <w:lang w:eastAsia="zh-CN"/>
        </w:rPr>
        <w:t>，</w:t>
      </w:r>
      <w:r>
        <w:rPr>
          <w:rFonts w:hint="default" w:ascii="Times New Roman" w:hAnsi="Times New Roman" w:cs="Times New Roman"/>
          <w:color w:val="auto"/>
          <w:lang w:eastAsia="zh-CN"/>
        </w:rPr>
        <w:t>事故收集池总容积为</w:t>
      </w:r>
      <w:r>
        <w:rPr>
          <w:rFonts w:hint="default" w:ascii="Times New Roman" w:hAnsi="Times New Roman" w:cs="Times New Roman"/>
          <w:color w:val="auto"/>
          <w:lang w:val="en-US" w:eastAsia="zh-CN"/>
        </w:rPr>
        <w:t>2903</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，厂区事故收集池可以满足拟建项目事故状态下污水的储存。事故废水流入厂区原有的事故池，再打入园区的污水处理装置进行处理。</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6、管道</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生活污水排水管道采用钢带增强聚乙烯(PE)螺旋波纹（CJ/T225-2006）</w:t>
      </w:r>
      <w:r>
        <w:rPr>
          <w:rFonts w:hint="default" w:ascii="Times New Roman" w:hAnsi="Times New Roman" w:cs="Times New Roman"/>
          <w:color w:val="auto"/>
          <w:lang w:eastAsia="zh-CN"/>
        </w:rPr>
        <w:t>，</w:t>
      </w:r>
      <w:r>
        <w:rPr>
          <w:rFonts w:hint="default" w:ascii="Times New Roman" w:hAnsi="Times New Roman" w:cs="Times New Roman"/>
          <w:color w:val="auto"/>
        </w:rPr>
        <w:t>管道采用SN10级，热熔连接。</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生产污水及初期雨水管采用输送流体用无缝钢管（GB/T8163-2008），焊接接口。埋地钢管外壁防腐采用聚乙烯胶带加强级防腐。</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雨水排水管道管材采用钢带增强聚乙烯(PE)螺旋波纹（CJ/T225-2006）</w:t>
      </w:r>
      <w:r>
        <w:rPr>
          <w:rFonts w:hint="default" w:ascii="Times New Roman" w:hAnsi="Times New Roman" w:cs="Times New Roman"/>
          <w:color w:val="auto"/>
          <w:lang w:eastAsia="zh-CN"/>
        </w:rPr>
        <w:t>，</w:t>
      </w:r>
      <w:r>
        <w:rPr>
          <w:rFonts w:hint="default" w:ascii="Times New Roman" w:hAnsi="Times New Roman" w:cs="Times New Roman"/>
          <w:color w:val="auto"/>
        </w:rPr>
        <w:t>管道采用SN10级及SN12.5级，热熔连接。</w:t>
      </w:r>
    </w:p>
    <w:p>
      <w:pPr>
        <w:pStyle w:val="5"/>
        <w:bidi w:val="0"/>
        <w:rPr>
          <w:rFonts w:hint="default" w:ascii="Times New Roman" w:hAnsi="Times New Roman" w:cs="Times New Roman"/>
          <w:color w:val="auto"/>
          <w:lang w:val="en-US" w:eastAsia="zh-CN"/>
        </w:rPr>
      </w:pPr>
      <w:bookmarkStart w:id="38" w:name="_Toc22564"/>
      <w:r>
        <w:rPr>
          <w:rFonts w:hint="default" w:ascii="Times New Roman" w:hAnsi="Times New Roman" w:cs="Times New Roman"/>
          <w:color w:val="auto"/>
          <w:lang w:val="en-US" w:eastAsia="zh-CN"/>
        </w:rPr>
        <w:t>2.8.3供气和燃料系统</w:t>
      </w:r>
    </w:p>
    <w:p>
      <w:pPr>
        <w:bidi w:val="0"/>
        <w:ind w:firstLine="56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1、供气</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该项目不新建空压系统，拟依托</w:t>
      </w:r>
      <w:r>
        <w:rPr>
          <w:rFonts w:hint="default" w:ascii="Times New Roman" w:hAnsi="Times New Roman" w:eastAsia="宋体" w:cs="Times New Roman"/>
          <w:color w:val="auto"/>
          <w:lang w:eastAsia="zh-CN"/>
        </w:rPr>
        <w:t>已建</w:t>
      </w:r>
      <w:r>
        <w:rPr>
          <w:rFonts w:hint="default" w:ascii="Times New Roman" w:hAnsi="Times New Roman" w:eastAsia="宋体" w:cs="Times New Roman"/>
          <w:color w:val="auto"/>
        </w:rPr>
        <w:t>项目设置在</w:t>
      </w:r>
      <w:r>
        <w:rPr>
          <w:rFonts w:hint="default" w:ascii="Times New Roman" w:hAnsi="Times New Roman" w:eastAsia="宋体" w:cs="Times New Roman"/>
          <w:color w:val="auto"/>
          <w:lang w:eastAsia="zh-CN"/>
        </w:rPr>
        <w:t>复合肥车间设置</w:t>
      </w:r>
      <w:r>
        <w:rPr>
          <w:rFonts w:hint="default" w:ascii="Times New Roman" w:hAnsi="Times New Roman" w:eastAsia="宋体" w:cs="Times New Roman"/>
          <w:color w:val="auto"/>
        </w:rPr>
        <w:t>的空压系统，供应工艺用压缩空气和仪表用压缩空气。</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该公司</w:t>
      </w:r>
      <w:r>
        <w:rPr>
          <w:rFonts w:hint="default" w:ascii="Times New Roman" w:hAnsi="Times New Roman" w:eastAsia="宋体" w:cs="Times New Roman"/>
          <w:color w:val="auto"/>
          <w:lang w:eastAsia="zh-CN"/>
        </w:rPr>
        <w:t>原有设置</w:t>
      </w:r>
      <w:r>
        <w:rPr>
          <w:rFonts w:hint="default" w:ascii="Times New Roman" w:hAnsi="Times New Roman" w:eastAsia="宋体" w:cs="Times New Roman"/>
          <w:color w:val="auto"/>
        </w:rPr>
        <w:t>的螺杆空压机产气量为6.3m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/min，产气压力P=0.85Mpa。配备两个1</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m³压缩空气储罐。空气品质需达到该项目仪表和工艺用气要求，</w:t>
      </w:r>
      <w:r>
        <w:rPr>
          <w:rFonts w:hint="default" w:ascii="Times New Roman" w:hAnsi="Times New Roman" w:eastAsia="宋体" w:cs="Times New Roman"/>
          <w:color w:val="auto"/>
          <w:lang w:eastAsia="zh-CN"/>
        </w:rPr>
        <w:t>原有</w:t>
      </w:r>
      <w:r>
        <w:rPr>
          <w:rFonts w:hint="default" w:ascii="Times New Roman" w:hAnsi="Times New Roman" w:eastAsia="宋体" w:cs="Times New Roman"/>
          <w:color w:val="auto"/>
        </w:rPr>
        <w:t>项目需求量为3m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/min，该项目最大需求量约为2m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/min，供气量可以满足需求。</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2、燃料系统</w:t>
      </w:r>
    </w:p>
    <w:p>
      <w:pPr>
        <w:bidi w:val="0"/>
        <w:ind w:firstLine="560" w:firstLineChars="200"/>
        <w:rPr>
          <w:rFonts w:hint="eastAsia" w:cs="Times New Roman"/>
          <w:color w:val="auto"/>
          <w:lang w:val="en-US" w:eastAsia="zh-CN"/>
        </w:rPr>
      </w:pPr>
      <w:r>
        <w:rPr>
          <w:rFonts w:hint="default" w:ascii="Times New Roman" w:hAnsi="Times New Roman" w:cs="Times New Roman"/>
          <w:color w:val="auto"/>
          <w:lang w:eastAsia="zh-CN"/>
        </w:rPr>
        <w:t>该项目热风炉的加热燃料为天然气，</w:t>
      </w:r>
      <w:r>
        <w:rPr>
          <w:rFonts w:hint="default" w:ascii="Times New Roman" w:hAnsi="Times New Roman" w:cs="Times New Roman"/>
          <w:color w:val="auto"/>
        </w:rPr>
        <w:t>其消耗量为2932446.022m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a</w:t>
      </w:r>
      <w:r>
        <w:rPr>
          <w:rFonts w:hint="default" w:ascii="Times New Roman" w:hAnsi="Times New Roman" w:cs="Times New Roman"/>
          <w:color w:val="auto"/>
          <w:lang w:eastAsia="zh-CN"/>
        </w:rPr>
        <w:t>。该项目天然气来源于园区天然气管网，天然气管网供气量可以满足该项目需求。天然气调压站在厂区大门入口处，总管管径为DN200，去向</w:t>
      </w:r>
      <w:r>
        <w:rPr>
          <w:rFonts w:hint="eastAsia" w:cs="Times New Roman"/>
          <w:color w:val="auto"/>
          <w:lang w:eastAsia="zh-CN"/>
        </w:rPr>
        <w:t>氨化</w:t>
      </w:r>
      <w:r>
        <w:rPr>
          <w:rFonts w:hint="default" w:ascii="Times New Roman" w:hAnsi="Times New Roman" w:cs="Times New Roman"/>
          <w:color w:val="auto"/>
          <w:lang w:eastAsia="zh-CN"/>
        </w:rPr>
        <w:t>车间</w:t>
      </w:r>
      <w:r>
        <w:rPr>
          <w:rFonts w:hint="eastAsia" w:cs="Times New Roman"/>
          <w:color w:val="auto"/>
          <w:lang w:eastAsia="zh-CN"/>
        </w:rPr>
        <w:t>的</w:t>
      </w:r>
      <w:r>
        <w:rPr>
          <w:rFonts w:hint="default" w:ascii="Times New Roman" w:hAnsi="Times New Roman" w:cs="Times New Roman"/>
          <w:color w:val="auto"/>
          <w:lang w:eastAsia="zh-CN"/>
        </w:rPr>
        <w:t>管径为DN</w:t>
      </w:r>
      <w:r>
        <w:rPr>
          <w:rFonts w:hint="eastAsia" w:cs="Times New Roman"/>
          <w:color w:val="auto"/>
          <w:lang w:val="en-US" w:eastAsia="zh-CN"/>
        </w:rPr>
        <w:t>100</w:t>
      </w:r>
      <w:r>
        <w:rPr>
          <w:rFonts w:hint="default" w:ascii="Times New Roman" w:hAnsi="Times New Roman" w:cs="Times New Roman"/>
          <w:color w:val="auto"/>
          <w:lang w:eastAsia="zh-CN"/>
        </w:rPr>
        <w:t>，压力为</w:t>
      </w:r>
      <w:r>
        <w:rPr>
          <w:rFonts w:hint="eastAsia" w:cs="Times New Roman"/>
          <w:color w:val="auto"/>
          <w:lang w:val="en-US" w:eastAsia="zh-CN"/>
        </w:rPr>
        <w:t>0.4Mpa。</w:t>
      </w:r>
    </w:p>
    <w:p>
      <w:pPr>
        <w:numPr>
          <w:ilvl w:val="0"/>
          <w:numId w:val="0"/>
        </w:numPr>
        <w:bidi w:val="0"/>
        <w:ind w:leftChars="200"/>
        <w:rPr>
          <w:rFonts w:hint="eastAsia" w:cs="Times New Roman"/>
          <w:color w:val="auto"/>
          <w:lang w:val="en-US" w:eastAsia="zh-CN"/>
        </w:rPr>
      </w:pPr>
      <w:r>
        <w:rPr>
          <w:rFonts w:hint="eastAsia" w:cs="Times New Roman"/>
          <w:color w:val="auto"/>
          <w:lang w:val="en-US" w:eastAsia="zh-CN"/>
        </w:rPr>
        <w:t>3、蒸汽</w:t>
      </w:r>
    </w:p>
    <w:p>
      <w:pPr>
        <w:numPr>
          <w:ilvl w:val="0"/>
          <w:numId w:val="0"/>
        </w:numPr>
        <w:bidi w:val="0"/>
        <w:ind w:firstLine="560" w:firstLineChars="200"/>
        <w:rPr>
          <w:rFonts w:hint="default"/>
          <w:color w:val="auto"/>
          <w:lang w:val="en-US" w:eastAsia="zh-CN"/>
        </w:rPr>
      </w:pPr>
      <w:r>
        <w:rPr>
          <w:rFonts w:hint="eastAsia"/>
          <w:color w:val="auto"/>
          <w:lang w:val="en-US" w:eastAsia="zh-CN"/>
        </w:rPr>
        <w:t>该项目</w:t>
      </w:r>
      <w:r>
        <w:rPr>
          <w:rFonts w:hint="default"/>
          <w:color w:val="auto"/>
          <w:lang w:val="en-US" w:eastAsia="zh-CN"/>
        </w:rPr>
        <w:t>生产中需要大量的低压蒸汽作为生产加热用汽，蒸汽来源九江心连心清洁生产综合利用项目</w:t>
      </w:r>
      <w:r>
        <w:rPr>
          <w:rFonts w:hint="eastAsia"/>
          <w:color w:val="auto"/>
          <w:lang w:val="en-US" w:eastAsia="zh-CN"/>
        </w:rPr>
        <w:t>的</w:t>
      </w:r>
      <w:r>
        <w:rPr>
          <w:rFonts w:hint="default"/>
          <w:color w:val="auto"/>
          <w:lang w:val="en-US" w:eastAsia="zh-CN"/>
        </w:rPr>
        <w:t>动力站，动力站内设480t/h，260t/h高温高压燃煤锅炉</w:t>
      </w:r>
      <w:r>
        <w:rPr>
          <w:rFonts w:hint="eastAsia"/>
          <w:color w:val="auto"/>
          <w:lang w:val="en-US" w:eastAsia="zh-CN"/>
        </w:rPr>
        <w:t>。该</w:t>
      </w:r>
      <w:r>
        <w:rPr>
          <w:rFonts w:hint="default"/>
          <w:color w:val="auto"/>
          <w:lang w:val="en-US" w:eastAsia="zh-CN"/>
        </w:rPr>
        <w:t>项目所用蒸汽来自次中压2.5MPa饱和蒸汽管网，到</w:t>
      </w:r>
      <w:r>
        <w:rPr>
          <w:rFonts w:hint="eastAsia"/>
          <w:color w:val="auto"/>
          <w:lang w:val="en-US" w:eastAsia="zh-CN"/>
        </w:rPr>
        <w:t>该</w:t>
      </w:r>
      <w:r>
        <w:rPr>
          <w:rFonts w:hint="default"/>
          <w:color w:val="auto"/>
          <w:lang w:val="en-US" w:eastAsia="zh-CN"/>
        </w:rPr>
        <w:t>项目装置外减温减压到0.6MPa后送装置区使用。2.5MPa饱和蒸汽负荷余量为20t/h，</w:t>
      </w:r>
      <w:r>
        <w:rPr>
          <w:rFonts w:hint="eastAsia"/>
          <w:color w:val="auto"/>
          <w:lang w:val="en-US" w:eastAsia="zh-CN"/>
        </w:rPr>
        <w:t>该项目的最大需求量为4.167t/h，</w:t>
      </w:r>
      <w:r>
        <w:rPr>
          <w:rFonts w:hint="default"/>
          <w:color w:val="auto"/>
          <w:lang w:val="en-US" w:eastAsia="zh-CN"/>
        </w:rPr>
        <w:t>能够满足</w:t>
      </w:r>
      <w:r>
        <w:rPr>
          <w:rFonts w:hint="eastAsia"/>
          <w:color w:val="auto"/>
          <w:lang w:val="en-US" w:eastAsia="zh-CN"/>
        </w:rPr>
        <w:t>该</w:t>
      </w:r>
      <w:r>
        <w:rPr>
          <w:rFonts w:hint="default"/>
          <w:color w:val="auto"/>
          <w:lang w:val="en-US" w:eastAsia="zh-CN"/>
        </w:rPr>
        <w:t>项目使用。</w:t>
      </w:r>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2.8.4消防系统</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一、消防现状</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公司消防设计要遵循“预防为主，防消结合”的原则，严格执行设计规范。按火灾类别及耐火等级严格控制各建筑物、构筑物的防火分区及防火间距，并满足安全疏散要求。车间、罐区等周围均设环形消防车道，且不小于两处与其他车道相通，消防车道宽度与净空均不小于5.0米，确保消防车畅通无阻。</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该公司现有全厂性消防系统，采用水消防和灭火器消防相结合的形式。该公司已建有消防水池和消防泵房，用于厂区消防用水需求。为了保证消防供水的安全可靠，消防用水采用环状管网供水；该公司在</w:t>
      </w:r>
      <w:r>
        <w:rPr>
          <w:rFonts w:hint="default" w:ascii="Times New Roman" w:hAnsi="Times New Roman" w:eastAsia="宋体" w:cs="Times New Roman"/>
          <w:color w:val="auto"/>
          <w:lang w:eastAsia="zh-CN"/>
        </w:rPr>
        <w:t>原有</w:t>
      </w:r>
      <w:r>
        <w:rPr>
          <w:rFonts w:hint="default" w:ascii="Times New Roman" w:hAnsi="Times New Roman" w:eastAsia="宋体" w:cs="Times New Roman"/>
          <w:color w:val="auto"/>
        </w:rPr>
        <w:t>项目区内设置一座</w:t>
      </w:r>
      <w:r>
        <w:rPr>
          <w:rFonts w:hint="default" w:ascii="Times New Roman" w:hAnsi="Times New Roman" w:eastAsia="宋体" w:cs="Times New Roman"/>
          <w:color w:val="auto"/>
          <w:lang w:val="en-US" w:eastAsia="zh-CN"/>
        </w:rPr>
        <w:t>500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的消防水池，在消防水池旁设置消防泵房，消防水消防泵采用2台型号为</w:t>
      </w:r>
      <w:r>
        <w:rPr>
          <w:rFonts w:hint="default" w:ascii="Times New Roman" w:hAnsi="Times New Roman" w:cs="Times New Roman"/>
          <w:color w:val="auto"/>
          <w:lang w:eastAsia="zh-CN"/>
        </w:rPr>
        <w:t>XBD14/60G</w:t>
      </w:r>
      <w:r>
        <w:rPr>
          <w:rFonts w:hint="default" w:ascii="Times New Roman" w:hAnsi="Times New Roman" w:eastAsia="宋体" w:cs="Times New Roman"/>
          <w:color w:val="auto"/>
        </w:rPr>
        <w:t>，Q=</w:t>
      </w:r>
      <w:r>
        <w:rPr>
          <w:rFonts w:hint="default" w:ascii="Times New Roman" w:hAnsi="Times New Roman" w:cs="Times New Roman"/>
          <w:color w:val="auto"/>
          <w:lang w:val="en-US" w:eastAsia="zh-CN"/>
        </w:rPr>
        <w:t>6</w:t>
      </w:r>
      <w:r>
        <w:rPr>
          <w:rFonts w:hint="default" w:ascii="Times New Roman" w:hAnsi="Times New Roman" w:eastAsia="宋体" w:cs="Times New Roman"/>
          <w:color w:val="auto"/>
        </w:rPr>
        <w:t>0L/s的消防水泵。</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各建筑物内疏散走道、安全出口防火间距按规范要求设置，同时按有关规定设置消火栓和灭火器，专人管理，定期检查。</w:t>
      </w:r>
    </w:p>
    <w:p>
      <w:pPr>
        <w:numPr>
          <w:ilvl w:val="0"/>
          <w:numId w:val="12"/>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该项目消防情况</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该项目消防水供应系统依托已建消防设施，拟新增消防水管网。</w:t>
      </w:r>
    </w:p>
    <w:p>
      <w:pPr>
        <w:numPr>
          <w:ilvl w:val="0"/>
          <w:numId w:val="13"/>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消防水系统</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依据《消防给水及消火栓系统技术规范》3.1.1，该公司总占地面积小于等于100hm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，且附有居住区人数小于等于1.5万人时，同一时间内的火灾起数按1起确定。</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该项目拟建的</w:t>
      </w:r>
      <w:r>
        <w:rPr>
          <w:rFonts w:hint="default" w:ascii="Times New Roman" w:hAnsi="Times New Roman" w:cs="Times New Roman"/>
          <w:color w:val="auto"/>
          <w:lang w:eastAsia="zh-CN"/>
        </w:rPr>
        <w:t>建构筑物中</w:t>
      </w:r>
      <w:r>
        <w:rPr>
          <w:rFonts w:hint="default" w:ascii="Times New Roman" w:hAnsi="Times New Roman" w:eastAsia="宋体" w:cs="Times New Roman"/>
          <w:color w:val="auto"/>
        </w:rPr>
        <w:t>消防用水量最大的为</w:t>
      </w:r>
      <w:r>
        <w:rPr>
          <w:rFonts w:hint="default" w:ascii="Times New Roman" w:hAnsi="Times New Roman" w:cs="Times New Roman"/>
          <w:color w:val="auto"/>
          <w:lang w:eastAsia="zh-CN"/>
        </w:rPr>
        <w:t>原料库</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火灾危险性为</w:t>
      </w:r>
      <w:r>
        <w:rPr>
          <w:rFonts w:hint="default" w:ascii="Times New Roman" w:hAnsi="Times New Roman" w:cs="Times New Roman"/>
          <w:color w:val="auto"/>
          <w:lang w:eastAsia="zh-CN"/>
        </w:rPr>
        <w:t>戊</w:t>
      </w:r>
      <w:r>
        <w:rPr>
          <w:rFonts w:hint="default" w:ascii="Times New Roman" w:hAnsi="Times New Roman" w:eastAsia="宋体" w:cs="Times New Roman"/>
          <w:color w:val="auto"/>
        </w:rPr>
        <w:t>类，建筑面积为</w:t>
      </w:r>
      <w:r>
        <w:rPr>
          <w:rFonts w:hint="default" w:ascii="Times New Roman" w:hAnsi="Times New Roman" w:cs="Times New Roman"/>
          <w:color w:val="auto"/>
          <w:lang w:val="en-US" w:eastAsia="zh-CN"/>
        </w:rPr>
        <w:t>11306.78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，建筑高度为</w:t>
      </w:r>
      <w:r>
        <w:rPr>
          <w:rFonts w:hint="default" w:ascii="Times New Roman" w:hAnsi="Times New Roman" w:eastAsia="宋体" w:cs="Times New Roman"/>
          <w:color w:val="auto"/>
          <w:lang w:val="en-US" w:eastAsia="zh-CN"/>
        </w:rPr>
        <w:t>1</w:t>
      </w:r>
      <w:r>
        <w:rPr>
          <w:rFonts w:hint="default" w:ascii="Times New Roman" w:hAnsi="Times New Roman" w:cs="Times New Roman"/>
          <w:color w:val="auto"/>
          <w:lang w:val="en-US" w:eastAsia="zh-CN"/>
        </w:rPr>
        <w:t>5</w:t>
      </w:r>
      <w:r>
        <w:rPr>
          <w:rFonts w:hint="default" w:ascii="Times New Roman" w:hAnsi="Times New Roman" w:eastAsia="宋体" w:cs="Times New Roman"/>
          <w:color w:val="auto"/>
        </w:rPr>
        <w:t>m，建筑体积V=</w:t>
      </w:r>
      <w:r>
        <w:rPr>
          <w:rFonts w:hint="default" w:ascii="Times New Roman" w:hAnsi="Times New Roman" w:cs="Times New Roman"/>
          <w:color w:val="auto"/>
          <w:lang w:val="en-US" w:eastAsia="zh-CN"/>
        </w:rPr>
        <w:t>169601.7</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。根据《消防给水及消火栓系统技术规范》（GB50974-2014）第3.2.2条，5000</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V</w:t>
      </w:r>
      <w:r>
        <w:rPr>
          <w:rFonts w:hint="default" w:ascii="Times New Roman" w:hAnsi="Times New Roman" w:eastAsia="宋体" w:cs="Times New Roman"/>
          <w:color w:val="auto"/>
        </w:rPr>
        <w:t>，其室外消火栓用水量为2</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L/s，根据《消防给水及消火栓系统技术规范》（GB50974-2014）第3.5.2条，</w:t>
      </w:r>
      <w:r>
        <w:rPr>
          <w:rFonts w:hint="default" w:ascii="Times New Roman" w:hAnsi="Times New Roman" w:eastAsia="宋体" w:cs="Times New Roman"/>
          <w:color w:val="auto"/>
          <w:lang w:eastAsia="zh-CN"/>
        </w:rPr>
        <w:t>厂房</w:t>
      </w:r>
      <w:r>
        <w:rPr>
          <w:rFonts w:hint="default" w:ascii="Times New Roman" w:hAnsi="Times New Roman" w:eastAsia="宋体" w:cs="Times New Roman"/>
          <w:color w:val="auto"/>
        </w:rPr>
        <w:t>高度h≤24，室内消火栓用水量为</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L/s，消火栓总用水量为</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0L/s。根据《消防给水及消火栓系统技术规范》（GB50974-2014）第3.6.2条，火灾延续时间</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小时。消防用水量V=0.0</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×3600×</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216</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p>
      <w:pPr>
        <w:ind w:firstLine="560" w:firstLineChars="200"/>
        <w:rPr>
          <w:rFonts w:hint="default" w:ascii="Times New Roman" w:hAnsi="Times New Roman" w:eastAsia="宋体" w:cs="Times New Roman"/>
          <w:color w:val="auto"/>
        </w:rPr>
      </w:pPr>
      <w:r>
        <w:rPr>
          <w:rFonts w:hint="default" w:ascii="Times New Roman" w:hAnsi="Times New Roman" w:cs="Times New Roman"/>
          <w:color w:val="auto"/>
          <w:lang w:val="en-US" w:eastAsia="zh-CN"/>
        </w:rPr>
        <w:t>依托</w:t>
      </w:r>
      <w:r>
        <w:rPr>
          <w:rFonts w:hint="default" w:ascii="Times New Roman" w:hAnsi="Times New Roman" w:eastAsia="宋体" w:cs="Times New Roman"/>
          <w:color w:val="auto"/>
          <w:lang w:eastAsia="zh-CN"/>
        </w:rPr>
        <w:t>原有</w:t>
      </w:r>
      <w:r>
        <w:rPr>
          <w:rFonts w:hint="default" w:ascii="Times New Roman" w:hAnsi="Times New Roman" w:eastAsia="宋体" w:cs="Times New Roman"/>
          <w:color w:val="auto"/>
        </w:rPr>
        <w:t>项目区内设置一座</w:t>
      </w:r>
      <w:r>
        <w:rPr>
          <w:rFonts w:hint="default" w:ascii="Times New Roman" w:hAnsi="Times New Roman" w:eastAsia="宋体" w:cs="Times New Roman"/>
          <w:color w:val="auto"/>
          <w:lang w:val="en-US" w:eastAsia="zh-CN"/>
        </w:rPr>
        <w:t>500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的消防水池，2台型号为</w:t>
      </w:r>
      <w:r>
        <w:rPr>
          <w:rFonts w:hint="default" w:ascii="Times New Roman" w:hAnsi="Times New Roman" w:cs="Times New Roman"/>
          <w:color w:val="auto"/>
          <w:lang w:eastAsia="zh-CN"/>
        </w:rPr>
        <w:t>XBD14/60G</w:t>
      </w:r>
      <w:r>
        <w:rPr>
          <w:rFonts w:hint="default" w:ascii="Times New Roman" w:hAnsi="Times New Roman" w:eastAsia="宋体" w:cs="Times New Roman"/>
          <w:color w:val="auto"/>
        </w:rPr>
        <w:t>，Q=</w:t>
      </w:r>
      <w:r>
        <w:rPr>
          <w:rFonts w:hint="default" w:ascii="Times New Roman" w:hAnsi="Times New Roman" w:cs="Times New Roman"/>
          <w:color w:val="auto"/>
          <w:lang w:val="en-US" w:eastAsia="zh-CN"/>
        </w:rPr>
        <w:t>6</w:t>
      </w:r>
      <w:r>
        <w:rPr>
          <w:rFonts w:hint="default" w:ascii="Times New Roman" w:hAnsi="Times New Roman" w:eastAsia="宋体" w:cs="Times New Roman"/>
          <w:color w:val="auto"/>
        </w:rPr>
        <w:t>0L/s的消防水泵</w:t>
      </w:r>
      <w:r>
        <w:rPr>
          <w:rFonts w:hint="default" w:ascii="Times New Roman" w:hAnsi="Times New Roman" w:cs="Times New Roman"/>
          <w:color w:val="auto"/>
          <w:lang w:eastAsia="zh-CN"/>
        </w:rPr>
        <w:t>可以满足该项目消防水的需求</w:t>
      </w:r>
      <w:r>
        <w:rPr>
          <w:rFonts w:hint="default" w:ascii="Times New Roman" w:hAnsi="Times New Roman" w:eastAsia="宋体" w:cs="Times New Roman"/>
          <w:color w:val="auto"/>
        </w:rPr>
        <w:t>。</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拟按规范要求设置室外消火栓和室内消火栓，厂区室外地上式消火栓，间距60~120m，保护半径&lt;150。各建筑物室内均设置室内消火栓，间距&lt;30m，保证有二支水枪的水柱到达室内任何部位，室内消防管道与厂区环状消防管网连接。</w:t>
      </w:r>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2、灭火器配置</w:t>
      </w:r>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根据《建筑灭火器配置设计规范》要求，在氨化车间、原料罐区设置一定数量MF/ABC6型手提式磷酸铵盐干粉灭火器。</w:t>
      </w:r>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2.8.6电信</w:t>
      </w:r>
      <w:bookmarkEnd w:id="38"/>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lang w:eastAsia="zh-CN"/>
        </w:rPr>
        <w:t>该项目</w:t>
      </w:r>
      <w:r>
        <w:rPr>
          <w:rFonts w:hint="default" w:ascii="Times New Roman" w:hAnsi="Times New Roman" w:cs="Times New Roman"/>
          <w:color w:val="auto"/>
        </w:rPr>
        <w:t>拟设置下列电信设施：行政管理电话、生产调度电话、电视监视系统、火灾自动报警系统。</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通信设施方案</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（1）无线通信系统</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为了满足安装、调试、巡检等流动生产人员对通讯手段的要求，</w:t>
      </w:r>
      <w:r>
        <w:rPr>
          <w:rFonts w:hint="default" w:ascii="Times New Roman" w:hAnsi="Times New Roman" w:cs="Times New Roman"/>
          <w:color w:val="auto"/>
          <w:lang w:eastAsia="zh-CN"/>
        </w:rPr>
        <w:t>该</w:t>
      </w:r>
      <w:r>
        <w:rPr>
          <w:rFonts w:hint="default" w:ascii="Times New Roman" w:hAnsi="Times New Roman" w:cs="Times New Roman"/>
          <w:color w:val="auto"/>
        </w:rPr>
        <w:t>装置拟设</w:t>
      </w:r>
      <w:r>
        <w:rPr>
          <w:rFonts w:hint="default" w:ascii="Times New Roman" w:hAnsi="Times New Roman" w:cs="Times New Roman"/>
          <w:color w:val="auto"/>
          <w:lang w:val="en-US" w:eastAsia="zh-CN"/>
        </w:rPr>
        <w:t>2</w:t>
      </w:r>
      <w:r>
        <w:rPr>
          <w:rFonts w:hint="default" w:ascii="Times New Roman" w:hAnsi="Times New Roman" w:cs="Times New Roman"/>
          <w:color w:val="auto"/>
        </w:rPr>
        <w:t>对无线对讲机。通信方式为半双工点对点直接联络。</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（2）电视监视系统</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lang w:eastAsia="zh-CN"/>
        </w:rPr>
        <w:t>该项目</w:t>
      </w:r>
      <w:r>
        <w:rPr>
          <w:rFonts w:hint="default" w:ascii="Times New Roman" w:hAnsi="Times New Roman" w:cs="Times New Roman"/>
          <w:color w:val="auto"/>
        </w:rPr>
        <w:t>的电视监视系统由主控制器、显示终端和现场的摄像机等组成。主控设备设在</w:t>
      </w:r>
      <w:r>
        <w:rPr>
          <w:rFonts w:hint="default" w:ascii="Times New Roman" w:hAnsi="Times New Roman" w:cs="Times New Roman"/>
          <w:color w:val="auto"/>
          <w:lang w:val="en-US" w:eastAsia="zh-CN"/>
        </w:rPr>
        <w:t>原有复合肥车间</w:t>
      </w:r>
      <w:r>
        <w:rPr>
          <w:rFonts w:hint="default" w:ascii="Times New Roman" w:hAnsi="Times New Roman" w:eastAsia="宋体" w:cs="Times New Roman"/>
          <w:color w:val="auto"/>
          <w:lang w:val="en-US" w:eastAsia="zh-CN"/>
        </w:rPr>
        <w:t>的</w:t>
      </w:r>
      <w:r>
        <w:rPr>
          <w:rFonts w:hint="default" w:ascii="Times New Roman" w:hAnsi="Times New Roman" w:cs="Times New Roman"/>
          <w:color w:val="auto"/>
          <w:lang w:val="en-US" w:eastAsia="zh-CN"/>
        </w:rPr>
        <w:t>中央</w:t>
      </w:r>
      <w:r>
        <w:rPr>
          <w:rFonts w:hint="default" w:ascii="Times New Roman" w:hAnsi="Times New Roman" w:eastAsia="宋体" w:cs="Times New Roman"/>
          <w:color w:val="auto"/>
          <w:lang w:val="en-US" w:eastAsia="zh-CN"/>
        </w:rPr>
        <w:t>控制室</w:t>
      </w:r>
      <w:r>
        <w:rPr>
          <w:rFonts w:hint="default" w:ascii="Times New Roman" w:hAnsi="Times New Roman" w:cs="Times New Roman"/>
          <w:color w:val="auto"/>
        </w:rPr>
        <w:t>机柜间内。</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生产装置、管廊、进出入口等处设置摄像机。摄像机传输方式以光缆和视频电缆结合方式。</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（3）火灾自动报警系统</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根据生产管理模式，火灾报警系统设置成由火灾报警控制器组成的对等的火灾报警控制网络。每个火灾报警控制器是网络上的一个节点。厂前区以建筑物为相对独立区域设置火灾报警控制器，生产区以控制室及其所属的装置为相对独立区域设置火灾报警控制器，每台火灾报警控制器以光缆连接，消防站的火灾报警控制器设置为控制中心。</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火灾报警控制器设在</w:t>
      </w:r>
      <w:r>
        <w:rPr>
          <w:rFonts w:hint="eastAsia" w:cs="Times New Roman"/>
          <w:color w:val="auto"/>
          <w:lang w:val="en-US" w:eastAsia="zh-CN"/>
        </w:rPr>
        <w:t>中央</w:t>
      </w:r>
      <w:r>
        <w:rPr>
          <w:rFonts w:hint="eastAsia" w:cs="Times New Roman"/>
          <w:color w:val="auto"/>
          <w:lang w:eastAsia="zh-CN"/>
        </w:rPr>
        <w:t>控制室</w:t>
      </w:r>
      <w:r>
        <w:rPr>
          <w:rFonts w:hint="default" w:ascii="Times New Roman" w:hAnsi="Times New Roman" w:cs="Times New Roman"/>
          <w:color w:val="auto"/>
        </w:rPr>
        <w:t>。每台火灾报警控制</w:t>
      </w:r>
      <w:r>
        <w:rPr>
          <w:rFonts w:hint="default" w:ascii="Times New Roman" w:hAnsi="Times New Roman" w:cs="Times New Roman"/>
          <w:color w:val="auto"/>
          <w:lang w:eastAsia="zh-CN"/>
        </w:rPr>
        <w:t>系统</w:t>
      </w:r>
      <w:r>
        <w:rPr>
          <w:rFonts w:hint="default" w:ascii="Times New Roman" w:hAnsi="Times New Roman" w:cs="Times New Roman"/>
          <w:color w:val="auto"/>
        </w:rPr>
        <w:t>由控制盘、消防广播/电话主机、火灾探测器、手动报警按钮、消防广播扬声器、声光报警器等组成。</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火灾探测器安装在</w:t>
      </w:r>
      <w:r>
        <w:rPr>
          <w:rFonts w:hint="eastAsia" w:cs="Times New Roman"/>
          <w:color w:val="auto"/>
          <w:lang w:eastAsia="zh-CN"/>
        </w:rPr>
        <w:t>中央控制室</w:t>
      </w:r>
      <w:r>
        <w:rPr>
          <w:rFonts w:hint="default" w:ascii="Times New Roman" w:hAnsi="Times New Roman" w:cs="Times New Roman"/>
          <w:color w:val="auto"/>
        </w:rPr>
        <w:t>、</w:t>
      </w:r>
      <w:r>
        <w:rPr>
          <w:rFonts w:hint="eastAsia" w:cs="Times New Roman"/>
          <w:color w:val="auto"/>
          <w:lang w:eastAsia="zh-CN"/>
        </w:rPr>
        <w:t>配电间、原料仓库</w:t>
      </w:r>
      <w:r>
        <w:rPr>
          <w:rFonts w:hint="default" w:ascii="Times New Roman" w:hAnsi="Times New Roman" w:cs="Times New Roman"/>
          <w:color w:val="auto"/>
        </w:rPr>
        <w:t>等建筑物；手动报警按钮安装在装置区管架或框架上。</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火灾报警机柜和安全栅设保护接地，接地线与装置区公共接地网相连。</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）电信线路</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全厂电信外线采用管道电缆和电缆专用桥架的敷设方式。在厂前区采用电缆沟方式，在生产区的厂前区采用管道电缆敷设方式，生产装置区采用电缆专用桥架敷设方式，个别地方直埋敷设。</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室内电信设施配线采用穿管暗敷设。室外装置内电信设施采用沿电缆专用桥架敷设方式或穿管沿柱子敷设方式。</w:t>
      </w:r>
    </w:p>
    <w:p>
      <w:pPr>
        <w:pStyle w:val="5"/>
        <w:bidi w:val="0"/>
        <w:rPr>
          <w:rFonts w:hint="default" w:ascii="Times New Roman" w:hAnsi="Times New Roman" w:cs="Times New Roman"/>
          <w:color w:val="auto"/>
          <w:lang w:val="en-US" w:eastAsia="zh-CN"/>
        </w:rPr>
      </w:pPr>
      <w:bookmarkStart w:id="39" w:name="_Toc32515"/>
      <w:r>
        <w:rPr>
          <w:rFonts w:hint="default" w:ascii="Times New Roman" w:hAnsi="Times New Roman" w:cs="Times New Roman"/>
          <w:color w:val="auto"/>
          <w:lang w:val="en-US" w:eastAsia="zh-CN"/>
        </w:rPr>
        <w:t>2.8.6通风</w:t>
      </w:r>
      <w:bookmarkEnd w:id="39"/>
    </w:p>
    <w:p>
      <w:pPr>
        <w:bidi w:val="0"/>
        <w:ind w:firstLine="56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控制室、操作室等要求室内温度保持在夏季25±2℃，冬季20±2℃，相对湿度79%±5%，对上述区域采用柜式空调来满足工艺要求，空调机组设置在空调机房内，处理后的空气经风管送入室内，气流组织采用上送下回方式。</w:t>
      </w:r>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2.8.7三废处理</w:t>
      </w:r>
    </w:p>
    <w:p>
      <w:pPr>
        <w:numPr>
          <w:ilvl w:val="0"/>
          <w:numId w:val="14"/>
        </w:num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废水</w:t>
      </w:r>
    </w:p>
    <w:p>
      <w:pPr>
        <w:bidi w:val="0"/>
        <w:ind w:firstLine="560" w:firstLineChars="200"/>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该项目无需对设备清洗，地面无需冲洗，无工艺废水，酸性废气洗涤产生的废水全部回用于氯化氢降膜吸收，不排放。主要外排废水为员工生活污水</w:t>
      </w:r>
      <w:r>
        <w:rPr>
          <w:rFonts w:hint="eastAsia" w:cs="Times New Roman"/>
          <w:color w:val="auto"/>
          <w:lang w:val="zh-CN" w:eastAsia="zh-CN"/>
        </w:rPr>
        <w:t>，</w:t>
      </w:r>
      <w:r>
        <w:rPr>
          <w:rFonts w:hint="eastAsia" w:cs="Times New Roman"/>
          <w:color w:val="auto"/>
          <w:lang w:val="en-US" w:eastAsia="zh-CN"/>
        </w:rPr>
        <w:t>产生量约2t/d</w:t>
      </w:r>
      <w:r>
        <w:rPr>
          <w:rFonts w:hint="default" w:ascii="Times New Roman" w:hAnsi="Times New Roman" w:cs="Times New Roman"/>
          <w:color w:val="auto"/>
          <w:lang w:val="zh-CN" w:eastAsia="zh-CN"/>
        </w:rPr>
        <w:t>。生活污水经化粪池处理后，排入原有</w:t>
      </w:r>
      <w:r>
        <w:rPr>
          <w:rFonts w:hint="eastAsia" w:cs="Times New Roman"/>
          <w:color w:val="auto"/>
          <w:lang w:val="en-US" w:eastAsia="zh-CN"/>
        </w:rPr>
        <w:t>处理能力为500t/d的</w:t>
      </w:r>
      <w:r>
        <w:rPr>
          <w:rFonts w:hint="default" w:ascii="Times New Roman" w:hAnsi="Times New Roman" w:cs="Times New Roman"/>
          <w:color w:val="auto"/>
          <w:lang w:val="zh-CN" w:eastAsia="zh-CN"/>
        </w:rPr>
        <w:t>污水处理站处理，再进入工业园污水处理厂进一步处理。</w:t>
      </w:r>
    </w:p>
    <w:p>
      <w:pPr>
        <w:bidi w:val="0"/>
        <w:ind w:firstLine="560" w:firstLineChars="200"/>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洗涤塔、文丘里的洗涤液自流到综合地下槽V0210A，由循环泵P0205A打到洗涤塔和文丘里进行自循环，循环到一定浓度，由洗涤液输送泵泵P0208输送到磷酸一铵溶解工段的洗涤水中间槽V0204，V0204内的洗涤水自流到磷酸一铵溶解槽进行磷酸一铵溶解。溶解后的磷酸一铵溶解由泵打入混合料浆槽与硫酸氢钾溶液混合。事故废水及排污水流入转化工段的地下槽V0309，地下槽V0309的污水再由地下槽泵P0313打入综合地下槽V0210D</w:t>
      </w:r>
      <w:r>
        <w:rPr>
          <w:rFonts w:hint="eastAsia" w:cs="Times New Roman"/>
          <w:color w:val="auto"/>
          <w:lang w:val="zh-CN" w:eastAsia="zh-CN"/>
        </w:rPr>
        <w:t>。</w:t>
      </w:r>
    </w:p>
    <w:p>
      <w:pPr>
        <w:numPr>
          <w:ilvl w:val="0"/>
          <w:numId w:val="14"/>
        </w:num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废气</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复合肥装置排放的废气主要有六部分：转化工段投料尾气，氯化氢吸收尾气，磷酸一铵投料尾气、造粒机尾气，一烘干燥尾气、二烘干燥尾气，冷却尾气、破碎筛分产生的含尘尾气及包装产生的含尘尾气。</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转化工段尾气处理：投料工段产生的尾气，主要成分为氯化钾粉尘、空气，这部分尾气先经过布袋除尘后，粉尘排放量20mg/m3，小于30mg/m3。造粒机尾气处理：由造粒机产生的尾气，主要成为主要成份为复肥粉尘、水蒸气、少量氨，先经过</w:t>
      </w:r>
      <w:r>
        <w:rPr>
          <w:rFonts w:hint="eastAsia" w:cs="Times New Roman"/>
          <w:color w:val="auto"/>
          <w:lang w:val="en-US" w:eastAsia="zh-CN"/>
        </w:rPr>
        <w:t>二级</w:t>
      </w:r>
      <w:r>
        <w:rPr>
          <w:rFonts w:hint="default" w:ascii="Times New Roman" w:hAnsi="Times New Roman" w:cs="Times New Roman"/>
          <w:color w:val="auto"/>
          <w:lang w:val="en-US" w:eastAsia="zh-CN"/>
        </w:rPr>
        <w:t>文丘里洗涤，再经过洗涤塔酸洗、水洗，最后引入电除雾后40米烟囱放空，尾气中粉尘颗粒物含量10mg/m3≤30mg/m3，氨含量0.5mg/m3满足《恶臭污染物排放标准》排放限值≤1.5mg/m3的要求；</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烘干排出的废气，其主要成份为复肥粉尘、</w:t>
      </w:r>
      <w:r>
        <w:rPr>
          <w:rFonts w:hint="eastAsia" w:cs="Times New Roman"/>
          <w:color w:val="auto"/>
          <w:lang w:val="en-US" w:eastAsia="zh-CN"/>
        </w:rPr>
        <w:t>氨</w:t>
      </w:r>
      <w:r>
        <w:rPr>
          <w:rFonts w:hint="default" w:ascii="Times New Roman" w:hAnsi="Times New Roman" w:cs="Times New Roman"/>
          <w:color w:val="auto"/>
          <w:lang w:val="en-US" w:eastAsia="zh-CN"/>
        </w:rPr>
        <w:t>气，该废气经过</w:t>
      </w:r>
      <w:r>
        <w:rPr>
          <w:rFonts w:hint="eastAsia" w:cs="Times New Roman"/>
          <w:color w:val="auto"/>
          <w:lang w:val="en-US" w:eastAsia="zh-CN"/>
        </w:rPr>
        <w:t>旋风除尘、沉降室除尘、布袋除尘再由</w:t>
      </w:r>
      <w:r>
        <w:rPr>
          <w:rFonts w:hint="default" w:ascii="Times New Roman" w:hAnsi="Times New Roman" w:cs="Times New Roman"/>
          <w:color w:val="auto"/>
          <w:lang w:val="en-US" w:eastAsia="zh-CN"/>
        </w:rPr>
        <w:t>文丘里</w:t>
      </w:r>
      <w:r>
        <w:rPr>
          <w:rFonts w:hint="eastAsia" w:cs="Times New Roman"/>
          <w:color w:val="auto"/>
          <w:lang w:val="en-US" w:eastAsia="zh-CN"/>
        </w:rPr>
        <w:t>洗涤</w:t>
      </w:r>
      <w:r>
        <w:rPr>
          <w:rFonts w:hint="default" w:ascii="Times New Roman" w:hAnsi="Times New Roman" w:cs="Times New Roman"/>
          <w:color w:val="auto"/>
          <w:lang w:val="en-US" w:eastAsia="zh-CN"/>
        </w:rPr>
        <w:t>后进入电除雾后排放。吸收后的尾气含尘约10mg/m3，≤30mg/m3，由40米高烟囱排放。冷却、筛分、破碎排出的尾气，其主要成份为复肥粉尘、空气，该尾气经过双筒旋风除尘、再经过一级文丘里和三级综合洗涤塔洗涤后进入电除雾除尘排放。吸收后的尾气含尘约20mg/m3，由40米高烟囱排放，以上颗粒物每小时排放总量为6.03mg/h，0.289Kg/t产品，排放满足《大气污染物综合排放标准》颗粒物≤39 Kg/h二级排放限值，并且小于《排污许可证申请与核发技术规范磷肥、钾肥、复混肥料、有机肥料及微生物肥料工业》料浆型复混肥料排放绩效值0.40Kg/t产品。</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盐酸吸收工段尾气：转化工段产生的盐酸气体经石墨冷凝器、四级降膜吸收器和洗涤塔吸收后20米烟囱放空，氯化氢含量4.4mg/m3满足《大气污染物综合排放标准》≤0.43Kg/h二级排放限值。</w:t>
      </w:r>
    </w:p>
    <w:p>
      <w:pPr>
        <w:widowControl w:val="0"/>
        <w:numPr>
          <w:ilvl w:val="0"/>
          <w:numId w:val="0"/>
        </w:numPr>
        <w:spacing w:line="600" w:lineRule="exact"/>
        <w:ind w:firstLine="560" w:firstLineChars="200"/>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无组织排放废气：主要为罐区无组织废气，罐区无组织废气主要盐酸、浓硫酸储罐产生废气。拟在硫酸储罐、盐酸储罐上安装呼吸阀外，灌酸时开动酸雾回收风机（250 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/h），将酸雾送入罐区单设的直径800mm、高5m、内置聚鞍环填料的喷淋吸收塔，使逸出的硫酸雾、盐酸雾得到处理，尾气通过水封进一步处理后经15米高，内径为Φ150mm的排气筒排放，排放废气中的HCl浓度平均为18mg/m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SO</w:t>
      </w:r>
      <w:r>
        <w:rPr>
          <w:rFonts w:hint="default" w:ascii="Times New Roman" w:hAnsi="Times New Roman" w:cs="Times New Roman"/>
          <w:color w:val="auto"/>
          <w:vertAlign w:val="subscript"/>
          <w:lang w:val="en-US" w:eastAsia="zh-CN"/>
        </w:rPr>
        <w:t>4</w:t>
      </w:r>
      <w:r>
        <w:rPr>
          <w:rFonts w:hint="default" w:ascii="Times New Roman" w:hAnsi="Times New Roman" w:cs="Times New Roman"/>
          <w:color w:val="auto"/>
          <w:lang w:val="en-US" w:eastAsia="zh-CN"/>
        </w:rPr>
        <w:t>浓度平均为13mg/m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。吸收液作为配酸溶液，并入制酸系统。</w:t>
      </w:r>
    </w:p>
    <w:p>
      <w:pPr>
        <w:numPr>
          <w:ilvl w:val="0"/>
          <w:numId w:val="14"/>
        </w:num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固废</w:t>
      </w:r>
    </w:p>
    <w:p>
      <w:pPr>
        <w:bidi w:val="0"/>
        <w:ind w:firstLine="560" w:firstLineChars="200"/>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该项目生产过程中产生的固废主要为生活垃圾和废包装袋。</w:t>
      </w:r>
    </w:p>
    <w:p>
      <w:pPr>
        <w:bidi w:val="0"/>
        <w:ind w:firstLine="560" w:firstLineChars="200"/>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（1）除尘灰</w:t>
      </w:r>
    </w:p>
    <w:p>
      <w:pPr>
        <w:bidi w:val="0"/>
        <w:ind w:firstLine="560" w:firstLineChars="200"/>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项目在对废气进行除尘处理的过程中会产生一部分除尘灰，产生量约为191.03t/a，属于一般工业固废，收集后加入全部回用于生产，不外排。</w:t>
      </w:r>
    </w:p>
    <w:p>
      <w:pPr>
        <w:bidi w:val="0"/>
        <w:ind w:firstLine="560" w:firstLineChars="200"/>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（3）生活垃圾</w:t>
      </w:r>
    </w:p>
    <w:p>
      <w:pPr>
        <w:bidi w:val="0"/>
        <w:ind w:firstLine="560" w:firstLineChars="200"/>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该项目产生的生活垃圾在厂区集中收集后，交由园区环卫部门统一处理。</w:t>
      </w:r>
    </w:p>
    <w:p>
      <w:pPr>
        <w:bidi w:val="0"/>
        <w:ind w:firstLine="560" w:firstLineChars="200"/>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（3）废包装袋</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zh-CN" w:eastAsia="zh-CN"/>
        </w:rPr>
        <w:t>原料主要以袋装形式外购进来的，会产生一些废包装袋，产生量约为</w:t>
      </w:r>
      <w:r>
        <w:rPr>
          <w:rFonts w:hint="default" w:ascii="Times New Roman" w:hAnsi="Times New Roman" w:cs="Times New Roman"/>
          <w:color w:val="auto"/>
          <w:lang w:val="en-US" w:eastAsia="zh-CN"/>
        </w:rPr>
        <w:t>5</w:t>
      </w:r>
      <w:r>
        <w:rPr>
          <w:rFonts w:hint="default" w:ascii="Times New Roman" w:hAnsi="Times New Roman" w:cs="Times New Roman"/>
          <w:color w:val="auto"/>
          <w:lang w:val="zh-CN" w:eastAsia="zh-CN"/>
        </w:rPr>
        <w:t>t/a，属于一般固废，暂存于原料库，作为废品外售。</w:t>
      </w:r>
    </w:p>
    <w:p>
      <w:pPr>
        <w:pStyle w:val="4"/>
        <w:bidi w:val="0"/>
        <w:rPr>
          <w:rFonts w:hint="default" w:ascii="Times New Roman" w:hAnsi="Times New Roman" w:cs="Times New Roman"/>
          <w:color w:val="auto"/>
          <w:lang w:val="en-US" w:eastAsia="zh-CN"/>
        </w:rPr>
      </w:pPr>
      <w:bookmarkStart w:id="40" w:name="_Toc24693"/>
      <w:r>
        <w:rPr>
          <w:rFonts w:hint="default" w:ascii="Times New Roman" w:hAnsi="Times New Roman" w:cs="Times New Roman"/>
          <w:color w:val="auto"/>
          <w:lang w:val="en-US" w:eastAsia="zh-CN"/>
        </w:rPr>
        <w:t>2.10组织机构及人员组成</w:t>
      </w:r>
      <w:bookmarkEnd w:id="40"/>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1、组织机构</w:t>
      </w:r>
    </w:p>
    <w:p>
      <w:pPr>
        <w:bidi w:val="0"/>
        <w:ind w:firstLine="560" w:firstLineChars="200"/>
        <w:rPr>
          <w:rFonts w:hint="default" w:ascii="Times New Roman" w:hAnsi="Times New Roman" w:cs="Times New Roman"/>
          <w:color w:val="auto"/>
        </w:rPr>
      </w:pPr>
      <w:bookmarkStart w:id="41" w:name="_Toc130178476"/>
      <w:r>
        <w:rPr>
          <w:rFonts w:hint="default" w:ascii="Times New Roman" w:hAnsi="Times New Roman" w:cs="Times New Roman"/>
          <w:color w:val="auto"/>
          <w:lang w:eastAsia="zh-CN"/>
        </w:rPr>
        <w:t>江西心连心化学工业有限公司</w:t>
      </w:r>
      <w:r>
        <w:rPr>
          <w:rFonts w:hint="default" w:ascii="Times New Roman" w:hAnsi="Times New Roman" w:cs="Times New Roman"/>
          <w:color w:val="auto"/>
        </w:rPr>
        <w:t>组织机构为公司、车间、班组三级。</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2、生产班制及定员</w:t>
      </w:r>
    </w:p>
    <w:bookmarkEnd w:id="41"/>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生产班制：连续工作制，年操作小时7200小时，按国家劳动法规定的工作制即每周40小时工作制，生产人员实行三班三运转的作业制度。</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lang w:eastAsia="zh-CN"/>
        </w:rPr>
        <w:t>公司级管理、车间管理人员采用一班制。</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lang w:eastAsia="zh-CN"/>
        </w:rPr>
        <w:t>该</w:t>
      </w:r>
      <w:r>
        <w:rPr>
          <w:rFonts w:hint="default" w:ascii="Times New Roman" w:hAnsi="Times New Roman" w:cs="Times New Roman"/>
          <w:color w:val="auto"/>
        </w:rPr>
        <w:t>项目新增定员39人，生产车间均按三班三运转来操作，定员编制如下。</w:t>
      </w:r>
    </w:p>
    <w:p>
      <w:pPr>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2.10-1 劳动定员表</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4328"/>
        <w:gridCol w:w="3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top"/>
          </w:tcPr>
          <w:p>
            <w:pPr>
              <w:spacing w:line="240" w:lineRule="auto"/>
              <w:ind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2330" w:type="pct"/>
            <w:tcBorders>
              <w:tl2br w:val="nil"/>
              <w:tr2bl w:val="nil"/>
            </w:tcBorders>
            <w:noWrap w:val="0"/>
            <w:vAlign w:val="top"/>
          </w:tcPr>
          <w:p>
            <w:pPr>
              <w:spacing w:line="240" w:lineRule="auto"/>
              <w:ind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工段</w:t>
            </w:r>
          </w:p>
        </w:tc>
        <w:tc>
          <w:tcPr>
            <w:tcW w:w="1997" w:type="pct"/>
            <w:tcBorders>
              <w:tl2br w:val="nil"/>
              <w:tr2bl w:val="nil"/>
            </w:tcBorders>
            <w:noWrap w:val="0"/>
            <w:vAlign w:val="center"/>
          </w:tcPr>
          <w:p>
            <w:pPr>
              <w:spacing w:line="240" w:lineRule="auto"/>
              <w:ind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p>
        </w:tc>
        <w:tc>
          <w:tcPr>
            <w:tcW w:w="2330"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厂部</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330"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经理</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330"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副经理</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330"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厂办</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2330" w:type="pct"/>
            <w:tcBorders>
              <w:tl2br w:val="nil"/>
              <w:tr2bl w:val="nil"/>
            </w:tcBorders>
            <w:noWrap w:val="0"/>
            <w:vAlign w:val="center"/>
          </w:tcPr>
          <w:p>
            <w:pPr>
              <w:spacing w:line="240" w:lineRule="auto"/>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财务</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2330" w:type="pct"/>
            <w:tcBorders>
              <w:tl2br w:val="nil"/>
              <w:tr2bl w:val="nil"/>
            </w:tcBorders>
            <w:noWrap w:val="0"/>
            <w:vAlign w:val="center"/>
          </w:tcPr>
          <w:p>
            <w:pPr>
              <w:spacing w:line="240" w:lineRule="auto"/>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原材料采购</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2330" w:type="pct"/>
            <w:tcBorders>
              <w:tl2br w:val="nil"/>
              <w:tr2bl w:val="nil"/>
            </w:tcBorders>
            <w:noWrap w:val="0"/>
            <w:vAlign w:val="center"/>
          </w:tcPr>
          <w:p>
            <w:pPr>
              <w:spacing w:line="240" w:lineRule="auto"/>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生产科、技术、设备、安全、计量</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2330" w:type="pct"/>
            <w:tcBorders>
              <w:tl2br w:val="nil"/>
              <w:tr2bl w:val="nil"/>
            </w:tcBorders>
            <w:noWrap w:val="0"/>
            <w:vAlign w:val="center"/>
          </w:tcPr>
          <w:p>
            <w:pPr>
              <w:spacing w:line="240" w:lineRule="auto"/>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销售</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p>
        </w:tc>
        <w:tc>
          <w:tcPr>
            <w:tcW w:w="2330" w:type="pct"/>
            <w:tcBorders>
              <w:tl2br w:val="nil"/>
              <w:tr2bl w:val="nil"/>
            </w:tcBorders>
            <w:noWrap w:val="0"/>
            <w:vAlign w:val="center"/>
          </w:tcPr>
          <w:p>
            <w:pPr>
              <w:spacing w:line="240" w:lineRule="auto"/>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小计</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330" w:type="pct"/>
            <w:tcBorders>
              <w:tl2br w:val="nil"/>
              <w:tr2bl w:val="nil"/>
            </w:tcBorders>
            <w:noWrap w:val="0"/>
            <w:vAlign w:val="center"/>
          </w:tcPr>
          <w:p>
            <w:pPr>
              <w:spacing w:line="240" w:lineRule="auto"/>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330" w:type="pct"/>
            <w:tcBorders>
              <w:tl2br w:val="nil"/>
              <w:tr2bl w:val="nil"/>
            </w:tcBorders>
            <w:noWrap w:val="0"/>
            <w:vAlign w:val="center"/>
          </w:tcPr>
          <w:p>
            <w:pPr>
              <w:spacing w:line="240" w:lineRule="auto"/>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其它</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2330" w:type="pct"/>
            <w:tcBorders>
              <w:tl2br w:val="nil"/>
              <w:tr2bl w:val="nil"/>
            </w:tcBorders>
            <w:noWrap w:val="0"/>
            <w:vAlign w:val="center"/>
          </w:tcPr>
          <w:p>
            <w:pPr>
              <w:spacing w:line="240" w:lineRule="auto"/>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分析化验</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2330" w:type="pct"/>
            <w:tcBorders>
              <w:tl2br w:val="nil"/>
              <w:tr2bl w:val="nil"/>
            </w:tcBorders>
            <w:noWrap w:val="0"/>
            <w:vAlign w:val="center"/>
          </w:tcPr>
          <w:p>
            <w:pPr>
              <w:spacing w:line="240" w:lineRule="auto"/>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变配电、仪表</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2330" w:type="pct"/>
            <w:tcBorders>
              <w:tl2br w:val="nil"/>
              <w:tr2bl w:val="nil"/>
            </w:tcBorders>
            <w:noWrap w:val="0"/>
            <w:vAlign w:val="center"/>
          </w:tcPr>
          <w:p>
            <w:pPr>
              <w:spacing w:line="240" w:lineRule="auto"/>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仓储</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2330" w:type="pct"/>
            <w:tcBorders>
              <w:tl2br w:val="nil"/>
              <w:tr2bl w:val="nil"/>
            </w:tcBorders>
            <w:noWrap w:val="0"/>
            <w:vAlign w:val="center"/>
          </w:tcPr>
          <w:p>
            <w:pPr>
              <w:spacing w:line="240" w:lineRule="auto"/>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保卫</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2330" w:type="pct"/>
            <w:tcBorders>
              <w:tl2br w:val="nil"/>
              <w:tr2bl w:val="nil"/>
            </w:tcBorders>
            <w:noWrap w:val="0"/>
            <w:vAlign w:val="center"/>
          </w:tcPr>
          <w:p>
            <w:pPr>
              <w:spacing w:line="240" w:lineRule="auto"/>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司机</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p>
        </w:tc>
        <w:tc>
          <w:tcPr>
            <w:tcW w:w="2330" w:type="pct"/>
            <w:tcBorders>
              <w:tl2br w:val="nil"/>
              <w:tr2bl w:val="nil"/>
            </w:tcBorders>
            <w:noWrap w:val="0"/>
            <w:vAlign w:val="center"/>
          </w:tcPr>
          <w:p>
            <w:pPr>
              <w:spacing w:line="240" w:lineRule="auto"/>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小计</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p>
        </w:tc>
        <w:tc>
          <w:tcPr>
            <w:tcW w:w="2330" w:type="pct"/>
            <w:tcBorders>
              <w:tl2br w:val="nil"/>
              <w:tr2bl w:val="nil"/>
            </w:tcBorders>
            <w:noWrap w:val="0"/>
            <w:vAlign w:val="center"/>
          </w:tcPr>
          <w:p>
            <w:pPr>
              <w:spacing w:line="240" w:lineRule="auto"/>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997" w:type="pct"/>
            <w:tcBorders>
              <w:tl2br w:val="nil"/>
              <w:tr2bl w:val="nil"/>
            </w:tcBorders>
            <w:noWrap w:val="0"/>
            <w:vAlign w:val="center"/>
          </w:tcPr>
          <w:p>
            <w:pPr>
              <w:spacing w:line="240" w:lineRule="auto"/>
              <w:ind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r>
    </w:tbl>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3、人员培训</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公司管理人员、技术人员及生产技术骨干从心连心化肥有限公司内部企业抽调，竞争上岗，或向社会公开招聘。</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公司普通管理、技术人员和工人可从当地化工技校或本科、大、中专学校毕业生中选拔招聘并从</w:t>
      </w:r>
      <w:r>
        <w:rPr>
          <w:rFonts w:hint="default" w:ascii="Times New Roman" w:hAnsi="Times New Roman" w:cs="Times New Roman"/>
          <w:color w:val="auto"/>
          <w:lang w:eastAsia="zh-CN"/>
        </w:rPr>
        <w:t>江西心连心化学工业有限公司</w:t>
      </w:r>
      <w:r>
        <w:rPr>
          <w:rFonts w:hint="default" w:ascii="Times New Roman" w:hAnsi="Times New Roman" w:cs="Times New Roman"/>
          <w:color w:val="auto"/>
        </w:rPr>
        <w:t>内部企业抽调部分熟练员工。</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对于员工培训，生产岗位的生产骨干和生产管理人员(这部分人员应在类似化工厂具有3～4年生产操作和管理的经验) 应在同类化工企业培训，培训时间不少于3个月。</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对操作人员应派往同类型工厂进行全流程、全系统的培训，以应付各种突发事件，培训时间不少于半年。培训内容包括基础理论学习、模拟培训及工厂的实际生产操作和开、停车等过程，经考试合格后方可上岗。</w:t>
      </w:r>
      <w:r>
        <w:rPr>
          <w:rFonts w:hint="default" w:ascii="Times New Roman" w:hAnsi="Times New Roman" w:cs="Times New Roman"/>
          <w:color w:val="auto"/>
          <w:lang w:eastAsia="zh-CN"/>
        </w:rPr>
        <w:t>该</w:t>
      </w:r>
      <w:r>
        <w:rPr>
          <w:rFonts w:hint="default" w:ascii="Times New Roman" w:hAnsi="Times New Roman" w:cs="Times New Roman"/>
          <w:color w:val="auto"/>
        </w:rPr>
        <w:t>项目在建设过程中的单机试车、仪电调试、联动试车、化工投料试车等都是对操作、维修人员的实地培训，应纳入培训计划之中。</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各岗位人员</w:t>
      </w:r>
      <w:r>
        <w:rPr>
          <w:rFonts w:hint="eastAsia" w:cs="Times New Roman"/>
          <w:color w:val="auto"/>
          <w:lang w:eastAsia="zh-CN"/>
        </w:rPr>
        <w:t>、特种作业人员</w:t>
      </w:r>
      <w:r>
        <w:rPr>
          <w:rFonts w:hint="default" w:ascii="Times New Roman" w:hAnsi="Times New Roman" w:cs="Times New Roman"/>
          <w:color w:val="auto"/>
        </w:rPr>
        <w:t>均应通过考试合格后，持证上岗。全员都应参加安全、消防培训。</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公司员工的日常教育培训由公司人力资源部负责。</w:t>
      </w:r>
    </w:p>
    <w:p>
      <w:pPr>
        <w:pStyle w:val="4"/>
        <w:bidi w:val="0"/>
        <w:rPr>
          <w:rFonts w:hint="default" w:ascii="Times New Roman" w:hAnsi="Times New Roman" w:cs="Times New Roman"/>
          <w:color w:val="auto"/>
          <w:lang w:val="en-US" w:eastAsia="zh-CN"/>
        </w:rPr>
      </w:pPr>
      <w:bookmarkStart w:id="42" w:name="_Toc13303"/>
      <w:bookmarkStart w:id="43" w:name="_Toc28735"/>
      <w:bookmarkStart w:id="44" w:name="_Toc1430"/>
      <w:bookmarkStart w:id="45" w:name="_Toc14876"/>
      <w:r>
        <w:rPr>
          <w:rFonts w:hint="default" w:ascii="Times New Roman" w:hAnsi="Times New Roman" w:cs="Times New Roman"/>
          <w:color w:val="auto"/>
          <w:lang w:val="en-US" w:eastAsia="zh-CN"/>
        </w:rPr>
        <w:t>2.11主要技术经济指标</w:t>
      </w:r>
      <w:bookmarkEnd w:id="42"/>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该项目主要技术经济指标见表2.</w:t>
      </w:r>
      <w:r>
        <w:rPr>
          <w:rFonts w:hint="default" w:ascii="Times New Roman" w:hAnsi="Times New Roman" w:eastAsia="宋体" w:cs="Times New Roman"/>
          <w:color w:val="auto"/>
          <w:lang w:val="en-US" w:eastAsia="zh-CN"/>
        </w:rPr>
        <w:t>11</w:t>
      </w:r>
      <w:r>
        <w:rPr>
          <w:rFonts w:hint="default" w:ascii="Times New Roman" w:hAnsi="Times New Roman" w:eastAsia="宋体" w:cs="Times New Roman"/>
          <w:color w:val="auto"/>
        </w:rPr>
        <w:t>-1。</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表2.</w:t>
      </w:r>
      <w:r>
        <w:rPr>
          <w:rFonts w:hint="default" w:ascii="Times New Roman" w:hAnsi="Times New Roman" w:eastAsia="宋体" w:cs="Times New Roman"/>
          <w:color w:val="auto"/>
          <w:lang w:val="en-US" w:eastAsia="zh-CN"/>
        </w:rPr>
        <w:t>11-</w:t>
      </w:r>
      <w:r>
        <w:rPr>
          <w:rFonts w:hint="default" w:ascii="Times New Roman" w:hAnsi="Times New Roman" w:eastAsia="宋体" w:cs="Times New Roman"/>
          <w:color w:val="auto"/>
        </w:rPr>
        <w:t>1 主要技术经济指标</w:t>
      </w:r>
    </w:p>
    <w:tbl>
      <w:tblPr>
        <w:tblStyle w:val="19"/>
        <w:tblW w:w="50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87"/>
        <w:gridCol w:w="2188"/>
        <w:gridCol w:w="2098"/>
        <w:gridCol w:w="1284"/>
        <w:gridCol w:w="2001"/>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483" w:type="pct"/>
            <w:tcBorders>
              <w:tl2br w:val="nil"/>
              <w:tr2bl w:val="nil"/>
            </w:tcBorders>
            <w:noWrap w:val="0"/>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序号</w:t>
            </w:r>
          </w:p>
        </w:tc>
        <w:tc>
          <w:tcPr>
            <w:tcW w:w="2333" w:type="pct"/>
            <w:gridSpan w:val="2"/>
            <w:tcBorders>
              <w:tl2br w:val="nil"/>
              <w:tr2bl w:val="nil"/>
            </w:tcBorders>
            <w:noWrap w:val="0"/>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项目名称</w:t>
            </w:r>
          </w:p>
        </w:tc>
        <w:tc>
          <w:tcPr>
            <w:tcW w:w="699"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单位</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iCs/>
                <w:color w:val="auto"/>
                <w:kern w:val="0"/>
                <w:sz w:val="21"/>
                <w:szCs w:val="21"/>
              </w:rPr>
            </w:pPr>
            <w:r>
              <w:rPr>
                <w:rFonts w:hint="default" w:ascii="Times New Roman" w:hAnsi="Times New Roman" w:eastAsia="宋体" w:cs="Times New Roman"/>
                <w:b w:val="0"/>
                <w:bCs/>
                <w:iCs/>
                <w:color w:val="auto"/>
                <w:kern w:val="0"/>
                <w:sz w:val="21"/>
                <w:szCs w:val="21"/>
              </w:rPr>
              <w:t>数量</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iCs/>
                <w:color w:val="auto"/>
                <w:kern w:val="0"/>
                <w:sz w:val="21"/>
                <w:szCs w:val="21"/>
              </w:rPr>
            </w:pPr>
            <w:r>
              <w:rPr>
                <w:rFonts w:hint="default" w:ascii="Times New Roman" w:hAnsi="Times New Roman" w:eastAsia="宋体" w:cs="Times New Roman"/>
                <w:b w:val="0"/>
                <w:bCs/>
                <w:iCs/>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一</w:t>
            </w: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生产规模</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p>
        </w:tc>
        <w:tc>
          <w:tcPr>
            <w:tcW w:w="108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i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vMerge w:val="restart"/>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w:t>
            </w:r>
          </w:p>
        </w:tc>
        <w:tc>
          <w:tcPr>
            <w:tcW w:w="1191" w:type="pct"/>
            <w:vMerge w:val="restart"/>
            <w:tcBorders>
              <w:tl2br w:val="nil"/>
              <w:tr2bl w:val="nil"/>
            </w:tcBorders>
            <w:noWrap w:val="0"/>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年产15万吨转鼓复合肥项目</w:t>
            </w:r>
          </w:p>
        </w:tc>
        <w:tc>
          <w:tcPr>
            <w:tcW w:w="1141" w:type="pct"/>
            <w:tcBorders>
              <w:tl2br w:val="nil"/>
              <w:tr2bl w:val="nil"/>
            </w:tcBorders>
            <w:noWrap w:val="0"/>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15-14-14S</w:t>
            </w:r>
          </w:p>
          <w:p>
            <w:pPr>
              <w:pStyle w:val="34"/>
              <w:spacing w:line="240" w:lineRule="auto"/>
              <w:jc w:val="left"/>
              <w:rPr>
                <w:rFonts w:hint="default" w:ascii="Times New Roman" w:hAnsi="Times New Roman" w:eastAsia="宋体" w:cs="Times New Roman"/>
                <w:b w:val="0"/>
                <w:bCs/>
                <w:color w:val="auto"/>
                <w:kern w:val="0"/>
                <w:sz w:val="21"/>
                <w:szCs w:val="21"/>
              </w:rPr>
            </w:pPr>
          </w:p>
        </w:tc>
        <w:tc>
          <w:tcPr>
            <w:tcW w:w="69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 xml:space="preserve">  t/a</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40000</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i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vMerge w:val="continue"/>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p>
        </w:tc>
        <w:tc>
          <w:tcPr>
            <w:tcW w:w="1191" w:type="pct"/>
            <w:vMerge w:val="continue"/>
            <w:tcBorders>
              <w:tl2br w:val="nil"/>
              <w:tr2bl w:val="nil"/>
            </w:tcBorders>
            <w:noWrap w:val="0"/>
            <w:vAlign w:val="center"/>
          </w:tcPr>
          <w:p>
            <w:pPr>
              <w:pStyle w:val="34"/>
              <w:spacing w:line="240" w:lineRule="auto"/>
              <w:jc w:val="left"/>
              <w:rPr>
                <w:rFonts w:hint="default" w:ascii="Times New Roman" w:hAnsi="Times New Roman" w:eastAsia="宋体" w:cs="Times New Roman"/>
                <w:b w:val="0"/>
                <w:bCs/>
                <w:color w:val="auto"/>
                <w:kern w:val="0"/>
                <w:sz w:val="21"/>
                <w:szCs w:val="21"/>
              </w:rPr>
            </w:pPr>
          </w:p>
        </w:tc>
        <w:tc>
          <w:tcPr>
            <w:tcW w:w="1141" w:type="pct"/>
            <w:tcBorders>
              <w:tl2br w:val="nil"/>
              <w:tr2bl w:val="nil"/>
            </w:tcBorders>
            <w:noWrap w:val="0"/>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15-16-14S</w:t>
            </w:r>
          </w:p>
          <w:p>
            <w:pPr>
              <w:pStyle w:val="34"/>
              <w:spacing w:line="240" w:lineRule="auto"/>
              <w:jc w:val="left"/>
              <w:rPr>
                <w:rFonts w:hint="default" w:ascii="Times New Roman" w:hAnsi="Times New Roman" w:eastAsia="宋体" w:cs="Times New Roman"/>
                <w:b w:val="0"/>
                <w:bCs/>
                <w:color w:val="auto"/>
                <w:kern w:val="0"/>
                <w:sz w:val="21"/>
                <w:szCs w:val="21"/>
              </w:rPr>
            </w:pPr>
          </w:p>
        </w:tc>
        <w:tc>
          <w:tcPr>
            <w:tcW w:w="69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 xml:space="preserve">  t/a</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40000</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i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vMerge w:val="continue"/>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p>
        </w:tc>
        <w:tc>
          <w:tcPr>
            <w:tcW w:w="1191" w:type="pct"/>
            <w:vMerge w:val="continue"/>
            <w:tcBorders>
              <w:tl2br w:val="nil"/>
              <w:tr2bl w:val="nil"/>
            </w:tcBorders>
            <w:noWrap w:val="0"/>
            <w:vAlign w:val="center"/>
          </w:tcPr>
          <w:p>
            <w:pPr>
              <w:pStyle w:val="34"/>
              <w:spacing w:line="240" w:lineRule="auto"/>
              <w:jc w:val="left"/>
              <w:rPr>
                <w:rFonts w:hint="default" w:ascii="Times New Roman" w:hAnsi="Times New Roman" w:eastAsia="宋体" w:cs="Times New Roman"/>
                <w:b w:val="0"/>
                <w:bCs/>
                <w:color w:val="auto"/>
                <w:kern w:val="0"/>
                <w:sz w:val="21"/>
                <w:szCs w:val="21"/>
              </w:rPr>
            </w:pPr>
          </w:p>
        </w:tc>
        <w:tc>
          <w:tcPr>
            <w:tcW w:w="1141" w:type="pct"/>
            <w:tcBorders>
              <w:tl2br w:val="nil"/>
              <w:tr2bl w:val="nil"/>
            </w:tcBorders>
            <w:noWrap w:val="0"/>
            <w:vAlign w:val="center"/>
          </w:tcPr>
          <w:p>
            <w:pPr>
              <w:pStyle w:val="34"/>
              <w:spacing w:line="240" w:lineRule="auto"/>
              <w:jc w:val="left"/>
              <w:rPr>
                <w:rFonts w:hint="default" w:ascii="Times New Roman" w:hAnsi="Times New Roman" w:eastAsia="宋体" w:cs="Times New Roman"/>
                <w:b w:val="0"/>
                <w:bCs/>
                <w:color w:val="auto"/>
                <w:kern w:val="0"/>
                <w:sz w:val="21"/>
                <w:szCs w:val="21"/>
                <w:lang w:eastAsia="zh-CN"/>
              </w:rPr>
            </w:pPr>
            <w:r>
              <w:rPr>
                <w:rFonts w:hint="default" w:ascii="Times New Roman" w:hAnsi="Times New Roman" w:eastAsia="宋体" w:cs="Times New Roman"/>
                <w:b w:val="0"/>
                <w:bCs/>
                <w:color w:val="auto"/>
                <w:kern w:val="0"/>
                <w:sz w:val="21"/>
                <w:szCs w:val="21"/>
                <w:lang w:eastAsia="zh-CN"/>
              </w:rPr>
              <w:t>转鼓氨酸复合肥</w:t>
            </w:r>
          </w:p>
        </w:tc>
        <w:tc>
          <w:tcPr>
            <w:tcW w:w="69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 xml:space="preserve">  t/a</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70000</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i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vMerge w:val="continue"/>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p>
        </w:tc>
        <w:tc>
          <w:tcPr>
            <w:tcW w:w="1191" w:type="pct"/>
            <w:vMerge w:val="continue"/>
            <w:tcBorders>
              <w:tl2br w:val="nil"/>
              <w:tr2bl w:val="nil"/>
            </w:tcBorders>
            <w:noWrap w:val="0"/>
            <w:vAlign w:val="center"/>
          </w:tcPr>
          <w:p>
            <w:pPr>
              <w:pStyle w:val="34"/>
              <w:spacing w:line="240" w:lineRule="auto"/>
              <w:jc w:val="left"/>
              <w:rPr>
                <w:rFonts w:hint="default" w:ascii="Times New Roman" w:hAnsi="Times New Roman" w:eastAsia="宋体" w:cs="Times New Roman"/>
                <w:b w:val="0"/>
                <w:bCs/>
                <w:color w:val="auto"/>
                <w:kern w:val="0"/>
                <w:sz w:val="21"/>
                <w:szCs w:val="21"/>
              </w:rPr>
            </w:pPr>
          </w:p>
        </w:tc>
        <w:tc>
          <w:tcPr>
            <w:tcW w:w="1141" w:type="pct"/>
            <w:tcBorders>
              <w:tl2br w:val="nil"/>
              <w:tr2bl w:val="nil"/>
            </w:tcBorders>
            <w:noWrap w:val="0"/>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副产品盐酸</w:t>
            </w:r>
          </w:p>
        </w:tc>
        <w:tc>
          <w:tcPr>
            <w:tcW w:w="699" w:type="pct"/>
            <w:tcBorders>
              <w:tl2br w:val="nil"/>
              <w:tr2bl w:val="nil"/>
            </w:tcBorders>
            <w:noWrap w:val="0"/>
            <w:tcMar>
              <w:left w:w="57" w:type="dxa"/>
              <w:right w:w="57" w:type="dxa"/>
            </w:tcMar>
            <w:vAlign w:val="center"/>
          </w:tcPr>
          <w:p>
            <w:pPr>
              <w:pStyle w:val="34"/>
              <w:spacing w:line="240" w:lineRule="auto"/>
              <w:ind w:firstLine="210" w:firstLineChars="100"/>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t/a</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30249.4</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i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vMerge w:val="restart"/>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二</w:t>
            </w:r>
          </w:p>
        </w:tc>
        <w:tc>
          <w:tcPr>
            <w:tcW w:w="1191" w:type="pct"/>
            <w:vMerge w:val="restart"/>
            <w:tcBorders>
              <w:tl2br w:val="nil"/>
              <w:tr2bl w:val="nil"/>
            </w:tcBorders>
            <w:noWrap w:val="0"/>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年操作时间</w:t>
            </w:r>
          </w:p>
        </w:tc>
        <w:tc>
          <w:tcPr>
            <w:tcW w:w="1141" w:type="pct"/>
            <w:tcBorders>
              <w:tl2br w:val="nil"/>
              <w:tr2bl w:val="nil"/>
            </w:tcBorders>
            <w:noWrap w:val="0"/>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15-14-14S</w:t>
            </w:r>
          </w:p>
          <w:p>
            <w:pPr>
              <w:pStyle w:val="34"/>
              <w:spacing w:line="240" w:lineRule="auto"/>
              <w:jc w:val="left"/>
              <w:rPr>
                <w:rFonts w:hint="default" w:ascii="Times New Roman" w:hAnsi="Times New Roman" w:eastAsia="宋体" w:cs="Times New Roman"/>
                <w:b w:val="0"/>
                <w:bCs/>
                <w:color w:val="auto"/>
                <w:kern w:val="0"/>
                <w:sz w:val="21"/>
                <w:szCs w:val="21"/>
              </w:rPr>
            </w:pPr>
          </w:p>
        </w:tc>
        <w:tc>
          <w:tcPr>
            <w:tcW w:w="699"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h</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1920</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vMerge w:val="continue"/>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p>
        </w:tc>
        <w:tc>
          <w:tcPr>
            <w:tcW w:w="1191" w:type="pct"/>
            <w:vMerge w:val="continue"/>
            <w:tcBorders>
              <w:tl2br w:val="nil"/>
              <w:tr2bl w:val="nil"/>
            </w:tcBorders>
            <w:noWrap w:val="0"/>
            <w:vAlign w:val="center"/>
          </w:tcPr>
          <w:p>
            <w:pPr>
              <w:pStyle w:val="34"/>
              <w:spacing w:line="240" w:lineRule="auto"/>
              <w:jc w:val="left"/>
              <w:rPr>
                <w:rFonts w:hint="default" w:ascii="Times New Roman" w:hAnsi="Times New Roman" w:eastAsia="宋体" w:cs="Times New Roman"/>
                <w:b w:val="0"/>
                <w:bCs/>
                <w:color w:val="auto"/>
                <w:kern w:val="0"/>
                <w:sz w:val="21"/>
                <w:szCs w:val="21"/>
              </w:rPr>
            </w:pPr>
          </w:p>
        </w:tc>
        <w:tc>
          <w:tcPr>
            <w:tcW w:w="1141" w:type="pct"/>
            <w:tcBorders>
              <w:tl2br w:val="nil"/>
              <w:tr2bl w:val="nil"/>
            </w:tcBorders>
            <w:noWrap w:val="0"/>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15-16-14S</w:t>
            </w:r>
          </w:p>
          <w:p>
            <w:pPr>
              <w:pStyle w:val="34"/>
              <w:spacing w:line="240" w:lineRule="auto"/>
              <w:jc w:val="left"/>
              <w:rPr>
                <w:rFonts w:hint="default" w:ascii="Times New Roman" w:hAnsi="Times New Roman" w:eastAsia="宋体" w:cs="Times New Roman"/>
                <w:b w:val="0"/>
                <w:bCs/>
                <w:color w:val="auto"/>
                <w:kern w:val="0"/>
                <w:sz w:val="21"/>
                <w:szCs w:val="21"/>
              </w:rPr>
            </w:pPr>
          </w:p>
        </w:tc>
        <w:tc>
          <w:tcPr>
            <w:tcW w:w="699"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h</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1920</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vMerge w:val="continue"/>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p>
        </w:tc>
        <w:tc>
          <w:tcPr>
            <w:tcW w:w="1191" w:type="pct"/>
            <w:vMerge w:val="continue"/>
            <w:tcBorders>
              <w:tl2br w:val="nil"/>
              <w:tr2bl w:val="nil"/>
            </w:tcBorders>
            <w:noWrap w:val="0"/>
            <w:vAlign w:val="center"/>
          </w:tcPr>
          <w:p>
            <w:pPr>
              <w:pStyle w:val="34"/>
              <w:spacing w:line="240" w:lineRule="auto"/>
              <w:jc w:val="left"/>
              <w:rPr>
                <w:rFonts w:hint="default" w:ascii="Times New Roman" w:hAnsi="Times New Roman" w:eastAsia="宋体" w:cs="Times New Roman"/>
                <w:b w:val="0"/>
                <w:bCs/>
                <w:color w:val="auto"/>
                <w:kern w:val="0"/>
                <w:sz w:val="21"/>
                <w:szCs w:val="21"/>
              </w:rPr>
            </w:pPr>
          </w:p>
        </w:tc>
        <w:tc>
          <w:tcPr>
            <w:tcW w:w="1141" w:type="pct"/>
            <w:tcBorders>
              <w:tl2br w:val="nil"/>
              <w:tr2bl w:val="nil"/>
            </w:tcBorders>
            <w:noWrap w:val="0"/>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lang w:eastAsia="zh-CN"/>
              </w:rPr>
              <w:t>转鼓氨酸复合肥</w:t>
            </w:r>
          </w:p>
        </w:tc>
        <w:tc>
          <w:tcPr>
            <w:tcW w:w="699"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h</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3360</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三</w:t>
            </w: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原材料消耗</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numPr>
                <w:ilvl w:val="0"/>
                <w:numId w:val="15"/>
              </w:numPr>
              <w:tabs>
                <w:tab w:val="left" w:pos="993"/>
                <w:tab w:val="left" w:pos="1134"/>
              </w:tabs>
              <w:snapToGrid w:val="0"/>
              <w:spacing w:line="240" w:lineRule="auto"/>
              <w:ind w:left="240" w:firstLine="0" w:firstLineChars="0"/>
              <w:jc w:val="right"/>
              <w:rPr>
                <w:rFonts w:hint="default" w:ascii="Times New Roman" w:hAnsi="Times New Roman" w:eastAsia="宋体" w:cs="Times New Roman"/>
                <w:b w:val="0"/>
                <w:bCs/>
                <w:color w:val="auto"/>
                <w:sz w:val="21"/>
                <w:szCs w:val="21"/>
              </w:rPr>
            </w:pP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尿素（46-0-0）</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t/a</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27362.322</w:t>
            </w:r>
          </w:p>
        </w:tc>
        <w:tc>
          <w:tcPr>
            <w:tcW w:w="393"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numPr>
                <w:ilvl w:val="0"/>
                <w:numId w:val="15"/>
              </w:numPr>
              <w:tabs>
                <w:tab w:val="left" w:pos="993"/>
                <w:tab w:val="left" w:pos="1134"/>
              </w:tabs>
              <w:snapToGrid w:val="0"/>
              <w:spacing w:line="240" w:lineRule="auto"/>
              <w:ind w:left="240" w:firstLine="0" w:firstLineChars="0"/>
              <w:jc w:val="right"/>
              <w:rPr>
                <w:rFonts w:hint="default" w:ascii="Times New Roman" w:hAnsi="Times New Roman" w:eastAsia="宋体" w:cs="Times New Roman"/>
                <w:b w:val="0"/>
                <w:bCs/>
                <w:color w:val="auto"/>
                <w:sz w:val="21"/>
                <w:szCs w:val="21"/>
              </w:rPr>
            </w:pP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氯化铵（23.5-0-0）</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t/a</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6989.724</w:t>
            </w:r>
          </w:p>
        </w:tc>
        <w:tc>
          <w:tcPr>
            <w:tcW w:w="393"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numPr>
                <w:ilvl w:val="0"/>
                <w:numId w:val="15"/>
              </w:numPr>
              <w:tabs>
                <w:tab w:val="left" w:pos="993"/>
                <w:tab w:val="left" w:pos="1134"/>
              </w:tabs>
              <w:snapToGrid w:val="0"/>
              <w:spacing w:line="240" w:lineRule="auto"/>
              <w:ind w:left="240" w:firstLine="0" w:firstLineChars="0"/>
              <w:jc w:val="right"/>
              <w:rPr>
                <w:rFonts w:hint="default" w:ascii="Times New Roman" w:hAnsi="Times New Roman" w:eastAsia="宋体" w:cs="Times New Roman"/>
                <w:b w:val="0"/>
                <w:bCs/>
                <w:color w:val="auto"/>
                <w:sz w:val="21"/>
                <w:szCs w:val="21"/>
              </w:rPr>
            </w:pP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磷酸一铵58%（11-47-0）</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t/a</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41363.636</w:t>
            </w:r>
          </w:p>
        </w:tc>
        <w:tc>
          <w:tcPr>
            <w:tcW w:w="393"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numPr>
                <w:ilvl w:val="0"/>
                <w:numId w:val="15"/>
              </w:numPr>
              <w:tabs>
                <w:tab w:val="left" w:pos="993"/>
                <w:tab w:val="left" w:pos="1134"/>
              </w:tabs>
              <w:snapToGrid w:val="0"/>
              <w:spacing w:line="240" w:lineRule="auto"/>
              <w:ind w:left="240" w:firstLine="0" w:firstLineChars="0"/>
              <w:jc w:val="right"/>
              <w:rPr>
                <w:rFonts w:hint="default" w:ascii="Times New Roman" w:hAnsi="Times New Roman" w:eastAsia="宋体" w:cs="Times New Roman"/>
                <w:b w:val="0"/>
                <w:bCs/>
                <w:color w:val="auto"/>
                <w:sz w:val="21"/>
                <w:szCs w:val="21"/>
              </w:rPr>
            </w:pP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氯化钾60%（0-0-60）</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t/a</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31000</w:t>
            </w:r>
          </w:p>
        </w:tc>
        <w:tc>
          <w:tcPr>
            <w:tcW w:w="393"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numPr>
                <w:ilvl w:val="0"/>
                <w:numId w:val="15"/>
              </w:numPr>
              <w:tabs>
                <w:tab w:val="left" w:pos="993"/>
                <w:tab w:val="left" w:pos="1134"/>
              </w:tabs>
              <w:snapToGrid w:val="0"/>
              <w:spacing w:line="240" w:lineRule="auto"/>
              <w:ind w:left="240" w:firstLine="0" w:firstLineChars="0"/>
              <w:jc w:val="right"/>
              <w:rPr>
                <w:rFonts w:hint="default" w:ascii="Times New Roman" w:hAnsi="Times New Roman" w:eastAsia="宋体" w:cs="Times New Roman"/>
                <w:b w:val="0"/>
                <w:bCs/>
                <w:color w:val="auto"/>
                <w:sz w:val="21"/>
                <w:szCs w:val="21"/>
              </w:rPr>
            </w:pP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氨</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t/a</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8640.737</w:t>
            </w:r>
          </w:p>
        </w:tc>
        <w:tc>
          <w:tcPr>
            <w:tcW w:w="393"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numPr>
                <w:ilvl w:val="0"/>
                <w:numId w:val="15"/>
              </w:numPr>
              <w:tabs>
                <w:tab w:val="left" w:pos="993"/>
                <w:tab w:val="left" w:pos="1134"/>
              </w:tabs>
              <w:snapToGrid w:val="0"/>
              <w:spacing w:line="240" w:lineRule="auto"/>
              <w:ind w:left="240" w:firstLine="0" w:firstLineChars="0"/>
              <w:jc w:val="right"/>
              <w:rPr>
                <w:rFonts w:hint="default" w:ascii="Times New Roman" w:hAnsi="Times New Roman" w:eastAsia="宋体" w:cs="Times New Roman"/>
                <w:b w:val="0"/>
                <w:bCs/>
                <w:color w:val="auto"/>
                <w:sz w:val="21"/>
                <w:szCs w:val="21"/>
              </w:rPr>
            </w:pP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浓硫酸</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t/a</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31243.4</w:t>
            </w:r>
          </w:p>
        </w:tc>
        <w:tc>
          <w:tcPr>
            <w:tcW w:w="393"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numPr>
                <w:ilvl w:val="0"/>
                <w:numId w:val="15"/>
              </w:numPr>
              <w:tabs>
                <w:tab w:val="left" w:pos="993"/>
                <w:tab w:val="left" w:pos="1134"/>
              </w:tabs>
              <w:snapToGrid w:val="0"/>
              <w:spacing w:line="240" w:lineRule="auto"/>
              <w:ind w:left="240" w:firstLine="0" w:firstLineChars="0"/>
              <w:jc w:val="right"/>
              <w:rPr>
                <w:rFonts w:hint="default" w:ascii="Times New Roman" w:hAnsi="Times New Roman" w:eastAsia="宋体" w:cs="Times New Roman"/>
                <w:b w:val="0"/>
                <w:bCs/>
                <w:color w:val="auto"/>
                <w:sz w:val="21"/>
                <w:szCs w:val="21"/>
              </w:rPr>
            </w:pP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防结块剂膏</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t/a</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360</w:t>
            </w:r>
          </w:p>
        </w:tc>
        <w:tc>
          <w:tcPr>
            <w:tcW w:w="393"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numPr>
                <w:ilvl w:val="0"/>
                <w:numId w:val="15"/>
              </w:numPr>
              <w:tabs>
                <w:tab w:val="left" w:pos="993"/>
                <w:tab w:val="left" w:pos="1134"/>
              </w:tabs>
              <w:snapToGrid w:val="0"/>
              <w:spacing w:line="240" w:lineRule="auto"/>
              <w:ind w:left="240" w:firstLine="0" w:firstLineChars="0"/>
              <w:jc w:val="right"/>
              <w:rPr>
                <w:rFonts w:hint="default" w:ascii="Times New Roman" w:hAnsi="Times New Roman" w:eastAsia="宋体" w:cs="Times New Roman"/>
                <w:b w:val="0"/>
                <w:bCs/>
                <w:color w:val="auto"/>
                <w:sz w:val="21"/>
                <w:szCs w:val="21"/>
              </w:rPr>
            </w:pP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防结块剂粉</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t/a</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675</w:t>
            </w:r>
          </w:p>
        </w:tc>
        <w:tc>
          <w:tcPr>
            <w:tcW w:w="393"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tabs>
                <w:tab w:val="left" w:pos="993"/>
                <w:tab w:val="left" w:pos="1134"/>
              </w:tabs>
              <w:snapToGrid w:val="0"/>
              <w:spacing w:line="240" w:lineRule="auto"/>
              <w:ind w:firstLine="420" w:firstLineChars="200"/>
              <w:jc w:val="center"/>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eastAsia="zh-CN"/>
              </w:rPr>
              <w:t>四</w:t>
            </w: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项目定员</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人</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39</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 xml:space="preserve">  </w:t>
            </w: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项目占地面积</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35243.58</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tabs>
                <w:tab w:val="left" w:pos="993"/>
                <w:tab w:val="left" w:pos="1134"/>
              </w:tabs>
              <w:snapToGrid w:val="0"/>
              <w:spacing w:line="240" w:lineRule="auto"/>
              <w:ind w:firstLine="420" w:firstLineChars="200"/>
              <w:jc w:val="center"/>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eastAsia="zh-CN"/>
              </w:rPr>
              <w:t>五</w:t>
            </w: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项目计算期</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年</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15</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w:t>
            </w: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建设期</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年</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1.0</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w:t>
            </w: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生产经营期</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年</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14</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tabs>
                <w:tab w:val="left" w:pos="993"/>
                <w:tab w:val="left" w:pos="1134"/>
              </w:tabs>
              <w:snapToGrid w:val="0"/>
              <w:spacing w:line="240" w:lineRule="auto"/>
              <w:ind w:firstLine="420" w:firstLineChars="200"/>
              <w:jc w:val="center"/>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eastAsia="zh-CN"/>
              </w:rPr>
              <w:t>六</w:t>
            </w: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项目总投资</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万元</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 xml:space="preserve">11164.11 </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w:t>
            </w: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建设投资</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万元</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 xml:space="preserve">9850.8 </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w:t>
            </w: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建设期利息</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万元</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 xml:space="preserve">113.32 </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3</w:t>
            </w: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铺底流动资金</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万元</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 xml:space="preserve">1200.00 </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tabs>
                <w:tab w:val="left" w:pos="993"/>
                <w:tab w:val="left" w:pos="1134"/>
              </w:tabs>
              <w:snapToGrid w:val="0"/>
              <w:spacing w:line="240" w:lineRule="auto"/>
              <w:ind w:firstLine="420" w:firstLineChars="200"/>
              <w:jc w:val="center"/>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eastAsia="zh-CN"/>
              </w:rPr>
              <w:t>七</w:t>
            </w: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年均销售收入</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万元</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41638.18</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tabs>
                <w:tab w:val="left" w:pos="993"/>
                <w:tab w:val="left" w:pos="1134"/>
              </w:tabs>
              <w:snapToGrid w:val="0"/>
              <w:spacing w:line="240" w:lineRule="auto"/>
              <w:ind w:firstLine="0" w:firstLineChars="0"/>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eastAsia="zh-CN"/>
              </w:rPr>
              <w:t>八</w:t>
            </w:r>
          </w:p>
        </w:tc>
        <w:tc>
          <w:tcPr>
            <w:tcW w:w="2333" w:type="pct"/>
            <w:gridSpan w:val="2"/>
            <w:tcBorders>
              <w:tl2br w:val="nil"/>
              <w:tr2bl w:val="nil"/>
            </w:tcBorders>
            <w:noWrap w:val="0"/>
            <w:vAlign w:val="center"/>
          </w:tcPr>
          <w:p>
            <w:pPr>
              <w:tabs>
                <w:tab w:val="left" w:pos="993"/>
                <w:tab w:val="left" w:pos="1134"/>
              </w:tabs>
              <w:snapToGrid w:val="0"/>
              <w:spacing w:line="240" w:lineRule="auto"/>
              <w:ind w:firstLine="420" w:firstLineChars="2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年均总成本费用</w:t>
            </w:r>
          </w:p>
        </w:tc>
        <w:tc>
          <w:tcPr>
            <w:tcW w:w="699" w:type="pct"/>
            <w:tcBorders>
              <w:tl2br w:val="nil"/>
              <w:tr2bl w:val="nil"/>
            </w:tcBorders>
            <w:noWrap w:val="0"/>
            <w:tcMar>
              <w:left w:w="57" w:type="dxa"/>
              <w:right w:w="57" w:type="dxa"/>
            </w:tcMar>
            <w:vAlign w:val="center"/>
          </w:tcPr>
          <w:p>
            <w:pPr>
              <w:tabs>
                <w:tab w:val="left" w:pos="993"/>
                <w:tab w:val="left" w:pos="1134"/>
              </w:tabs>
              <w:snapToGrid w:val="0"/>
              <w:spacing w:line="240" w:lineRule="auto"/>
              <w:ind w:firstLine="420" w:firstLineChars="200"/>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万元</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 xml:space="preserve">40362.49 </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tabs>
                <w:tab w:val="left" w:pos="993"/>
                <w:tab w:val="left" w:pos="1134"/>
              </w:tabs>
              <w:snapToGrid w:val="0"/>
              <w:spacing w:line="240" w:lineRule="auto"/>
              <w:ind w:firstLine="0" w:firstLineChars="0"/>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eastAsia="zh-CN"/>
              </w:rPr>
              <w:t>九</w:t>
            </w:r>
          </w:p>
        </w:tc>
        <w:tc>
          <w:tcPr>
            <w:tcW w:w="2333" w:type="pct"/>
            <w:gridSpan w:val="2"/>
            <w:tcBorders>
              <w:tl2br w:val="nil"/>
              <w:tr2bl w:val="nil"/>
            </w:tcBorders>
            <w:noWrap w:val="0"/>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年均销售税金及附加</w:t>
            </w:r>
          </w:p>
        </w:tc>
        <w:tc>
          <w:tcPr>
            <w:tcW w:w="69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万元</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17.63</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十</w:t>
            </w:r>
          </w:p>
        </w:tc>
        <w:tc>
          <w:tcPr>
            <w:tcW w:w="2333" w:type="pct"/>
            <w:gridSpan w:val="2"/>
            <w:tcBorders>
              <w:tl2br w:val="nil"/>
              <w:tr2bl w:val="nil"/>
            </w:tcBorders>
            <w:noWrap w:val="0"/>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年均增值税</w:t>
            </w:r>
          </w:p>
        </w:tc>
        <w:tc>
          <w:tcPr>
            <w:tcW w:w="69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万元</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176.25</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pStyle w:val="34"/>
              <w:spacing w:line="240" w:lineRule="auto"/>
              <w:rPr>
                <w:rFonts w:hint="eastAsia" w:ascii="Times New Roman" w:hAnsi="Times New Roman" w:eastAsia="宋体" w:cs="Times New Roman"/>
                <w:b w:val="0"/>
                <w:bCs/>
                <w:color w:val="auto"/>
                <w:kern w:val="0"/>
                <w:sz w:val="21"/>
                <w:szCs w:val="21"/>
                <w:lang w:eastAsia="zh-CN"/>
              </w:rPr>
            </w:pPr>
            <w:r>
              <w:rPr>
                <w:rFonts w:hint="default" w:ascii="Times New Roman" w:hAnsi="Times New Roman" w:eastAsia="宋体" w:cs="Times New Roman"/>
                <w:b w:val="0"/>
                <w:bCs/>
                <w:color w:val="auto"/>
                <w:kern w:val="0"/>
                <w:sz w:val="21"/>
                <w:szCs w:val="21"/>
              </w:rPr>
              <w:t>十</w:t>
            </w:r>
            <w:r>
              <w:rPr>
                <w:rFonts w:hint="eastAsia" w:cs="Times New Roman"/>
                <w:b w:val="0"/>
                <w:bCs/>
                <w:color w:val="auto"/>
                <w:kern w:val="0"/>
                <w:sz w:val="21"/>
                <w:szCs w:val="21"/>
                <w:lang w:eastAsia="zh-CN"/>
              </w:rPr>
              <w:t>一</w:t>
            </w:r>
          </w:p>
        </w:tc>
        <w:tc>
          <w:tcPr>
            <w:tcW w:w="2333" w:type="pct"/>
            <w:gridSpan w:val="2"/>
            <w:tcBorders>
              <w:tl2br w:val="nil"/>
              <w:tr2bl w:val="nil"/>
            </w:tcBorders>
            <w:noWrap w:val="0"/>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年均利润总额</w:t>
            </w:r>
          </w:p>
        </w:tc>
        <w:tc>
          <w:tcPr>
            <w:tcW w:w="69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万元</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1258.07</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pStyle w:val="34"/>
              <w:spacing w:line="240" w:lineRule="auto"/>
              <w:rPr>
                <w:rFonts w:hint="eastAsia" w:ascii="Times New Roman" w:hAnsi="Times New Roman" w:eastAsia="宋体" w:cs="Times New Roman"/>
                <w:b w:val="0"/>
                <w:bCs/>
                <w:color w:val="auto"/>
                <w:kern w:val="0"/>
                <w:sz w:val="21"/>
                <w:szCs w:val="21"/>
                <w:lang w:eastAsia="zh-CN"/>
              </w:rPr>
            </w:pPr>
            <w:r>
              <w:rPr>
                <w:rFonts w:hint="default" w:ascii="Times New Roman" w:hAnsi="Times New Roman" w:eastAsia="宋体" w:cs="Times New Roman"/>
                <w:b w:val="0"/>
                <w:bCs/>
                <w:color w:val="auto"/>
                <w:kern w:val="0"/>
                <w:sz w:val="21"/>
                <w:szCs w:val="21"/>
              </w:rPr>
              <w:t>十</w:t>
            </w:r>
            <w:r>
              <w:rPr>
                <w:rFonts w:hint="eastAsia" w:cs="Times New Roman"/>
                <w:b w:val="0"/>
                <w:bCs/>
                <w:color w:val="auto"/>
                <w:kern w:val="0"/>
                <w:sz w:val="21"/>
                <w:szCs w:val="21"/>
                <w:lang w:eastAsia="zh-CN"/>
              </w:rPr>
              <w:t>二</w:t>
            </w:r>
          </w:p>
        </w:tc>
        <w:tc>
          <w:tcPr>
            <w:tcW w:w="2333" w:type="pct"/>
            <w:gridSpan w:val="2"/>
            <w:tcBorders>
              <w:tl2br w:val="nil"/>
              <w:tr2bl w:val="nil"/>
            </w:tcBorders>
            <w:noWrap w:val="0"/>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年均所得税</w:t>
            </w:r>
          </w:p>
        </w:tc>
        <w:tc>
          <w:tcPr>
            <w:tcW w:w="69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万元</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314.52</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pStyle w:val="34"/>
              <w:spacing w:line="240" w:lineRule="auto"/>
              <w:rPr>
                <w:rFonts w:hint="eastAsia" w:ascii="Times New Roman" w:hAnsi="Times New Roman" w:eastAsia="宋体" w:cs="Times New Roman"/>
                <w:b w:val="0"/>
                <w:bCs/>
                <w:color w:val="auto"/>
                <w:kern w:val="0"/>
                <w:sz w:val="21"/>
                <w:szCs w:val="21"/>
                <w:lang w:eastAsia="zh-CN"/>
              </w:rPr>
            </w:pPr>
            <w:r>
              <w:rPr>
                <w:rFonts w:hint="default" w:ascii="Times New Roman" w:hAnsi="Times New Roman" w:eastAsia="宋体" w:cs="Times New Roman"/>
                <w:b w:val="0"/>
                <w:bCs/>
                <w:color w:val="auto"/>
                <w:kern w:val="0"/>
                <w:sz w:val="21"/>
                <w:szCs w:val="21"/>
              </w:rPr>
              <w:t>十</w:t>
            </w:r>
            <w:r>
              <w:rPr>
                <w:rFonts w:hint="eastAsia" w:cs="Times New Roman"/>
                <w:b w:val="0"/>
                <w:bCs/>
                <w:color w:val="auto"/>
                <w:kern w:val="0"/>
                <w:sz w:val="21"/>
                <w:szCs w:val="21"/>
                <w:lang w:eastAsia="zh-CN"/>
              </w:rPr>
              <w:t>三</w:t>
            </w:r>
          </w:p>
        </w:tc>
        <w:tc>
          <w:tcPr>
            <w:tcW w:w="2333" w:type="pct"/>
            <w:gridSpan w:val="2"/>
            <w:tcBorders>
              <w:tl2br w:val="nil"/>
              <w:tr2bl w:val="nil"/>
            </w:tcBorders>
            <w:noWrap w:val="0"/>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年均税前利润</w:t>
            </w:r>
          </w:p>
        </w:tc>
        <w:tc>
          <w:tcPr>
            <w:tcW w:w="69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万元</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1367.93</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pStyle w:val="34"/>
              <w:spacing w:line="240" w:lineRule="auto"/>
              <w:rPr>
                <w:rFonts w:hint="eastAsia" w:ascii="Times New Roman" w:hAnsi="Times New Roman" w:eastAsia="宋体" w:cs="Times New Roman"/>
                <w:b w:val="0"/>
                <w:bCs/>
                <w:color w:val="auto"/>
                <w:kern w:val="0"/>
                <w:sz w:val="21"/>
                <w:szCs w:val="21"/>
                <w:lang w:eastAsia="zh-CN"/>
              </w:rPr>
            </w:pPr>
            <w:r>
              <w:rPr>
                <w:rFonts w:hint="default" w:ascii="Times New Roman" w:hAnsi="Times New Roman" w:eastAsia="宋体" w:cs="Times New Roman"/>
                <w:b w:val="0"/>
                <w:bCs/>
                <w:color w:val="auto"/>
                <w:kern w:val="0"/>
                <w:sz w:val="21"/>
                <w:szCs w:val="21"/>
              </w:rPr>
              <w:t>十</w:t>
            </w:r>
            <w:r>
              <w:rPr>
                <w:rFonts w:hint="eastAsia" w:cs="Times New Roman"/>
                <w:b w:val="0"/>
                <w:bCs/>
                <w:color w:val="auto"/>
                <w:kern w:val="0"/>
                <w:sz w:val="21"/>
                <w:szCs w:val="21"/>
                <w:lang w:eastAsia="zh-CN"/>
              </w:rPr>
              <w:t>四</w:t>
            </w:r>
          </w:p>
        </w:tc>
        <w:tc>
          <w:tcPr>
            <w:tcW w:w="2333" w:type="pct"/>
            <w:gridSpan w:val="2"/>
            <w:tcBorders>
              <w:tl2br w:val="nil"/>
              <w:tr2bl w:val="nil"/>
            </w:tcBorders>
            <w:noWrap w:val="0"/>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经济评价指标（税后）</w:t>
            </w:r>
          </w:p>
        </w:tc>
        <w:tc>
          <w:tcPr>
            <w:tcW w:w="69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w:t>
            </w:r>
          </w:p>
        </w:tc>
        <w:tc>
          <w:tcPr>
            <w:tcW w:w="2333" w:type="pct"/>
            <w:gridSpan w:val="2"/>
            <w:tcBorders>
              <w:tl2br w:val="nil"/>
              <w:tr2bl w:val="nil"/>
            </w:tcBorders>
            <w:noWrap w:val="0"/>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财务内部收益率</w:t>
            </w:r>
          </w:p>
        </w:tc>
        <w:tc>
          <w:tcPr>
            <w:tcW w:w="69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 xml:space="preserve">13.06 </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2</w:t>
            </w:r>
          </w:p>
        </w:tc>
        <w:tc>
          <w:tcPr>
            <w:tcW w:w="2333" w:type="pct"/>
            <w:gridSpan w:val="2"/>
            <w:tcBorders>
              <w:tl2br w:val="nil"/>
              <w:tr2bl w:val="nil"/>
            </w:tcBorders>
            <w:noWrap w:val="0"/>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财务净现值</w:t>
            </w:r>
          </w:p>
        </w:tc>
        <w:tc>
          <w:tcPr>
            <w:tcW w:w="69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万元</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 xml:space="preserve">1788.50 </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3</w:t>
            </w:r>
          </w:p>
        </w:tc>
        <w:tc>
          <w:tcPr>
            <w:tcW w:w="2333" w:type="pct"/>
            <w:gridSpan w:val="2"/>
            <w:tcBorders>
              <w:tl2br w:val="nil"/>
              <w:tr2bl w:val="nil"/>
            </w:tcBorders>
            <w:noWrap w:val="0"/>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投资回收期</w:t>
            </w:r>
          </w:p>
        </w:tc>
        <w:tc>
          <w:tcPr>
            <w:tcW w:w="69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年</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 xml:space="preserve">7.80 </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i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pStyle w:val="34"/>
              <w:spacing w:line="240" w:lineRule="auto"/>
              <w:rPr>
                <w:rFonts w:hint="eastAsia" w:ascii="Times New Roman" w:hAnsi="Times New Roman" w:eastAsia="宋体" w:cs="Times New Roman"/>
                <w:b w:val="0"/>
                <w:bCs/>
                <w:color w:val="auto"/>
                <w:kern w:val="0"/>
                <w:sz w:val="21"/>
                <w:szCs w:val="21"/>
                <w:lang w:eastAsia="zh-CN"/>
              </w:rPr>
            </w:pPr>
            <w:r>
              <w:rPr>
                <w:rFonts w:hint="default" w:ascii="Times New Roman" w:hAnsi="Times New Roman" w:eastAsia="宋体" w:cs="Times New Roman"/>
                <w:b w:val="0"/>
                <w:bCs/>
                <w:color w:val="auto"/>
                <w:kern w:val="0"/>
                <w:sz w:val="21"/>
                <w:szCs w:val="21"/>
              </w:rPr>
              <w:t>十</w:t>
            </w:r>
            <w:r>
              <w:rPr>
                <w:rFonts w:hint="eastAsia" w:cs="Times New Roman"/>
                <w:b w:val="0"/>
                <w:bCs/>
                <w:color w:val="auto"/>
                <w:kern w:val="0"/>
                <w:sz w:val="21"/>
                <w:szCs w:val="21"/>
                <w:lang w:eastAsia="zh-CN"/>
              </w:rPr>
              <w:t>五</w:t>
            </w:r>
          </w:p>
        </w:tc>
        <w:tc>
          <w:tcPr>
            <w:tcW w:w="2333" w:type="pct"/>
            <w:gridSpan w:val="2"/>
            <w:tcBorders>
              <w:tl2br w:val="nil"/>
              <w:tr2bl w:val="nil"/>
            </w:tcBorders>
            <w:noWrap w:val="0"/>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总投资收益率</w:t>
            </w:r>
          </w:p>
        </w:tc>
        <w:tc>
          <w:tcPr>
            <w:tcW w:w="69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12.25</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83" w:type="pct"/>
            <w:tcBorders>
              <w:tl2br w:val="nil"/>
              <w:tr2bl w:val="nil"/>
            </w:tcBorders>
            <w:noWrap w:val="0"/>
            <w:vAlign w:val="center"/>
          </w:tcPr>
          <w:p>
            <w:pPr>
              <w:pStyle w:val="34"/>
              <w:spacing w:line="240" w:lineRule="auto"/>
              <w:rPr>
                <w:rFonts w:hint="eastAsia" w:ascii="Times New Roman" w:hAnsi="Times New Roman" w:eastAsia="宋体" w:cs="Times New Roman"/>
                <w:b w:val="0"/>
                <w:bCs/>
                <w:color w:val="auto"/>
                <w:kern w:val="0"/>
                <w:sz w:val="21"/>
                <w:szCs w:val="21"/>
                <w:lang w:eastAsia="zh-CN"/>
              </w:rPr>
            </w:pPr>
            <w:r>
              <w:rPr>
                <w:rFonts w:hint="default" w:ascii="Times New Roman" w:hAnsi="Times New Roman" w:eastAsia="宋体" w:cs="Times New Roman"/>
                <w:b w:val="0"/>
                <w:bCs/>
                <w:color w:val="auto"/>
                <w:kern w:val="0"/>
                <w:sz w:val="21"/>
                <w:szCs w:val="21"/>
              </w:rPr>
              <w:t>十</w:t>
            </w:r>
            <w:r>
              <w:rPr>
                <w:rFonts w:hint="eastAsia" w:cs="Times New Roman"/>
                <w:b w:val="0"/>
                <w:bCs/>
                <w:color w:val="auto"/>
                <w:kern w:val="0"/>
                <w:sz w:val="21"/>
                <w:szCs w:val="21"/>
                <w:lang w:eastAsia="zh-CN"/>
              </w:rPr>
              <w:t>六</w:t>
            </w:r>
          </w:p>
        </w:tc>
        <w:tc>
          <w:tcPr>
            <w:tcW w:w="2333" w:type="pct"/>
            <w:gridSpan w:val="2"/>
            <w:tcBorders>
              <w:tl2br w:val="nil"/>
              <w:tr2bl w:val="nil"/>
            </w:tcBorders>
            <w:noWrap w:val="0"/>
            <w:vAlign w:val="center"/>
          </w:tcPr>
          <w:p>
            <w:pPr>
              <w:pStyle w:val="34"/>
              <w:spacing w:line="240" w:lineRule="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盈亏平衡点（生产能力）</w:t>
            </w:r>
          </w:p>
        </w:tc>
        <w:tc>
          <w:tcPr>
            <w:tcW w:w="699" w:type="pct"/>
            <w:tcBorders>
              <w:tl2br w:val="nil"/>
              <w:tr2bl w:val="nil"/>
            </w:tcBorders>
            <w:noWrap w:val="0"/>
            <w:tcMar>
              <w:left w:w="57" w:type="dxa"/>
              <w:right w:w="57" w:type="dxa"/>
            </w:tcMar>
            <w:vAlign w:val="center"/>
          </w:tcPr>
          <w:p>
            <w:pPr>
              <w:pStyle w:val="34"/>
              <w:spacing w:line="240" w:lineRule="auto"/>
              <w:jc w:val="both"/>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w:t>
            </w:r>
          </w:p>
        </w:tc>
        <w:tc>
          <w:tcPr>
            <w:tcW w:w="1089" w:type="pct"/>
            <w:tcBorders>
              <w:tl2br w:val="nil"/>
              <w:tr2bl w:val="nil"/>
            </w:tcBorders>
            <w:noWrap w:val="0"/>
            <w:tcMar>
              <w:left w:w="57" w:type="dxa"/>
              <w:right w:w="57" w:type="dxa"/>
            </w:tcMar>
            <w:vAlign w:val="center"/>
          </w:tcPr>
          <w:p>
            <w:pPr>
              <w:pStyle w:val="34"/>
              <w:spacing w:line="240" w:lineRule="auto"/>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 xml:space="preserve">49.48 </w:t>
            </w:r>
          </w:p>
        </w:tc>
        <w:tc>
          <w:tcPr>
            <w:tcW w:w="393" w:type="pct"/>
            <w:tcBorders>
              <w:tl2br w:val="nil"/>
              <w:tr2bl w:val="nil"/>
            </w:tcBorders>
            <w:noWrap w:val="0"/>
            <w:tcMar>
              <w:left w:w="57" w:type="dxa"/>
              <w:right w:w="57" w:type="dxa"/>
            </w:tcMar>
            <w:vAlign w:val="center"/>
          </w:tcPr>
          <w:p>
            <w:pPr>
              <w:pStyle w:val="34"/>
              <w:spacing w:line="240" w:lineRule="auto"/>
              <w:rPr>
                <w:rFonts w:hint="default" w:ascii="Times New Roman" w:hAnsi="Times New Roman" w:eastAsia="宋体" w:cs="Times New Roman"/>
                <w:b w:val="0"/>
                <w:bCs/>
                <w:color w:val="auto"/>
                <w:kern w:val="0"/>
                <w:sz w:val="21"/>
                <w:szCs w:val="21"/>
              </w:rPr>
            </w:pPr>
          </w:p>
        </w:tc>
      </w:tr>
    </w:tbl>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br w:type="page"/>
      </w:r>
    </w:p>
    <w:p>
      <w:pPr>
        <w:keepNext/>
        <w:keepLines/>
        <w:widowControl w:val="0"/>
        <w:spacing w:line="600" w:lineRule="exact"/>
        <w:jc w:val="center"/>
        <w:outlineLvl w:val="0"/>
        <w:rPr>
          <w:rFonts w:hint="default" w:ascii="Times New Roman" w:hAnsi="Times New Roman" w:eastAsia="黑体" w:cs="Times New Roman"/>
          <w:color w:val="auto"/>
          <w:kern w:val="10"/>
          <w:sz w:val="32"/>
          <w:szCs w:val="32"/>
          <w:lang w:val="en-US" w:eastAsia="zh-CN" w:bidi="ar-SA"/>
        </w:rPr>
      </w:pPr>
      <w:bookmarkStart w:id="46" w:name="_Toc5840"/>
      <w:r>
        <w:rPr>
          <w:rFonts w:hint="default" w:ascii="Times New Roman" w:hAnsi="Times New Roman" w:eastAsia="黑体" w:cs="Times New Roman"/>
          <w:color w:val="auto"/>
          <w:kern w:val="10"/>
          <w:sz w:val="32"/>
          <w:szCs w:val="32"/>
          <w:lang w:val="en-US" w:eastAsia="zh-CN" w:bidi="ar-SA"/>
        </w:rPr>
        <w:t>3危险、有害因素的辨识结果及依据说明</w:t>
      </w:r>
      <w:bookmarkEnd w:id="43"/>
      <w:bookmarkEnd w:id="46"/>
    </w:p>
    <w:bookmarkEnd w:id="44"/>
    <w:bookmarkEnd w:id="45"/>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47" w:name="_Toc17406"/>
      <w:bookmarkStart w:id="48" w:name="_Toc19969"/>
      <w:bookmarkStart w:id="49" w:name="_Toc12692"/>
      <w:bookmarkStart w:id="50" w:name="_Toc22245"/>
      <w:bookmarkStart w:id="51" w:name="_Toc20373"/>
      <w:r>
        <w:rPr>
          <w:rFonts w:hint="default" w:ascii="Times New Roman" w:hAnsi="Times New Roman" w:eastAsia="楷体" w:cs="Times New Roman"/>
          <w:b/>
          <w:bCs/>
          <w:color w:val="auto"/>
          <w:kern w:val="2"/>
          <w:sz w:val="32"/>
          <w:szCs w:val="32"/>
          <w:lang w:val="en-US" w:eastAsia="zh-CN" w:bidi="ar-SA"/>
        </w:rPr>
        <w:t>3.1</w:t>
      </w:r>
      <w:bookmarkEnd w:id="47"/>
      <w:bookmarkEnd w:id="48"/>
      <w:r>
        <w:rPr>
          <w:rFonts w:hint="default" w:ascii="Times New Roman" w:hAnsi="Times New Roman" w:eastAsia="楷体" w:cs="Times New Roman"/>
          <w:b/>
          <w:bCs/>
          <w:color w:val="auto"/>
          <w:kern w:val="2"/>
          <w:sz w:val="32"/>
          <w:szCs w:val="32"/>
          <w:lang w:val="en-US" w:eastAsia="zh-CN" w:bidi="ar-SA"/>
        </w:rPr>
        <w:t>危险物质的辨识结果及依据</w:t>
      </w:r>
      <w:bookmarkEnd w:id="49"/>
      <w:bookmarkEnd w:id="50"/>
    </w:p>
    <w:bookmarkEnd w:id="51"/>
    <w:p>
      <w:pPr>
        <w:numPr>
          <w:ilvl w:val="0"/>
          <w:numId w:val="16"/>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危险化学品</w:t>
      </w:r>
    </w:p>
    <w:p>
      <w:pPr>
        <w:numPr>
          <w:ilvl w:val="0"/>
          <w:numId w:val="0"/>
        </w:numPr>
        <w:ind w:firstLine="560" w:firstLineChars="200"/>
        <w:rPr>
          <w:rFonts w:hint="default" w:ascii="Times New Roman" w:hAnsi="Times New Roman" w:cs="Times New Roman"/>
          <w:color w:val="auto"/>
          <w:sz w:val="28"/>
          <w:lang w:eastAsia="zh-CN"/>
        </w:rPr>
      </w:pPr>
      <w:r>
        <w:rPr>
          <w:rFonts w:hint="default" w:ascii="Times New Roman" w:hAnsi="Times New Roman" w:eastAsia="宋体" w:cs="Times New Roman"/>
          <w:color w:val="auto"/>
        </w:rPr>
        <w:t>根据《危险化学品目录》（2015年版），该项目属于危险化学品的有</w:t>
      </w:r>
      <w:r>
        <w:rPr>
          <w:rFonts w:hint="default" w:ascii="Times New Roman" w:hAnsi="Times New Roman" w:cs="Times New Roman"/>
          <w:color w:val="auto"/>
          <w:lang w:eastAsia="zh-CN"/>
        </w:rPr>
        <w:t>氨、</w:t>
      </w:r>
      <w:r>
        <w:rPr>
          <w:rFonts w:hint="default" w:ascii="Times New Roman" w:hAnsi="Times New Roman" w:eastAsia="宋体" w:cs="Times New Roman"/>
          <w:color w:val="auto"/>
          <w:sz w:val="28"/>
          <w:szCs w:val="28"/>
          <w:lang w:eastAsia="zh-CN"/>
        </w:rPr>
        <w:t>盐酸、硫酸</w:t>
      </w:r>
      <w:r>
        <w:rPr>
          <w:rFonts w:hint="default" w:ascii="Times New Roman" w:hAnsi="Times New Roman" w:cs="Times New Roman"/>
          <w:color w:val="auto"/>
          <w:sz w:val="28"/>
          <w:szCs w:val="28"/>
          <w:lang w:eastAsia="zh-CN"/>
        </w:rPr>
        <w:t>、天然气（燃料）、氯化氢（中间产物）、硫酸氢钾（中间产物）</w:t>
      </w:r>
      <w:r>
        <w:rPr>
          <w:rFonts w:hint="default" w:ascii="Times New Roman" w:hAnsi="Times New Roman" w:eastAsia="宋体" w:cs="Times New Roman"/>
          <w:color w:val="auto"/>
        </w:rPr>
        <w:t>等。危险化学品及危险性类别见下表。</w:t>
      </w:r>
    </w:p>
    <w:p>
      <w:pPr>
        <w:ind w:firstLine="480"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表3.1-1 危险化学品及危险性类别一览表</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1084"/>
        <w:gridCol w:w="426"/>
        <w:gridCol w:w="1091"/>
        <w:gridCol w:w="689"/>
        <w:gridCol w:w="759"/>
        <w:gridCol w:w="736"/>
        <w:gridCol w:w="1065"/>
        <w:gridCol w:w="426"/>
        <w:gridCol w:w="258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blHeader/>
          <w:jc w:val="center"/>
        </w:trPr>
        <w:tc>
          <w:tcPr>
            <w:tcW w:w="229"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613"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229"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状态</w:t>
            </w:r>
          </w:p>
        </w:tc>
        <w:tc>
          <w:tcPr>
            <w:tcW w:w="599"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CAS号</w:t>
            </w:r>
          </w:p>
        </w:tc>
        <w:tc>
          <w:tcPr>
            <w:tcW w:w="314"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w:t>
            </w:r>
          </w:p>
        </w:tc>
        <w:tc>
          <w:tcPr>
            <w:tcW w:w="370"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沸点℃</w:t>
            </w:r>
          </w:p>
        </w:tc>
        <w:tc>
          <w:tcPr>
            <w:tcW w:w="444"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闪点℃</w:t>
            </w:r>
          </w:p>
        </w:tc>
        <w:tc>
          <w:tcPr>
            <w:tcW w:w="518"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爆炸极限（V%）</w:t>
            </w:r>
          </w:p>
        </w:tc>
        <w:tc>
          <w:tcPr>
            <w:tcW w:w="243"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火险等级</w:t>
            </w:r>
          </w:p>
        </w:tc>
        <w:tc>
          <w:tcPr>
            <w:tcW w:w="1437"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危险性类别</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blHeader/>
          <w:jc w:val="center"/>
        </w:trPr>
        <w:tc>
          <w:tcPr>
            <w:tcW w:w="22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613"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盐酸（</w:t>
            </w:r>
            <w:r>
              <w:rPr>
                <w:rFonts w:hint="default" w:ascii="Times New Roman" w:hAnsi="Times New Roman" w:eastAsia="宋体" w:cs="Times New Roman"/>
                <w:color w:val="auto"/>
                <w:sz w:val="21"/>
                <w:szCs w:val="21"/>
                <w:lang w:val="en-US" w:eastAsia="zh-CN"/>
              </w:rPr>
              <w:t>3</w:t>
            </w:r>
            <w:r>
              <w:rPr>
                <w:rFonts w:hint="default"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w:t>
            </w:r>
          </w:p>
        </w:tc>
        <w:tc>
          <w:tcPr>
            <w:tcW w:w="229"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液体</w:t>
            </w:r>
          </w:p>
        </w:tc>
        <w:tc>
          <w:tcPr>
            <w:tcW w:w="599"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0"/>
                <w:szCs w:val="20"/>
                <w:lang w:val="en-US" w:eastAsia="zh-CN"/>
              </w:rPr>
              <w:t>7467-01-0</w:t>
            </w:r>
          </w:p>
        </w:tc>
        <w:tc>
          <w:tcPr>
            <w:tcW w:w="314"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lang w:val="en-US" w:eastAsia="zh-CN"/>
              </w:rPr>
              <w:t>1.2</w:t>
            </w:r>
          </w:p>
        </w:tc>
        <w:tc>
          <w:tcPr>
            <w:tcW w:w="370"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sz w:val="21"/>
                <w:szCs w:val="21"/>
                <w:shd w:val="clear" w:color="auto" w:fill="FFFFFF"/>
                <w:lang w:val="en-US" w:eastAsia="zh-CN"/>
              </w:rPr>
              <w:t>108.6</w:t>
            </w:r>
          </w:p>
        </w:tc>
        <w:tc>
          <w:tcPr>
            <w:tcW w:w="444"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518"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lang w:val="en-US" w:eastAsia="zh-CN"/>
              </w:rPr>
              <w:t>/</w:t>
            </w:r>
          </w:p>
        </w:tc>
        <w:tc>
          <w:tcPr>
            <w:tcW w:w="243"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437" w:type="pct"/>
            <w:tcBorders>
              <w:tl2br w:val="nil"/>
              <w:tr2bl w:val="nil"/>
            </w:tcBorders>
            <w:noWrap w:val="0"/>
            <w:vAlign w:val="top"/>
          </w:tcPr>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皮肤腐蚀/刺激,类别1B</w:t>
            </w:r>
          </w:p>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严重眼损伤/眼刺激,类别1</w:t>
            </w:r>
          </w:p>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特异性靶器官毒性-一次接触,类别3（呼吸道刺激）</w:t>
            </w:r>
          </w:p>
          <w:p>
            <w:pPr>
              <w:widowControl/>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危害水生环境-急性危害,类别2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blHeader/>
          <w:jc w:val="center"/>
        </w:trPr>
        <w:tc>
          <w:tcPr>
            <w:tcW w:w="22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613"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硫酸（</w:t>
            </w:r>
            <w:r>
              <w:rPr>
                <w:rFonts w:hint="eastAsia" w:cs="Times New Roman"/>
                <w:color w:val="auto"/>
                <w:sz w:val="21"/>
                <w:szCs w:val="21"/>
                <w:lang w:val="en-US" w:eastAsia="zh-CN"/>
              </w:rPr>
              <w:t>98%</w:t>
            </w:r>
            <w:r>
              <w:rPr>
                <w:rFonts w:hint="default" w:ascii="Times New Roman" w:hAnsi="Times New Roman" w:eastAsia="宋体" w:cs="Times New Roman"/>
                <w:color w:val="auto"/>
                <w:sz w:val="21"/>
                <w:szCs w:val="21"/>
                <w:lang w:val="en-US" w:eastAsia="zh-CN"/>
              </w:rPr>
              <w:t>）</w:t>
            </w:r>
          </w:p>
        </w:tc>
        <w:tc>
          <w:tcPr>
            <w:tcW w:w="229"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液体</w:t>
            </w:r>
          </w:p>
        </w:tc>
        <w:tc>
          <w:tcPr>
            <w:tcW w:w="599"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0"/>
                <w:szCs w:val="20"/>
                <w:lang w:val="en-US" w:eastAsia="zh-CN"/>
              </w:rPr>
              <w:t>7664-93-9</w:t>
            </w:r>
          </w:p>
        </w:tc>
        <w:tc>
          <w:tcPr>
            <w:tcW w:w="314"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lang w:val="en-US" w:eastAsia="zh-CN"/>
              </w:rPr>
              <w:t>1.83</w:t>
            </w:r>
          </w:p>
        </w:tc>
        <w:tc>
          <w:tcPr>
            <w:tcW w:w="370"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lang w:val="en-US" w:eastAsia="zh-CN"/>
              </w:rPr>
              <w:t>330</w:t>
            </w:r>
          </w:p>
        </w:tc>
        <w:tc>
          <w:tcPr>
            <w:tcW w:w="444"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518"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lang w:val="en-US" w:eastAsia="zh-CN"/>
              </w:rPr>
              <w:t>/</w:t>
            </w:r>
          </w:p>
        </w:tc>
        <w:tc>
          <w:tcPr>
            <w:tcW w:w="243"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乙</w:t>
            </w:r>
          </w:p>
        </w:tc>
        <w:tc>
          <w:tcPr>
            <w:tcW w:w="1437" w:type="pct"/>
            <w:tcBorders>
              <w:tl2br w:val="nil"/>
              <w:tr2bl w:val="nil"/>
            </w:tcBorders>
            <w:noWrap w:val="0"/>
            <w:vAlign w:val="top"/>
          </w:tcPr>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皮肤腐蚀/刺激,类别1A</w:t>
            </w:r>
          </w:p>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严重眼损伤/眼刺激,类别1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blHeader/>
          <w:jc w:val="center"/>
        </w:trPr>
        <w:tc>
          <w:tcPr>
            <w:tcW w:w="229"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13"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氯化氢（无水）</w:t>
            </w:r>
          </w:p>
        </w:tc>
        <w:tc>
          <w:tcPr>
            <w:tcW w:w="229"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气体</w:t>
            </w:r>
          </w:p>
        </w:tc>
        <w:tc>
          <w:tcPr>
            <w:tcW w:w="599"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eastAsia="宋体" w:cs="Times New Roman"/>
                <w:color w:val="auto"/>
                <w:kern w:val="0"/>
                <w:sz w:val="20"/>
                <w:szCs w:val="20"/>
                <w:lang w:val="en-US" w:eastAsia="zh-CN"/>
              </w:rPr>
              <w:t>7467-01-0</w:t>
            </w:r>
          </w:p>
        </w:tc>
        <w:tc>
          <w:tcPr>
            <w:tcW w:w="314"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w:t>
            </w:r>
          </w:p>
        </w:tc>
        <w:tc>
          <w:tcPr>
            <w:tcW w:w="370"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108.6</w:t>
            </w:r>
          </w:p>
        </w:tc>
        <w:tc>
          <w:tcPr>
            <w:tcW w:w="444"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18"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24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37" w:type="pct"/>
            <w:tcBorders>
              <w:tl2br w:val="nil"/>
              <w:tr2bl w:val="nil"/>
            </w:tcBorders>
            <w:noWrap w:val="0"/>
            <w:vAlign w:val="top"/>
          </w:tcPr>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加压气体</w:t>
            </w:r>
          </w:p>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急性毒性-吸入,类别3*</w:t>
            </w:r>
          </w:p>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皮肤腐蚀/刺激,类别1A</w:t>
            </w:r>
          </w:p>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严重眼损伤/眼刺激,类别1</w:t>
            </w:r>
          </w:p>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危害水生环境-急性危害,类别1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blHeader/>
          <w:jc w:val="center"/>
        </w:trPr>
        <w:tc>
          <w:tcPr>
            <w:tcW w:w="22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61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氨</w:t>
            </w:r>
          </w:p>
        </w:tc>
        <w:tc>
          <w:tcPr>
            <w:tcW w:w="22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液</w:t>
            </w:r>
          </w:p>
        </w:tc>
        <w:tc>
          <w:tcPr>
            <w:tcW w:w="59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7664-41-7</w:t>
            </w:r>
          </w:p>
        </w:tc>
        <w:tc>
          <w:tcPr>
            <w:tcW w:w="314"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0.7克/cm3在 -33 ℃ -液体</w:t>
            </w:r>
          </w:p>
        </w:tc>
        <w:tc>
          <w:tcPr>
            <w:tcW w:w="370"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-33.5</w:t>
            </w:r>
          </w:p>
        </w:tc>
        <w:tc>
          <w:tcPr>
            <w:tcW w:w="444"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51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15.7~27.4</w:t>
            </w:r>
          </w:p>
        </w:tc>
        <w:tc>
          <w:tcPr>
            <w:tcW w:w="243"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乙</w:t>
            </w:r>
          </w:p>
        </w:tc>
        <w:tc>
          <w:tcPr>
            <w:tcW w:w="1437" w:type="pct"/>
            <w:tcBorders>
              <w:tl2br w:val="nil"/>
              <w:tr2bl w:val="nil"/>
            </w:tcBorders>
            <w:noWrap w:val="0"/>
            <w:vAlign w:val="top"/>
          </w:tcPr>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易燃气体,类别2</w:t>
            </w:r>
          </w:p>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加压气体</w:t>
            </w:r>
          </w:p>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急性毒性-吸入,类别3*</w:t>
            </w:r>
          </w:p>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皮肤腐蚀/刺激,类别1B</w:t>
            </w:r>
          </w:p>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严重眼损伤/眼刺激,类别1</w:t>
            </w:r>
          </w:p>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危害水生环境-急性危害,类别1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blHeader/>
          <w:jc w:val="center"/>
        </w:trPr>
        <w:tc>
          <w:tcPr>
            <w:tcW w:w="229"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613"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硫酸氢钾</w:t>
            </w:r>
          </w:p>
        </w:tc>
        <w:tc>
          <w:tcPr>
            <w:tcW w:w="229"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液</w:t>
            </w:r>
          </w:p>
        </w:tc>
        <w:tc>
          <w:tcPr>
            <w:tcW w:w="599"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7646-93-7</w:t>
            </w:r>
          </w:p>
        </w:tc>
        <w:tc>
          <w:tcPr>
            <w:tcW w:w="314"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2.245</w:t>
            </w:r>
          </w:p>
        </w:tc>
        <w:tc>
          <w:tcPr>
            <w:tcW w:w="370"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分解</w:t>
            </w:r>
          </w:p>
        </w:tc>
        <w:tc>
          <w:tcPr>
            <w:tcW w:w="444"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518"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w:t>
            </w:r>
          </w:p>
        </w:tc>
        <w:tc>
          <w:tcPr>
            <w:tcW w:w="243"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1437" w:type="pct"/>
            <w:tcBorders>
              <w:tl2br w:val="nil"/>
              <w:tr2bl w:val="nil"/>
            </w:tcBorders>
            <w:noWrap w:val="0"/>
            <w:vAlign w:val="top"/>
          </w:tcPr>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皮肤腐蚀/刺激,类别1B</w:t>
            </w:r>
          </w:p>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严重眼损伤/眼刺激,类别1</w:t>
            </w:r>
          </w:p>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特异性靶器官毒性-一次接触,类别3（呼吸道刺激）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blHeader/>
          <w:jc w:val="center"/>
        </w:trPr>
        <w:tc>
          <w:tcPr>
            <w:tcW w:w="229"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613"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天然气</w:t>
            </w:r>
          </w:p>
        </w:tc>
        <w:tc>
          <w:tcPr>
            <w:tcW w:w="229" w:type="pct"/>
            <w:tcBorders>
              <w:tl2br w:val="nil"/>
              <w:tr2bl w:val="nil"/>
            </w:tcBorders>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气</w:t>
            </w:r>
          </w:p>
        </w:tc>
        <w:tc>
          <w:tcPr>
            <w:tcW w:w="599"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8006-14-2</w:t>
            </w:r>
          </w:p>
        </w:tc>
        <w:tc>
          <w:tcPr>
            <w:tcW w:w="314"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0.42</w:t>
            </w:r>
          </w:p>
        </w:tc>
        <w:tc>
          <w:tcPr>
            <w:tcW w:w="370"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-161.5</w:t>
            </w:r>
          </w:p>
        </w:tc>
        <w:tc>
          <w:tcPr>
            <w:tcW w:w="444" w:type="pct"/>
            <w:tcBorders>
              <w:tl2br w:val="nil"/>
              <w:tr2bl w:val="nil"/>
            </w:tcBorders>
            <w:noWrap w:val="0"/>
            <w:vAlign w:val="center"/>
          </w:tcPr>
          <w:p>
            <w:pPr>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-188</w:t>
            </w:r>
          </w:p>
        </w:tc>
        <w:tc>
          <w:tcPr>
            <w:tcW w:w="518"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5~16</w:t>
            </w:r>
          </w:p>
        </w:tc>
        <w:tc>
          <w:tcPr>
            <w:tcW w:w="243" w:type="pct"/>
            <w:tcBorders>
              <w:tl2br w:val="nil"/>
              <w:tr2bl w:val="nil"/>
            </w:tcBorders>
            <w:noWrap w:val="0"/>
            <w:vAlign w:val="center"/>
          </w:tcPr>
          <w:p>
            <w:pPr>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甲</w:t>
            </w:r>
          </w:p>
        </w:tc>
        <w:tc>
          <w:tcPr>
            <w:tcW w:w="1437" w:type="pct"/>
            <w:tcBorders>
              <w:tl2br w:val="nil"/>
              <w:tr2bl w:val="nil"/>
            </w:tcBorders>
            <w:noWrap w:val="0"/>
            <w:vAlign w:val="top"/>
          </w:tcPr>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易燃气体，类别1</w:t>
            </w:r>
          </w:p>
          <w:p>
            <w:pPr>
              <w:widowControl/>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加压气体</w:t>
            </w:r>
          </w:p>
        </w:tc>
      </w:tr>
    </w:tbl>
    <w:p>
      <w:pPr>
        <w:numPr>
          <w:ilvl w:val="0"/>
          <w:numId w:val="16"/>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非危险化学品</w:t>
      </w:r>
    </w:p>
    <w:p>
      <w:pPr>
        <w:numPr>
          <w:ilvl w:val="0"/>
          <w:numId w:val="17"/>
        </w:numPr>
        <w:ind w:left="-2" w:leftChars="0" w:firstLine="562" w:firstLineChars="0"/>
        <w:rPr>
          <w:rFonts w:hint="default" w:ascii="Times New Roman" w:hAnsi="Times New Roman" w:eastAsia="宋体" w:cs="Times New Roman"/>
          <w:b/>
          <w:bCs/>
          <w:color w:val="auto"/>
        </w:rPr>
      </w:pPr>
      <w:r>
        <w:rPr>
          <w:rFonts w:hint="default" w:ascii="Times New Roman" w:hAnsi="Times New Roman" w:cs="Times New Roman"/>
          <w:b/>
          <w:bCs/>
          <w:color w:val="auto"/>
          <w:lang w:eastAsia="zh-CN"/>
        </w:rPr>
        <w:t>尿素</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Layout w:type="autofit"/>
        <w:tblCellMar>
          <w:top w:w="30" w:type="dxa"/>
          <w:left w:w="30" w:type="dxa"/>
          <w:bottom w:w="30" w:type="dxa"/>
          <w:right w:w="30" w:type="dxa"/>
        </w:tblCellMar>
      </w:tblPr>
      <w:tblGrid>
        <w:gridCol w:w="2410"/>
        <w:gridCol w:w="6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PrEx>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widowControl/>
              <w:suppressLineNumbers w:val="0"/>
              <w:wordWrap w:val="0"/>
              <w:spacing w:line="27" w:lineRule="atLeas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CAS：</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widowControl/>
              <w:suppressLineNumbers w:val="0"/>
              <w:wordWrap w:val="0"/>
              <w:spacing w:line="27" w:lineRule="atLeas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57-13-6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30" w:type="dxa"/>
            <w:left w:w="30" w:type="dxa"/>
            <w:bottom w:w="30" w:type="dxa"/>
            <w:right w:w="30" w:type="dxa"/>
          </w:tblCellMar>
        </w:tblPrEx>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widowControl/>
              <w:suppressLineNumbers w:val="0"/>
              <w:wordWrap w:val="0"/>
              <w:spacing w:line="27" w:lineRule="atLeas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名称：</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widowControl/>
              <w:suppressLineNumbers w:val="0"/>
              <w:wordWrap w:val="0"/>
              <w:spacing w:line="27" w:lineRule="atLeast"/>
              <w:jc w:val="left"/>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尿素</w:t>
            </w:r>
          </w:p>
          <w:p>
            <w:pPr>
              <w:keepNext w:val="0"/>
              <w:keepLines w:val="0"/>
              <w:widowControl/>
              <w:suppressLineNumbers w:val="0"/>
              <w:wordWrap w:val="0"/>
              <w:spacing w:line="27" w:lineRule="atLeast"/>
              <w:jc w:val="left"/>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脲</w:t>
            </w:r>
          </w:p>
          <w:p>
            <w:pPr>
              <w:keepNext w:val="0"/>
              <w:keepLines w:val="0"/>
              <w:widowControl/>
              <w:suppressLineNumbers w:val="0"/>
              <w:wordWrap w:val="0"/>
              <w:spacing w:line="27" w:lineRule="atLeast"/>
              <w:jc w:val="left"/>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carbamide</w:t>
            </w:r>
          </w:p>
          <w:p>
            <w:pPr>
              <w:keepNext w:val="0"/>
              <w:keepLines w:val="0"/>
              <w:widowControl/>
              <w:suppressLineNumbers w:val="0"/>
              <w:wordWrap w:val="0"/>
              <w:spacing w:line="27" w:lineRule="atLeas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urea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分子式：</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CH4N2O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分子量：</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有害物成分：</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健康危害：</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本品属微毒类。对眼睛、皮肤和粘膜有刺激作用。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环境危害：</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对环境可能有危害，对水体可造成污染。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燃爆危险：</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本品不燃，具刺激性。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皮肤接触：</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脱去污染的衣着，用大量流动清水冲洗。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眼睛接触：</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提起眼睑，用流动清水或生理盐水冲洗。就医。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吸入：</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食入：</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危险特性：</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遇明火、高热可燃。与次氯酸钠、次氯酸钙反应生成有爆炸性的三氯化氮。受高热分解放出有毒的气体。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有害燃烧产物：</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一氧化碳、二氧化碳、氮氧化物。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灭火方法：</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消防人员必须穿全身防火防毒服，在上风向灭火。灭火时尽可能将容器从火场移至空旷处。然后根据着火原因选择适当灭火剂灭火。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应急处理：</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隔离泄漏污染区，限制出入。建议应急处理人员戴防尘口罩，穿一般作业工作服。不要直接接触泄漏物。小量泄漏：小心扫起，置于袋中转移至安全场所。大量泄漏：收集回收或运至废物处理场所处置。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操作注意事项：</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密闭操作，提供充分的局部排风。防止粉尘释放到车间空气中。操作人员必须经过专门培训，严格遵守操作规程。建议操作人员佩戴防尘面具（全面罩），穿防毒物渗透工作服，戴橡胶手套。避免产生粉尘。避免与氧化剂、酸类、亚硝酸钠、干粉接触。配备泄漏应急处理设备。倒空的容器可能残留有害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储存注意事项：</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储存于阴凉、通风的库房。远离火种、热源。防止阳光直射。包装密封。应与氧化剂、酸类、亚硝酸钠、干粉分开存放，切忌混储。储区应备有合适的材料收容泄漏物。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eastAsia" w:cs="Times New Roman"/>
                <w:i w:val="0"/>
                <w:iCs w:val="0"/>
                <w:caps w:val="0"/>
                <w:color w:val="auto"/>
                <w:spacing w:val="0"/>
                <w:kern w:val="0"/>
                <w:sz w:val="21"/>
                <w:szCs w:val="21"/>
                <w:lang w:val="en-US" w:eastAsia="zh-CN" w:bidi="ar"/>
              </w:rPr>
              <w:t>PC-TWA</w:t>
            </w:r>
            <w:r>
              <w:rPr>
                <w:rFonts w:hint="default" w:ascii="Times New Roman" w:hAnsi="Times New Roman" w:eastAsia="宋体" w:cs="Times New Roman"/>
                <w:i w:val="0"/>
                <w:iCs w:val="0"/>
                <w:caps w:val="0"/>
                <w:color w:val="auto"/>
                <w:spacing w:val="0"/>
                <w:kern w:val="0"/>
                <w:sz w:val="21"/>
                <w:szCs w:val="21"/>
                <w:lang w:val="en-US" w:eastAsia="zh-CN" w:bidi="ar"/>
              </w:rPr>
              <w:t>：</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eastAsia" w:cs="Times New Roman"/>
                <w:i w:val="0"/>
                <w:iCs w:val="0"/>
                <w:caps w:val="0"/>
                <w:color w:val="auto"/>
                <w:spacing w:val="0"/>
                <w:kern w:val="0"/>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工程控制：</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严加密闭，提供充分的局部排风。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呼吸系统防护：</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可能接触其粉尘时，必须佩戴防尘面具（全面罩）。紧急事态抢救或撤离时，应该佩戴空气呼吸器。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眼睛防护：</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呼吸系统防护中已作防护。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身体防护：</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穿防毒物渗透工作服。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手防护：</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戴橡胶手套。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其他防护：</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工作现场禁止吸烟、进食和饮水。工作完毕，淋浴更衣。保持良好的卫生习惯。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外观与性状：</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白色结晶或粉末，有氨的气味。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熔点(℃)：</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沸点(℃)：</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相对密度(水=1)：</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燃烧热(kJ/mol)：</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闪点(℃)：</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引燃温度(℃)：</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爆炸上限%(V/V)：</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爆炸下限%(V/V)：</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溶解性：</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溶于水、甲醇、乙醇，微溶于乙醚、氯仿、苯。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主要用途：</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用作肥料、动物饲料、炸药、稳定剂和制脲醛树脂的原料等。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禁配物：</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强氧化剂、强酸、亚硝酸钠、干粉。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急性毒性：</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LD50：14300 mg/kg(大鼠经口) 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刺激性：</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人经皮：22mg/3天，轻度刺激。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其它有害作用：</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该物质对环境可能有危害，应特别注意对水体的污染。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废弃处置方法：</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用安全掩埋法处置。在能利用的地方重复使用容器或在规定场所掩埋。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包装方法：</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trHeight w:val="23" w:hRule="atLeast"/>
        </w:trPr>
        <w:tc>
          <w:tcPr>
            <w:tcW w:w="1317" w:type="pct"/>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26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运输注意事项：</w:t>
            </w:r>
          </w:p>
        </w:tc>
        <w:tc>
          <w:tcPr>
            <w:tcW w:w="3682" w:type="pct"/>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起运时包装要完整，装载应稳妥。运输过程中要确保容器不泄漏、不倒塌、不坠落、不损坏。严禁与氧化剂、酸类、氧化剂、食用化学品等混装混运。运输途中应防曝晒、雨淋，防高温。车辆运输完毕应进行彻底清扫。公路运输时要按规定路线行驶。</w:t>
            </w:r>
          </w:p>
        </w:tc>
      </w:tr>
    </w:tbl>
    <w:p>
      <w:pPr>
        <w:ind w:firstLine="562" w:firstLineChars="200"/>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rPr>
        <w:t>2、</w:t>
      </w:r>
      <w:r>
        <w:rPr>
          <w:rFonts w:hint="default" w:ascii="Times New Roman" w:hAnsi="Times New Roman" w:eastAsia="宋体" w:cs="Times New Roman"/>
          <w:b/>
          <w:bCs/>
          <w:color w:val="auto"/>
          <w:lang w:eastAsia="zh-CN"/>
        </w:rPr>
        <w:t>氯化钾</w:t>
      </w:r>
    </w:p>
    <w:tbl>
      <w:tblPr>
        <w:tblStyle w:val="19"/>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氯化钾是一种无色立方晶体或白色结晶粉末，化学式为KCl。</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氯化钾易溶于水、醚、甘油及碱类，微溶于乙醇，但不溶于无水乙醇，有吸湿性，易结块，在农业上是常用的钾肥，在临床上是常用的电解质平衡调节药，还可用于无机工业和染料工业等。</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中文名称：氯化钾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中文别名：缓释钾；补达秀</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CAS号：7447-40-7</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分子式：KCl</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分子量：74.55130</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观与性状：白色晶体，味极咸，无臭无毒性。易溶于水、醚、甘油及碱类，微溶于乙醇，但不溶于无水乙醇，有吸湿性，易结块；在水中的溶解度随温度的升高而迅速地增加，与钠盐常起复分解作用而生成新的钾盐。</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密度：1.98 at 25 °C(lit.)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熔点：770 °C(lit.)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沸点：1420°C</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闪点：1500°C</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折射率：n20/D 1.334</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水溶解性：340 g/L (20 ºC)</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稳定性：稳定。与强氧化剂不相容，强酸。防潮。吸湿性。</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储存条件：2-8ºC</w:t>
            </w:r>
          </w:p>
        </w:tc>
      </w:tr>
    </w:tbl>
    <w:p>
      <w:pPr>
        <w:ind w:firstLine="562" w:firstLineChars="200"/>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rPr>
        <w:t>3、</w:t>
      </w:r>
      <w:r>
        <w:rPr>
          <w:rFonts w:hint="default" w:ascii="Times New Roman" w:hAnsi="Times New Roman" w:cs="Times New Roman"/>
          <w:b/>
          <w:bCs/>
          <w:color w:val="auto"/>
          <w:lang w:eastAsia="zh-CN"/>
        </w:rPr>
        <w:t>氯化铵</w:t>
      </w:r>
    </w:p>
    <w:tbl>
      <w:tblPr>
        <w:tblStyle w:val="19"/>
        <w:tblW w:w="50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Layout w:type="autofit"/>
        <w:tblCellMar>
          <w:top w:w="0" w:type="dxa"/>
          <w:left w:w="0" w:type="dxa"/>
          <w:bottom w:w="0" w:type="dxa"/>
          <w:right w:w="0" w:type="dxa"/>
        </w:tblCellMar>
      </w:tblPr>
      <w:tblGrid>
        <w:gridCol w:w="1859"/>
        <w:gridCol w:w="7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bookmarkStart w:id="52" w:name="_Toc5654"/>
            <w:bookmarkStart w:id="53" w:name="_Toc17876"/>
            <w:r>
              <w:rPr>
                <w:rFonts w:hint="default" w:ascii="Times New Roman" w:hAnsi="Times New Roman" w:eastAsia="微软雅黑" w:cs="Times New Roman"/>
                <w:i w:val="0"/>
                <w:iCs w:val="0"/>
                <w:caps w:val="0"/>
                <w:color w:val="auto"/>
                <w:spacing w:val="0"/>
                <w:kern w:val="0"/>
                <w:sz w:val="21"/>
                <w:szCs w:val="21"/>
                <w:lang w:val="en-US" w:eastAsia="zh-CN" w:bidi="ar"/>
              </w:rPr>
              <w:t>CAS：</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12125-02-9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名称：</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氯化铵</w:t>
            </w:r>
          </w:p>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硇砂</w:t>
            </w:r>
          </w:p>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ammonium chloride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分子式：</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NH4Cl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分子量：</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53.49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有害物成分：</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氯化铵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健康危害：</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本品对皮肤、粘膜有刺激性，可引起肝肾功能损害，诱发肝昏迷，造成氮质血症和代谢性酸中毒等。健康人应用50g 氯化铵可致重度中毒，有肝病、肾病、慢性心脏病的患者，5g即可引起严重中毒。口服中毒引起化学性胃炎，严重者由于血氨显著增高，诱发肝昏迷。严重中毒时造成肝、肾损害，出现代谢性酸中毒，同时支气管分泌物大量增加。职业性接触，可引起呼吸道粘膜的刺激和灼伤。慢性影响: 经常性接触氯化铵，可引起眼结膜及呼吸道粘膜慢性炎症。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燃爆危险：</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本品不燃，具刺激性。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皮肤接触：</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脱去污染的衣着，用大量流动清水冲洗。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眼睛接触：</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提起眼睑，用流动清水或生理盐水冲洗。就医。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吸入：</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食入：</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饮足量温水，催吐。洗胃，导泄。就医。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危险特性：</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未有特殊的燃烧爆炸特性。受高热分解产生有毒的腐蚀性烟气。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有害燃烧产物：</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氯化氢、氮氧化物。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灭火方法：</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消防人员必须穿全身防火防毒服，在上风向灭火。灭火时尽可能将容器从火场移至空旷处。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应急处理：</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隔离泄漏污染区，限制出入。建议应急处理人员戴防尘面具（全面罩），穿防毒服。避免扬尘，小心扫起，置于袋中转移至安全场所。若大量泄漏，用塑料布、帆布覆盖。收集回收或运至废物处理场所处置。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操作注意事项：</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密闭操作，全面排风。操作人员必须经过专门培训，严格遵守操作规程。建议操作人员佩戴自吸过滤式防尘口罩，戴化学安全防护眼镜，穿防毒物渗透工作服，戴橡胶手套。避免产生粉尘。避免与酸类、碱类接触。搬运时轻装轻卸，防止包装破损。配备泄漏应急处理设备。倒空的容器可能残留有害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储存注意事项：</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储存于阴凉、通风的库房。远离火种、热源。应与酸类、碱类等分开存放，切忌混储。储区应备有合适的材料收容泄漏物。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前苏联MAC(mg/m3)：</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TLVTN：</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ACGIH 10mg/m3[烟]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TLVWN：</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ACGIH 20mg/m3(烟)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工程控制：</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密闭操作，全面排风。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呼吸系统防护：</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空气中粉尘浓度超标时，必须佩戴自吸过滤式防尘口罩。紧急事态抢救或撤离时，应该佩戴空气呼吸器。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眼睛防护：</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戴化学安全防护眼镜。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身体防护：</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穿防毒物渗透工作服。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手防护：</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戴橡胶手套。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其他防护：</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工作完毕，淋浴更衣。注意个人清洁卫生。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主要成分：</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外观与性状：</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无臭、味咸、容易吸潮的白色粉末或结晶颗粒。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熔点(℃)：</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相对密度(水=1)：</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饱和蒸气压(kPa)：</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0.133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燃烧热(kJ/mol)：</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闪点(℃)：</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引燃温度(℃)：</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爆炸上限%(V/V)：</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爆炸下限%(V/V)：</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溶解性：</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微溶于乙醇，溶于水，溶于甘油。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主要用途：</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用于医药、干电池、织物印染、肥料、鞣革、电镀、洗涤剂等。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其它理化性质：</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禁配物：</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强酸、强碱、铅、银。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急性毒性：</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LD50：1650 mg/kg(大鼠经口) 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其它有害作用：</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废弃处置方法：</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用氢氧化钠溶液预处理，放出的氨气回收使用，剩下的处理液加水稀释到规定的容许浓度，再排入废水系统。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包装类别：</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Z01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包装方法：</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运输注意事项：</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sz w:val="21"/>
                <w:szCs w:val="21"/>
              </w:rPr>
            </w:pPr>
            <w:r>
              <w:rPr>
                <w:rFonts w:hint="default" w:ascii="Times New Roman" w:hAnsi="Times New Roman" w:eastAsia="微软雅黑" w:cs="Times New Roman"/>
                <w:i w:val="0"/>
                <w:iCs w:val="0"/>
                <w:caps w:val="0"/>
                <w:color w:val="auto"/>
                <w:spacing w:val="0"/>
                <w:kern w:val="0"/>
                <w:sz w:val="21"/>
                <w:szCs w:val="21"/>
                <w:lang w:val="en-US" w:eastAsia="zh-CN" w:bidi="ar"/>
              </w:rPr>
              <w:t>起运时包装要完整，装载应稳妥。运输过程中要确保容器不泄漏、不倒塌、不坠落、不损坏。严禁与酸类、碱类、食用化学品等混装混运。运输途中应防曝晒、雨淋，防高温。车辆运输完毕应进行彻底清扫。</w:t>
            </w:r>
          </w:p>
        </w:tc>
      </w:tr>
    </w:tbl>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4、磷酸一铵</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分子式：NH4H2PO4 分子量：115.03</w:t>
            </w:r>
          </w:p>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磷酸二铵又称磷酸二氢铵。无色透明正方晶系晶体，密度1.803（19℃）。熔点190℃，易溶于水，微溶于醇、不溶于丙酮。水溶液呈酸性。</w:t>
            </w:r>
          </w:p>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cs="Times New Roman"/>
                <w:color w:val="auto"/>
                <w:vertAlign w:val="baseline"/>
                <w:lang w:val="en-US" w:eastAsia="zh-CN"/>
              </w:rPr>
            </w:pPr>
            <w:r>
              <w:rPr>
                <w:rFonts w:hint="default" w:ascii="Times New Roman" w:hAnsi="Times New Roman" w:eastAsia="宋体" w:cs="Times New Roman"/>
                <w:i w:val="0"/>
                <w:iCs w:val="0"/>
                <w:caps w:val="0"/>
                <w:color w:val="auto"/>
                <w:spacing w:val="0"/>
                <w:kern w:val="0"/>
                <w:sz w:val="21"/>
                <w:szCs w:val="21"/>
                <w:lang w:val="en-US" w:eastAsia="zh-CN" w:bidi="ar"/>
              </w:rPr>
              <w:t>宜作饲料添加剂，高效复合肥料。</w:t>
            </w:r>
          </w:p>
        </w:tc>
      </w:tr>
    </w:tbl>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5、硫酸铵</w:t>
      </w:r>
    </w:p>
    <w:tbl>
      <w:tblPr>
        <w:tblStyle w:val="19"/>
        <w:tblW w:w="50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Layout w:type="autofit"/>
        <w:tblCellMar>
          <w:top w:w="0" w:type="dxa"/>
          <w:left w:w="0" w:type="dxa"/>
          <w:bottom w:w="0" w:type="dxa"/>
          <w:right w:w="0" w:type="dxa"/>
        </w:tblCellMar>
      </w:tblPr>
      <w:tblGrid>
        <w:gridCol w:w="1859"/>
        <w:gridCol w:w="7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CAS：</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7783-20-2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名称：</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硫铵</w:t>
            </w:r>
          </w:p>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硫酸铵</w:t>
            </w:r>
          </w:p>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ammonium sulfate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分子式：</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H8N2O4S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分子量：</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132.13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有害物成分：</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硫酸铵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健康危害：</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对眼睛、粘膜和皮肤有刺激作用。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燃爆危险：</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本品不燃，具刺激性。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皮肤接触：</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脱去污染的衣着，用大量流动清水冲洗。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眼睛接触：</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提起眼睑，用流动清水或生理盐水冲洗。就医。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吸入：</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脱离现场至空气新鲜处。如呼吸困难，给输氧。就医。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食入：</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危险特性：</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受热分解产生有毒的烟气。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有害燃烧产物：</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氮氧化物、硫化物。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灭火方法：</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消防人员必须穿全身防火防毒服，在上风向灭火。灭火时尽可能将容器从火场移至空旷处。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应急处理：</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隔离泄漏污染区，限制出入。建议应急处理人员戴防尘面具（全面罩），穿防毒服。用洁净的铲子收集于干燥、洁净、有盖的容器中，转移至安全场所。若大量泄漏，收集回收或运至废物处理场所处置。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操作注意事项：</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密闭操作，局部排风。操作人员必须经过专门培训，严格遵守操作规程。建议操作人员佩戴自吸过滤式防尘口罩，戴化学安全防护眼镜，穿防毒物渗透工作服，戴橡胶手套。避免产生粉尘。避免与酸类、碱类接触。搬运时要轻装轻卸，防止包装及容器损坏。配备泄漏应急处理设备。倒空的容器可能残留有害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储存注意事项：</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储存于阴凉、通风的库房。远离火种、热源。应与酸类、碱类分开存放，切忌混储。储区应备有合适的材料收容泄漏物。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工程控制：</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密闭操作，局部排风。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呼吸系统防护：</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空气中粉尘浓度超标时，必须佩戴自吸过滤式防尘口罩。紧急事态抢救或撤离时，应该佩戴空气呼吸器。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眼睛防护：</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戴化学安全防护眼镜。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身体防护：</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穿防毒物渗透工作服。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手防护：</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戴橡胶手套。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其他防护：</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工作完毕，淋浴更衣。保持良好的卫生习惯。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主要成分：</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外观与性状：</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纯品为无色斜方晶体,工业品为白色至淡黄色结晶体。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熔点(℃)：</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相对密度(水=1)：</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燃烧热(kJ/mol)：</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闪点(℃)：</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引燃温度(℃)：</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爆炸上限%(V/V)：</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爆炸下限%(V/V)：</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主要用途：</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用于制肥料、氢氧化铵、电池充填、防火化合物等。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禁配物：</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强酸、强碱。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急性毒性：</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LD50：无资料 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其它有害作用：</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废弃处置方法：</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根据国家和地方有关法规的要求处置。或与厂商或制造商联系，确定处置方法。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包装类别：</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Z01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包装方法：</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40"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val="0"/>
              <w:overflowPunct/>
              <w:topLinePunct w:val="0"/>
              <w:autoSpaceDE/>
              <w:autoSpaceDN/>
              <w:bidi w:val="0"/>
              <w:adjustRightInd/>
              <w:snapToGrid/>
              <w:spacing w:line="300" w:lineRule="exact"/>
              <w:jc w:val="right"/>
              <w:textAlignment w:val="top"/>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运输注意事项：</w:t>
            </w:r>
          </w:p>
        </w:tc>
        <w:tc>
          <w:tcPr>
            <w:tcW w:w="7364"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微软雅黑" w:cs="Times New Roman"/>
                <w:i w:val="0"/>
                <w:iCs w:val="0"/>
                <w:caps w:val="0"/>
                <w:color w:val="auto"/>
                <w:spacing w:val="0"/>
                <w:kern w:val="0"/>
                <w:sz w:val="21"/>
                <w:szCs w:val="21"/>
                <w:lang w:val="en-US" w:eastAsia="zh-CN" w:bidi="ar"/>
              </w:rPr>
            </w:pPr>
            <w:r>
              <w:rPr>
                <w:rFonts w:hint="default" w:ascii="Times New Roman" w:hAnsi="Times New Roman" w:eastAsia="微软雅黑" w:cs="Times New Roman"/>
                <w:i w:val="0"/>
                <w:iCs w:val="0"/>
                <w:caps w:val="0"/>
                <w:color w:val="auto"/>
                <w:spacing w:val="0"/>
                <w:kern w:val="0"/>
                <w:sz w:val="21"/>
                <w:szCs w:val="21"/>
                <w:lang w:val="en-US" w:eastAsia="zh-CN" w:bidi="ar"/>
              </w:rPr>
              <w:t>起运时包装要完整，装载应稳妥。运输过程中要确保容器不泄漏、不倒塌、不坠落、不损坏。严禁与酸类、碱类、食用化学品等混装混运。运输途中应防曝晒、雨淋，防高温。车辆运输完毕应进行彻底清扫。</w:t>
            </w:r>
          </w:p>
        </w:tc>
      </w:tr>
    </w:tbl>
    <w:p>
      <w:pPr>
        <w:rPr>
          <w:rFonts w:hint="default" w:ascii="Times New Roman" w:hAnsi="Times New Roman" w:eastAsia="宋体" w:cs="Times New Roman"/>
          <w:color w:val="auto"/>
          <w:lang w:val="en-US" w:eastAsia="zh-CN"/>
        </w:rPr>
      </w:pP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54" w:name="_Toc17674"/>
      <w:r>
        <w:rPr>
          <w:rFonts w:hint="default" w:ascii="Times New Roman" w:hAnsi="Times New Roman" w:eastAsia="楷体" w:cs="Times New Roman"/>
          <w:b/>
          <w:bCs/>
          <w:color w:val="auto"/>
          <w:kern w:val="2"/>
          <w:sz w:val="32"/>
          <w:szCs w:val="32"/>
          <w:lang w:val="en-US" w:eastAsia="zh-CN" w:bidi="ar-SA"/>
        </w:rPr>
        <w:t>3.2危险化学品包装、储存、运输的技术要求及信息来源</w:t>
      </w:r>
      <w:bookmarkEnd w:id="52"/>
      <w:bookmarkEnd w:id="54"/>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该项目危险化学品包装、储存、运输的技术要求情况见附件A节主要危险化学品理化及危险特性各表相关内容，其数据来源于《危险化学品安全技术全书》（化学工业出版社 第三版）。</w:t>
      </w:r>
    </w:p>
    <w:bookmarkEnd w:id="53"/>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55" w:name="_Toc5717"/>
      <w:bookmarkStart w:id="56" w:name="_Toc7878"/>
      <w:r>
        <w:rPr>
          <w:rFonts w:hint="default" w:ascii="Times New Roman" w:hAnsi="Times New Roman" w:eastAsia="楷体" w:cs="Times New Roman"/>
          <w:b/>
          <w:bCs/>
          <w:color w:val="auto"/>
          <w:kern w:val="2"/>
          <w:sz w:val="32"/>
          <w:szCs w:val="32"/>
          <w:lang w:val="en-US" w:eastAsia="zh-CN" w:bidi="ar-SA"/>
        </w:rPr>
        <w:t>3.3重点监管危险化学品、危险工艺分析</w:t>
      </w:r>
      <w:bookmarkEnd w:id="55"/>
      <w:bookmarkEnd w:id="56"/>
    </w:p>
    <w:p>
      <w:pPr>
        <w:pStyle w:val="28"/>
        <w:spacing w:beforeLines="-2147483648" w:beforeAutospacing="0" w:afterLines="-2147483648" w:afterAutospacing="0"/>
        <w:ind w:left="31680"/>
        <w:rPr>
          <w:rFonts w:hint="default" w:ascii="Times New Roman" w:hAnsi="Times New Roman" w:cs="Times New Roman"/>
          <w:b w:val="0"/>
          <w:color w:val="auto"/>
        </w:rPr>
      </w:pPr>
      <w:r>
        <w:rPr>
          <w:rFonts w:hint="default" w:ascii="Times New Roman" w:hAnsi="Times New Roman" w:cs="Times New Roman"/>
          <w:b w:val="0"/>
          <w:color w:val="auto"/>
        </w:rPr>
        <w:t>3.3.1重点监管危险化工工艺安全措施分析结果</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rPr>
        <w:t>根据国家安全监管总局安监总管三〔2009〕116号《关于公布首批重点监管的危险化工工艺目录的通知》和安监总管三〔2013〕3号《国家安全监管总局关于公布第二批重点监管危险化工工艺目录和调整首批重点监管危险化工工艺中部分典型工艺的通知》，该项目</w:t>
      </w:r>
      <w:r>
        <w:rPr>
          <w:rFonts w:hint="eastAsia" w:cs="Times New Roman"/>
          <w:color w:val="auto"/>
          <w:lang w:val="en-US" w:eastAsia="zh-CN"/>
        </w:rPr>
        <w:t>氨化造粒工段涉及使用液氨，根据胺基化工艺的工艺简</w:t>
      </w:r>
      <w:r>
        <w:rPr>
          <w:rFonts w:hint="eastAsia" w:ascii="Times New Roman" w:hAnsi="Times New Roman" w:eastAsia="宋体" w:cs="Times New Roman"/>
          <w:color w:val="auto"/>
          <w:lang w:val="en-US" w:eastAsia="zh-CN"/>
        </w:rPr>
        <w:t>介，胺化是在分子中引入胺基（R2N-）的反应，包括R-CH3烃类化合物（R：氢、烷基、芳基）在催化剂存在下，与氨和空气的混合物进行高温氧化反应，生成腈类等化合物的反应。该项目涉及的反应主要是硫酸氢钾、磷酸一铵等无机物与氨发生反应，不涉及生成腈类等化合物，因此</w:t>
      </w:r>
      <w:r>
        <w:rPr>
          <w:rFonts w:hint="default" w:ascii="Times New Roman" w:hAnsi="Times New Roman" w:eastAsia="宋体" w:cs="Times New Roman"/>
          <w:color w:val="auto"/>
          <w:lang w:val="en-US" w:eastAsia="zh-CN"/>
        </w:rPr>
        <w:t>不</w:t>
      </w:r>
      <w:r>
        <w:rPr>
          <w:rFonts w:hint="default" w:ascii="Times New Roman" w:hAnsi="Times New Roman" w:cs="Times New Roman"/>
          <w:color w:val="auto"/>
          <w:lang w:eastAsia="zh-CN"/>
        </w:rPr>
        <w:t>涉及重点监管的危险工艺。</w:t>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3.3.2重点监管危险化学品安全措施分析结果</w:t>
      </w:r>
    </w:p>
    <w:p>
      <w:pPr>
        <w:spacing w:line="560" w:lineRule="exact"/>
        <w:ind w:firstLine="56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1、重点监管危险化学品辨识</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依据《国家安全监管总局关于公布首批重点监管的危险化学品名录的通知》（安监总管三〔2011〕95号）、《国家安全监管总局关于公布第二批重点监管的危险化学品名录的通知》（安监总管三〔2013〕12号），通过对该项目可研及企业相关资料分析，该项目属于重点监管的危险化学品为</w:t>
      </w:r>
      <w:r>
        <w:rPr>
          <w:rFonts w:hint="default" w:ascii="Times New Roman" w:hAnsi="Times New Roman" w:eastAsia="宋体" w:cs="Times New Roman"/>
          <w:color w:val="auto"/>
          <w:lang w:eastAsia="zh-CN"/>
        </w:rPr>
        <w:t>氨</w:t>
      </w:r>
      <w:r>
        <w:rPr>
          <w:rFonts w:hint="default" w:ascii="Times New Roman" w:hAnsi="Times New Roman" w:cs="Times New Roman"/>
          <w:color w:val="auto"/>
          <w:lang w:eastAsia="zh-CN"/>
        </w:rPr>
        <w:t>、天然气（燃料）</w:t>
      </w:r>
      <w:r>
        <w:rPr>
          <w:rFonts w:hint="default" w:ascii="Times New Roman" w:hAnsi="Times New Roman" w:eastAsia="宋体" w:cs="Times New Roman"/>
          <w:color w:val="auto"/>
        </w:rPr>
        <w:t>。</w:t>
      </w:r>
    </w:p>
    <w:p>
      <w:pPr>
        <w:numPr>
          <w:ilvl w:val="0"/>
          <w:numId w:val="0"/>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重点监管危险化学品安全措施和应急处置原则</w:t>
      </w:r>
    </w:p>
    <w:p>
      <w:pPr>
        <w:ind w:firstLine="56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依据《国家安全监管总局办公厅关于印发首批重点监管的危险化学品安全措施和应急处置原则的通知》（安监总厅管三〔2011〕142号）、《第二批重点监管的危险化学品安全措施和应急处置原则》，重点监管危险化学品安全措施和应急处置原则要求如下：</w:t>
      </w:r>
    </w:p>
    <w:p>
      <w:pPr>
        <w:numPr>
          <w:ilvl w:val="0"/>
          <w:numId w:val="18"/>
        </w:num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氨</w:t>
      </w:r>
    </w:p>
    <w:tbl>
      <w:tblPr>
        <w:tblStyle w:val="19"/>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8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4" w:type="dxa"/>
            <w:noWrap w:val="0"/>
            <w:vAlign w:val="center"/>
          </w:tcPr>
          <w:p>
            <w:pPr>
              <w:pStyle w:val="32"/>
              <w:widowControl w:val="0"/>
              <w:spacing w:before="0" w:beforeAutospacing="0" w:after="0" w:afterAutospacing="0" w:line="360" w:lineRule="exact"/>
              <w:jc w:val="both"/>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安安全措施</w:t>
            </w:r>
          </w:p>
        </w:tc>
        <w:tc>
          <w:tcPr>
            <w:tcW w:w="8788" w:type="dxa"/>
            <w:noWrap w:val="0"/>
            <w:vAlign w:val="top"/>
          </w:tcPr>
          <w:p>
            <w:pPr>
              <w:widowControl/>
              <w:spacing w:before="0" w:beforeAutospacing="0" w:after="0" w:afterAutospacing="0" w:line="360" w:lineRule="exact"/>
              <w:jc w:val="left"/>
              <w:rPr>
                <w:rStyle w:val="33"/>
                <w:rFonts w:hint="default" w:ascii="Times New Roman" w:hAnsi="Times New Roman" w:eastAsia="宋体" w:cs="Times New Roman"/>
                <w:b/>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【一般要求】</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操作人员必须经过专门培训，严格遵守操作规程，熟练掌握操作技能，具备应急处置知识。</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严加密闭，防止泄漏，工作场所提供充分的局部排风和全面通风，远离火种、热源，工作场所严禁吸烟。</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使用氨气的车间及贮氨场所应设置氨气泄漏检测报警仪，使用防爆型的通风系统和设备，应至少配备两套正压式空气呼吸器、长管式防毒面具、重型防护服等防护器具。戴化学安全防护眼镜，穿防静电工作服，戴橡胶手套。工作场所浓度超标时，操作人员应该佩戴过滤式防毒面具。可能接触液体时，应防止冻伤。</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储罐等压力容器和设备应设置安全阀、压力表、液位计、温度计，并应装有带压力、液位、温度远传记录和报警功能的安全装置，设置整流装置与压力机、动力电源、管线压力、通风设施或相应的吸收装置的联锁装置。重点储罐需设置紧急切断装置。</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避免与氧化剂、酸类、卤素接触。</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生产、储存区域应设置安全警示标志。在传送过程中，钢瓶和容器必须接地和跨接，防止产生静电。搬运时轻装轻卸，防止钢瓶及附件破损。禁止使用电磁起重机和用链绳捆扎、或将瓶阀作为吊运着力点。配备相应品种和数量的消防器材及泄漏应急处理设备。</w:t>
            </w:r>
          </w:p>
          <w:p>
            <w:pPr>
              <w:widowControl/>
              <w:spacing w:before="0" w:beforeAutospacing="0" w:after="0" w:afterAutospacing="0" w:line="360" w:lineRule="exact"/>
              <w:jc w:val="left"/>
              <w:rPr>
                <w:rStyle w:val="33"/>
                <w:rFonts w:hint="default" w:ascii="Times New Roman" w:hAnsi="Times New Roman" w:eastAsia="宋体" w:cs="Times New Roman"/>
                <w:b/>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【特殊要求】</w:t>
            </w:r>
          </w:p>
          <w:p>
            <w:pPr>
              <w:widowControl/>
              <w:spacing w:before="0" w:beforeAutospacing="0" w:after="0" w:afterAutospacing="0" w:line="360" w:lineRule="exact"/>
              <w:jc w:val="left"/>
              <w:rPr>
                <w:rStyle w:val="33"/>
                <w:rFonts w:hint="default" w:ascii="Times New Roman" w:hAnsi="Times New Roman" w:eastAsia="宋体" w:cs="Times New Roman"/>
                <w:b/>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【操作安全】</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（1）严禁利用氨气管道做电焊接地线。严禁用铁器敲击管道与阀体，以免引起火花。</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（2）在含氨气环境中作业应采用以下防护措施：</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——根据不同作业环境配备相应的氨气检测仪及防护装置，并落实人员管理，使氨气检测仪及防护装置处于备用状态；</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——作业环境应设立风向标；</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——供气装置的空气压缩机应置于上风侧；</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——进行检修和抢修作业时，应携带氨气检测仪和正压式空气呼吸器。</w:t>
            </w:r>
          </w:p>
          <w:p>
            <w:pPr>
              <w:widowControl/>
              <w:spacing w:before="0" w:beforeAutospacing="0" w:after="0" w:afterAutospacing="0" w:line="360" w:lineRule="exact"/>
              <w:jc w:val="left"/>
              <w:rPr>
                <w:rStyle w:val="33"/>
                <w:rFonts w:hint="default" w:ascii="Times New Roman" w:hAnsi="Times New Roman" w:eastAsia="宋体" w:cs="Times New Roman"/>
                <w:b/>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【运输安全】</w:t>
            </w:r>
          </w:p>
          <w:p>
            <w:pPr>
              <w:widowControl/>
              <w:spacing w:before="0" w:beforeAutospacing="0" w:after="0" w:afterAutospacing="0" w:line="360" w:lineRule="exact"/>
              <w:jc w:val="left"/>
              <w:rPr>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输送氨的管道不应靠近热源敷设；管道采用地上敷设时，应在人员活动较多和易遭车辆、外来物撞击的地段，采取保护措施并设置明显的警示标志；氨管道架空敷设时，管道应敷设在非燃烧体的支架或栈桥上。在已敷设的氨管道下面，不得修建与氨管道无关的建筑物和堆放易燃物品；氨管道外壁颜色、标志应执行《工业管道的基本识别色、识别符号和安全标识》（GB 7231）的规定。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noWrap w:val="0"/>
            <w:vAlign w:val="center"/>
          </w:tcPr>
          <w:p>
            <w:pPr>
              <w:pStyle w:val="32"/>
              <w:widowControl w:val="0"/>
              <w:spacing w:before="0" w:beforeAutospacing="0" w:after="0" w:afterAutospacing="0"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应急处置原则</w:t>
            </w:r>
          </w:p>
        </w:tc>
        <w:tc>
          <w:tcPr>
            <w:tcW w:w="8788" w:type="dxa"/>
            <w:noWrap w:val="0"/>
            <w:vAlign w:val="top"/>
          </w:tcPr>
          <w:p>
            <w:pPr>
              <w:spacing w:line="360" w:lineRule="exact"/>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color w:val="auto"/>
                <w:kern w:val="0"/>
                <w:sz w:val="21"/>
                <w:szCs w:val="21"/>
              </w:rPr>
              <w:t>【急救措施】</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吸入：迅速脱离现场至空气新鲜处。保持呼吸道通畅。如呼吸困难，给氧。如呼吸停止，立即进行人工呼吸。就医。</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皮肤接触：立即脱去污染的衣着，应用2%硼酸液或大量清水彻底冲洗。就医。</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眼睛接触：立即提起眼睑，用大量流动清水或生理盐水彻底冲洗至少15分钟。就医。</w:t>
            </w:r>
          </w:p>
          <w:p>
            <w:pPr>
              <w:spacing w:line="360" w:lineRule="exact"/>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color w:val="auto"/>
                <w:kern w:val="0"/>
                <w:sz w:val="21"/>
                <w:szCs w:val="21"/>
              </w:rPr>
              <w:t>【灭火方法】</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消防人员必须穿全身防火防毒服，在上风向灭火。切断气源。若不能切断气源，则不允许熄灭泄漏处的火焰。喷水冷却容器，尽可能将容器从火场移至空旷处。</w:t>
            </w:r>
          </w:p>
          <w:p>
            <w:pPr>
              <w:widowControl/>
              <w:spacing w:before="0" w:beforeAutospacing="0" w:after="0" w:afterAutospacing="0" w:line="360" w:lineRule="exact"/>
              <w:jc w:val="left"/>
              <w:rPr>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灭火剂：雾状水、抗溶性泡沫、二氧化碳、砂土。</w:t>
            </w:r>
          </w:p>
          <w:p>
            <w:pPr>
              <w:spacing w:line="360" w:lineRule="exact"/>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color w:val="auto"/>
                <w:kern w:val="0"/>
                <w:sz w:val="21"/>
                <w:szCs w:val="21"/>
              </w:rPr>
              <w:t>【泄漏应急处置】</w:t>
            </w:r>
          </w:p>
          <w:p>
            <w:pPr>
              <w:widowControl/>
              <w:spacing w:before="0" w:beforeAutospacing="0" w:after="0" w:afterAutospacing="0" w:line="360" w:lineRule="exact"/>
              <w:jc w:val="left"/>
              <w:rPr>
                <w:rStyle w:val="33"/>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消除所有点火源。根据气体的影响区域划定警戒区，无关人员从侧风、上风向撤离至安全区。建议应急处理人员穿内置正压自给式空气呼吸器的全封闭防化服。如果是液化气体泄漏，还应注意防冻伤。禁止接触或跨越泄漏物。尽可能切断泄漏源。防止气体通过下水道、通风系统和密闭性空间扩散。若可能翻转容器，使之逸出气体而非液体。构筑围堤或挖坑收容液体泄漏物。用醋酸或其它稀酸中和。也可以喷雾状水稀释、溶解，同时构筑围堤或挖坑收容产生的大量废水。如有可能，将残余气或漏出气用排风机送至水洗塔或与塔相连的通风橱内。如果钢瓶发生泄漏，无法封堵时可浸入水中。储罐区最好设水或稀酸喷洒设施。隔离泄漏区直至气体散尽。漏气容器要妥善处理，修复、检验后再用。</w:t>
            </w:r>
          </w:p>
          <w:p>
            <w:pPr>
              <w:widowControl/>
              <w:spacing w:before="0" w:beforeAutospacing="0" w:after="0" w:afterAutospacing="0" w:line="360" w:lineRule="exact"/>
              <w:ind w:firstLine="420" w:firstLineChars="200"/>
              <w:jc w:val="left"/>
              <w:rPr>
                <w:rFonts w:hint="default" w:ascii="Times New Roman" w:hAnsi="Times New Roman" w:eastAsia="宋体" w:cs="Times New Roman"/>
                <w:color w:val="auto"/>
                <w:kern w:val="0"/>
                <w:sz w:val="21"/>
                <w:szCs w:val="21"/>
                <w:lang w:val="en-US" w:eastAsia="zh-CN" w:bidi="ar-SA"/>
              </w:rPr>
            </w:pPr>
            <w:r>
              <w:rPr>
                <w:rStyle w:val="33"/>
                <w:rFonts w:hint="default" w:ascii="Times New Roman" w:hAnsi="Times New Roman" w:cs="Times New Roman"/>
                <w:color w:val="auto"/>
                <w:kern w:val="0"/>
                <w:sz w:val="21"/>
                <w:szCs w:val="21"/>
                <w:lang w:val="en-US" w:eastAsia="zh-CN" w:bidi="ar-SA"/>
              </w:rPr>
              <w:t>隔离与疏散距离：小量泄漏，初始隔离30m，下风向疏散白天100m、夜晚200m；大量泄漏，初始隔离150m，下风向疏散白天800m、夜晚2300m。</w:t>
            </w:r>
          </w:p>
        </w:tc>
      </w:tr>
    </w:tbl>
    <w:p>
      <w:pPr>
        <w:numPr>
          <w:ilvl w:val="0"/>
          <w:numId w:val="18"/>
        </w:numPr>
        <w:bidi w:val="0"/>
        <w:ind w:left="0" w:leftChars="0" w:firstLine="560" w:firstLineChars="200"/>
        <w:rPr>
          <w:rFonts w:hint="default" w:ascii="Times New Roman" w:hAnsi="Times New Roman" w:cs="Times New Roman"/>
          <w:color w:val="auto"/>
          <w:lang w:val="en-US" w:eastAsia="zh-CN"/>
        </w:rPr>
      </w:pPr>
      <w:bookmarkStart w:id="57" w:name="_Toc4829"/>
      <w:r>
        <w:rPr>
          <w:rFonts w:hint="default" w:ascii="Times New Roman" w:hAnsi="Times New Roman" w:cs="Times New Roman"/>
          <w:color w:val="auto"/>
          <w:lang w:val="en-US" w:eastAsia="zh-CN"/>
        </w:rPr>
        <w:t>天然气</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8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安</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全</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措</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施</w:t>
            </w:r>
          </w:p>
        </w:tc>
        <w:tc>
          <w:tcPr>
            <w:tcW w:w="4587" w:type="pct"/>
            <w:noWrap w:val="0"/>
            <w:vAlign w:val="top"/>
          </w:tcPr>
          <w:p>
            <w:pPr>
              <w:spacing w:line="240" w:lineRule="auto"/>
              <w:jc w:val="left"/>
              <w:rPr>
                <w:rFonts w:hint="default" w:ascii="Times New Roman" w:hAnsi="Times New Roman" w:eastAsia="宋体" w:cs="Times New Roman"/>
                <w:color w:val="auto"/>
                <w:kern w:val="0"/>
                <w:sz w:val="21"/>
                <w:szCs w:val="21"/>
                <w:lang w:val="en-US" w:eastAsia="zh-CN"/>
              </w:rPr>
            </w:pPr>
            <w:bookmarkStart w:id="58" w:name="OLE_LINK5"/>
            <w:bookmarkStart w:id="59" w:name="OLE_LINK4"/>
            <w:r>
              <w:rPr>
                <w:rFonts w:hint="default" w:ascii="Times New Roman" w:hAnsi="Times New Roman" w:eastAsia="宋体" w:cs="Times New Roman"/>
                <w:color w:val="auto"/>
                <w:kern w:val="0"/>
                <w:sz w:val="21"/>
                <w:szCs w:val="21"/>
                <w:lang w:val="en-US" w:eastAsia="zh-CN"/>
              </w:rPr>
              <w:t>【一般要求】</w:t>
            </w:r>
          </w:p>
          <w:bookmarkEnd w:id="58"/>
          <w:bookmarkEnd w:id="59"/>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操作人员必须经过专门培训，严格遵守操作规程，熟练掌握操作技能，具备应急处置知识。</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密闭操作，严防泄漏，工作场所全面通风，远离火种、热源，工作场所严禁吸烟。</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在生产、使用、贮存场所设置可燃气体监测报警仪，使用防爆型的通风系统和设备，配备两套以上重型防护服。穿防静电工作服，必要时戴防护手套，接触高浓度时应戴化学安全防护眼镜，佩带供气式呼吸器。进入罐或其它高浓度区作业，须有人监护。储罐等压力容器和设备应设置安全阀、压力表、液位计、温度计，并应装有带压力、液位、温度远传记录和报警功能的安全装置，重点储罐需设置紧急切断装置。</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避免与氧化剂接触。</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产、储存区域应设置安全警示标志。在传送过程中，钢瓶和容器必须接地和跨接，防止产生静电。搬运时轻装轻卸，防止钢瓶及附件破损。禁止使用电磁起重机和用链绳捆扎、或将瓶阀作为吊运着力点。配备相应品种和数量的消防器材及泄漏应急处理设备。</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【特殊要求】</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【操作安全】</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（1）天然气系统运行时，不准敲击，不准带压修理和紧固，不得超压，严禁负压。</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生产区域内，严禁明火和可能产生明火、火花的作业（固定动火区必须距离生产区30m以上）。生产需要或检修期间需动火时，必须办理动火审批手续。配气站严禁烟火，严禁堆放易燃物，站内应有良好的自然通风并应有事故排风装置。</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【运输安全】</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采用管道输送时：</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——输气管道不应通过城市水源地、飞机场、军事设施、车站、码头。因条件限制无法避开时，应采取保护措施并经国家有关部门批准；</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——输气管道沿线应设置里程桩、转角桩、标志桩和测试桩；</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——输气管道采用地上敷设时，应在人员活动较多和易遭车辆、外来物撞击的地段，采取保护措施并设置明显的警示标志；</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——输气管道管理单位应设专人定期对管道进行巡线检查，及时处理输气管道沿线的异常情况，并依据天然气管道保护的有关法律法规保护管道。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noWrap w:val="0"/>
            <w:vAlign w:val="center"/>
          </w:tcPr>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应</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急</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处</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置</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原</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则</w:t>
            </w:r>
          </w:p>
        </w:tc>
        <w:tc>
          <w:tcPr>
            <w:tcW w:w="4587" w:type="pct"/>
            <w:noWrap w:val="0"/>
            <w:vAlign w:val="top"/>
          </w:tcPr>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【急救措施】</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吸入：迅速脱离现场至空气新鲜处。保持呼吸道通畅。如呼吸困难，给氧。如呼吸停止，立即进行人工呼吸。就医。</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皮肤接触：如果发生冻伤：将患部浸泡于保持在38～42℃的温水中复温。不要涂擦。不要使用热水或辐射热。使用清洁、干燥的敷料包扎。如有不适感，就医。</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【灭火方法】</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切断气源。若不能切断气源，则不允许熄灭泄漏处的火焰。喷水冷却容器，尽可能将容器从火场移至空旷处。</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灭火剂：雾状水、泡沫、二氧化碳、干粉。</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【泄漏应急处置】</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消除所有点火源。根据气体的影响区域划定警戒区，无关人员从侧风、上风向撤离至安全区。应急处理人员戴正压自给式空气呼吸器，穿防静电服。作业时使用的所有设备应接地。禁止接触或跨越泄漏物。尽可能切断泄漏源。若可能翻转容器，使之逸出气体而非液体。喷雾状水抑制蒸气或改变蒸气云流向，避免水流接触泄漏物。禁止用水直接冲击泄漏物或泄漏源。防止气体通过下水道、通风系统和密闭性空间扩散。隔离泄漏区直至气体散尽。</w:t>
            </w:r>
          </w:p>
          <w:p>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作为一项紧急预防措施，泄漏隔离距离至少为100m。如果为大量泄漏，下风向的初始疏散距离应至少为800m。</w:t>
            </w:r>
          </w:p>
        </w:tc>
      </w:tr>
    </w:tbl>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60" w:name="_Toc6813"/>
      <w:r>
        <w:rPr>
          <w:rFonts w:hint="default" w:ascii="Times New Roman" w:hAnsi="Times New Roman" w:eastAsia="楷体" w:cs="Times New Roman"/>
          <w:b/>
          <w:bCs/>
          <w:color w:val="auto"/>
          <w:kern w:val="2"/>
          <w:sz w:val="32"/>
          <w:szCs w:val="32"/>
          <w:lang w:val="en-US" w:eastAsia="zh-CN" w:bidi="ar-SA"/>
        </w:rPr>
        <w:t>3.4其他类危险化学品辨识</w:t>
      </w:r>
      <w:bookmarkEnd w:id="57"/>
      <w:bookmarkEnd w:id="60"/>
    </w:p>
    <w:p>
      <w:pPr>
        <w:numPr>
          <w:ilvl w:val="0"/>
          <w:numId w:val="19"/>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根据《危险化学品目录》（2015版）国家安全生产监督管理局等十部门第5号公告（2015年）辨识，该项目不涉及剧毒化学品。</w:t>
      </w:r>
    </w:p>
    <w:p>
      <w:pPr>
        <w:numPr>
          <w:ilvl w:val="0"/>
          <w:numId w:val="19"/>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根据《中华人民共和国监控化学品管理条例》中华人民共和国国务院令第190号、《各类监控化学品名录》工信部[2020]52号、《部分第四类监控化学品名录（2019版）》进行辨识，该项目不涉及监控化学品。</w:t>
      </w:r>
    </w:p>
    <w:p>
      <w:pPr>
        <w:numPr>
          <w:ilvl w:val="0"/>
          <w:numId w:val="19"/>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根据《易制毒化学品管理条例》（国务院令第445号），该项目中涉及的硫酸、盐酸为</w:t>
      </w:r>
      <w:r>
        <w:rPr>
          <w:rFonts w:hint="default" w:ascii="Times New Roman" w:hAnsi="Times New Roman" w:cs="Times New Roman"/>
          <w:color w:val="auto"/>
          <w:lang w:eastAsia="zh-CN"/>
        </w:rPr>
        <w:t>第三类</w:t>
      </w:r>
      <w:r>
        <w:rPr>
          <w:rFonts w:hint="default" w:ascii="Times New Roman" w:hAnsi="Times New Roman" w:eastAsia="宋体" w:cs="Times New Roman"/>
          <w:color w:val="auto"/>
        </w:rPr>
        <w:t>易制毒化学品。</w:t>
      </w:r>
    </w:p>
    <w:p>
      <w:pPr>
        <w:numPr>
          <w:ilvl w:val="0"/>
          <w:numId w:val="19"/>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对照《高毒物品目录》(卫法监发[2003]142号)，该项目涉及</w:t>
      </w:r>
      <w:r>
        <w:rPr>
          <w:rFonts w:hint="default" w:ascii="Times New Roman" w:hAnsi="Times New Roman" w:cs="Times New Roman"/>
          <w:color w:val="auto"/>
          <w:lang w:eastAsia="zh-CN"/>
        </w:rPr>
        <w:t>的氨属于</w:t>
      </w:r>
      <w:r>
        <w:rPr>
          <w:rFonts w:hint="default" w:ascii="Times New Roman" w:hAnsi="Times New Roman" w:eastAsia="宋体" w:cs="Times New Roman"/>
          <w:color w:val="auto"/>
        </w:rPr>
        <w:t>高毒危险化学品。</w:t>
      </w:r>
    </w:p>
    <w:p>
      <w:pPr>
        <w:numPr>
          <w:ilvl w:val="0"/>
          <w:numId w:val="19"/>
        </w:numPr>
        <w:ind w:firstLine="560" w:firstLineChars="200"/>
        <w:rPr>
          <w:rFonts w:hint="default" w:ascii="Times New Roman" w:hAnsi="Times New Roman" w:eastAsia="宋体" w:cs="Times New Roman"/>
          <w:color w:val="auto"/>
          <w:kern w:val="0"/>
        </w:rPr>
      </w:pPr>
      <w:r>
        <w:rPr>
          <w:rFonts w:hint="default" w:ascii="Times New Roman" w:hAnsi="Times New Roman" w:eastAsia="宋体" w:cs="Times New Roman"/>
          <w:color w:val="auto"/>
        </w:rPr>
        <w:t>根据《易制爆危险化学品名录》（2017年），该项目不涉及易制爆化学品。</w:t>
      </w:r>
    </w:p>
    <w:p>
      <w:pPr>
        <w:numPr>
          <w:ilvl w:val="0"/>
          <w:numId w:val="19"/>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kern w:val="0"/>
        </w:rPr>
        <w:t>根据《特别管控危险化学品目录》第一版，该项目涉及</w:t>
      </w:r>
      <w:r>
        <w:rPr>
          <w:rFonts w:hint="default" w:ascii="Times New Roman" w:hAnsi="Times New Roman" w:cs="Times New Roman"/>
          <w:color w:val="auto"/>
          <w:kern w:val="0"/>
          <w:lang w:eastAsia="zh-CN"/>
        </w:rPr>
        <w:t>的氨</w:t>
      </w:r>
      <w:r>
        <w:rPr>
          <w:rFonts w:hint="default" w:ascii="Times New Roman" w:hAnsi="Times New Roman" w:eastAsia="宋体" w:cs="Times New Roman"/>
          <w:color w:val="auto"/>
          <w:kern w:val="0"/>
        </w:rPr>
        <w:t>属于特别管控危险化学品。</w:t>
      </w: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61" w:name="_Toc8268"/>
      <w:bookmarkStart w:id="62" w:name="_Toc29589"/>
      <w:bookmarkStart w:id="63" w:name="_Toc8377"/>
      <w:bookmarkStart w:id="64" w:name="_Toc10582"/>
      <w:bookmarkStart w:id="65" w:name="_Toc5050"/>
      <w:bookmarkStart w:id="66" w:name="_Toc27712"/>
      <w:bookmarkStart w:id="67" w:name="_Toc31946"/>
      <w:r>
        <w:rPr>
          <w:rFonts w:hint="default" w:ascii="Times New Roman" w:hAnsi="Times New Roman" w:eastAsia="楷体" w:cs="Times New Roman"/>
          <w:b/>
          <w:bCs/>
          <w:color w:val="auto"/>
          <w:kern w:val="2"/>
          <w:sz w:val="32"/>
          <w:szCs w:val="32"/>
          <w:lang w:val="en-US" w:eastAsia="zh-CN" w:bidi="ar-SA"/>
        </w:rPr>
        <w:t>3.5</w:t>
      </w:r>
      <w:bookmarkEnd w:id="61"/>
      <w:bookmarkEnd w:id="62"/>
      <w:bookmarkEnd w:id="63"/>
      <w:r>
        <w:rPr>
          <w:rFonts w:hint="default" w:ascii="Times New Roman" w:hAnsi="Times New Roman" w:eastAsia="楷体" w:cs="Times New Roman"/>
          <w:b/>
          <w:bCs/>
          <w:color w:val="auto"/>
          <w:kern w:val="2"/>
          <w:sz w:val="32"/>
          <w:szCs w:val="32"/>
          <w:lang w:val="en-US" w:eastAsia="zh-CN" w:bidi="ar-SA"/>
        </w:rPr>
        <w:t>危险、有害因素的辨识结果及依据</w:t>
      </w:r>
      <w:bookmarkEnd w:id="64"/>
      <w:bookmarkEnd w:id="65"/>
    </w:p>
    <w:p>
      <w:pPr>
        <w:spacing w:line="360" w:lineRule="auto"/>
        <w:ind w:firstLine="56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1.辨识依据</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对该项目的危险、有害因素进行辨识，依据《生产过程危险和有害因素分类与代码》、和《职业病危害因素分类目录》的同时，通过对该项目的选址、平面布局、建（构）筑物、物质、生产工艺及设备、辅助生产设施（含公用工程）及职业卫生等方面进行分析而得出。</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 辨识结果</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该项目生产工艺、装置存在多种危险可能性。特别是</w:t>
      </w:r>
      <w:r>
        <w:rPr>
          <w:rFonts w:hint="default" w:ascii="Times New Roman" w:hAnsi="Times New Roman" w:cs="Times New Roman"/>
          <w:color w:val="auto"/>
        </w:rPr>
        <w:t>生产</w:t>
      </w:r>
      <w:r>
        <w:rPr>
          <w:rFonts w:hint="default" w:ascii="Times New Roman" w:hAnsi="Times New Roman" w:cs="Times New Roman"/>
          <w:color w:val="auto"/>
          <w:lang w:eastAsia="zh-CN"/>
        </w:rPr>
        <w:t>过程中涉及</w:t>
      </w:r>
      <w:r>
        <w:rPr>
          <w:rFonts w:hint="default" w:ascii="Times New Roman" w:hAnsi="Times New Roman" w:eastAsia="宋体" w:cs="Times New Roman"/>
          <w:color w:val="auto"/>
          <w:lang w:eastAsia="zh-CN"/>
        </w:rPr>
        <w:t>的</w:t>
      </w:r>
      <w:r>
        <w:rPr>
          <w:rFonts w:hint="default" w:ascii="Times New Roman" w:hAnsi="Times New Roman" w:cs="Times New Roman"/>
          <w:color w:val="auto"/>
          <w:lang w:eastAsia="zh-CN"/>
        </w:rPr>
        <w:t>氨和燃料天然气</w:t>
      </w:r>
      <w:r>
        <w:rPr>
          <w:rFonts w:hint="default" w:ascii="Times New Roman" w:hAnsi="Times New Roman" w:eastAsia="宋体" w:cs="Times New Roman"/>
          <w:color w:val="auto"/>
        </w:rPr>
        <w:t>，遇热源有爆炸的危险；</w:t>
      </w:r>
      <w:r>
        <w:rPr>
          <w:rFonts w:hint="default" w:ascii="Times New Roman" w:hAnsi="Times New Roman" w:cs="Times New Roman"/>
          <w:color w:val="auto"/>
          <w:lang w:eastAsia="zh-CN"/>
        </w:rPr>
        <w:t>项目生产过程</w:t>
      </w:r>
      <w:r>
        <w:rPr>
          <w:rFonts w:hint="default" w:ascii="Times New Roman" w:hAnsi="Times New Roman" w:eastAsia="宋体" w:cs="Times New Roman"/>
          <w:color w:val="auto"/>
          <w:lang w:eastAsia="zh-CN"/>
        </w:rPr>
        <w:t>产生的</w:t>
      </w:r>
      <w:r>
        <w:rPr>
          <w:rFonts w:hint="default" w:ascii="Times New Roman" w:hAnsi="Times New Roman" w:eastAsia="宋体" w:cs="Times New Roman"/>
          <w:color w:val="auto"/>
        </w:rPr>
        <w:t>有毒物质如氯化氢（中间产物）。同时，涉及高温</w:t>
      </w:r>
      <w:r>
        <w:rPr>
          <w:rFonts w:hint="default" w:ascii="Times New Roman" w:hAnsi="Times New Roman" w:eastAsia="宋体" w:cs="Times New Roman"/>
          <w:color w:val="auto"/>
          <w:lang w:eastAsia="zh-CN"/>
        </w:rPr>
        <w:t>介质</w:t>
      </w:r>
      <w:r>
        <w:rPr>
          <w:rFonts w:hint="default" w:ascii="Times New Roman" w:hAnsi="Times New Roman" w:eastAsia="宋体" w:cs="Times New Roman"/>
          <w:color w:val="auto"/>
        </w:rPr>
        <w:t>。</w:t>
      </w:r>
      <w:r>
        <w:rPr>
          <w:rFonts w:hint="default" w:ascii="Times New Roman" w:hAnsi="Times New Roman" w:cs="Times New Roman"/>
          <w:color w:val="auto"/>
          <w:sz w:val="28"/>
          <w:szCs w:val="28"/>
        </w:rPr>
        <w:t>盐酸、浓硫酸、氨</w:t>
      </w:r>
      <w:r>
        <w:rPr>
          <w:rFonts w:hint="default" w:ascii="Times New Roman" w:hAnsi="Times New Roman" w:cs="Times New Roman"/>
          <w:color w:val="auto"/>
          <w:sz w:val="28"/>
          <w:szCs w:val="28"/>
          <w:lang w:eastAsia="zh-CN"/>
        </w:rPr>
        <w:t>、</w:t>
      </w:r>
      <w:r>
        <w:rPr>
          <w:rFonts w:hint="default" w:ascii="Times New Roman" w:hAnsi="Times New Roman" w:eastAsia="宋体" w:cs="Times New Roman"/>
          <w:color w:val="auto"/>
        </w:rPr>
        <w:t>氯化氢（中间产物）</w:t>
      </w:r>
      <w:r>
        <w:rPr>
          <w:rFonts w:hint="default" w:ascii="Times New Roman" w:hAnsi="Times New Roman" w:cs="Times New Roman"/>
          <w:color w:val="auto"/>
          <w:sz w:val="28"/>
          <w:szCs w:val="28"/>
        </w:rPr>
        <w:t>等具有腐蚀性。该项目涉及的非危险化学</w:t>
      </w:r>
      <w:r>
        <w:rPr>
          <w:rFonts w:hint="default" w:ascii="Times New Roman" w:hAnsi="Times New Roman" w:cs="Times New Roman"/>
          <w:color w:val="auto"/>
          <w:sz w:val="28"/>
          <w:szCs w:val="28"/>
          <w:lang w:eastAsia="zh-CN"/>
        </w:rPr>
        <w:t>氯化铵本身不燃，但具刺激性，受高热分解产生有毒的腐蚀性烟气。涉及的中间产物硫酸氢钾本身不燃，但具刺激性，受高热分解产生有毒的腐蚀性烟气。</w:t>
      </w:r>
      <w:r>
        <w:rPr>
          <w:rFonts w:hint="default" w:ascii="Times New Roman" w:hAnsi="Times New Roman" w:eastAsia="宋体" w:cs="Times New Roman"/>
          <w:color w:val="auto"/>
        </w:rPr>
        <w:t>物料的危险特性决定了该项目最主要的危险是中毒和窒息、</w:t>
      </w:r>
      <w:r>
        <w:rPr>
          <w:rFonts w:hint="default" w:ascii="Times New Roman" w:hAnsi="Times New Roman" w:cs="Times New Roman"/>
          <w:color w:val="auto"/>
          <w:lang w:eastAsia="zh-CN"/>
        </w:rPr>
        <w:t>灼烫、</w:t>
      </w:r>
      <w:r>
        <w:rPr>
          <w:rFonts w:hint="default" w:ascii="Times New Roman" w:hAnsi="Times New Roman" w:eastAsia="宋体" w:cs="Times New Roman"/>
          <w:color w:val="auto"/>
        </w:rPr>
        <w:t>火灾、爆炸事故。</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该项目在安装、运行、检查、维修过程和危险有害物质的储存、装卸、输送过程中也极易因为设备的不安全状态和人的不安全行为而引发火灾、爆炸、中毒</w:t>
      </w:r>
      <w:r>
        <w:rPr>
          <w:rFonts w:hint="default" w:ascii="Times New Roman" w:hAnsi="Times New Roman" w:eastAsia="宋体" w:cs="Times New Roman"/>
          <w:color w:val="auto"/>
          <w:lang w:eastAsia="zh-CN"/>
        </w:rPr>
        <w:t>和窒息</w:t>
      </w:r>
      <w:r>
        <w:rPr>
          <w:rFonts w:hint="default" w:ascii="Times New Roman" w:hAnsi="Times New Roman" w:eastAsia="宋体" w:cs="Times New Roman"/>
          <w:color w:val="auto"/>
        </w:rPr>
        <w:t>、灼烫、物体打击、机械伤害等各种事故。</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根据《生产过程危险和有害因素分类与代码》（GB/T13861</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rPr>
        <w:t>20</w:t>
      </w:r>
      <w:r>
        <w:rPr>
          <w:rFonts w:hint="default" w:ascii="Times New Roman" w:hAnsi="Times New Roman" w:cs="Times New Roman"/>
          <w:color w:val="auto"/>
          <w:lang w:val="en-US" w:eastAsia="zh-CN"/>
        </w:rPr>
        <w:t>22</w:t>
      </w:r>
      <w:r>
        <w:rPr>
          <w:rFonts w:hint="default" w:ascii="Times New Roman" w:hAnsi="Times New Roman" w:eastAsia="宋体" w:cs="Times New Roman"/>
          <w:color w:val="auto"/>
        </w:rPr>
        <w:t>）的规定和《企业职工伤亡事故分类》（GB6441-1986）的规定，该项目运行过程中的主要危险、有害因素有：中毒和窒息</w:t>
      </w:r>
      <w:r>
        <w:rPr>
          <w:rFonts w:hint="default" w:ascii="Times New Roman" w:hAnsi="Times New Roman" w:cs="Times New Roman"/>
          <w:color w:val="auto"/>
          <w:lang w:eastAsia="zh-CN"/>
        </w:rPr>
        <w:t>、火灾、爆炸</w:t>
      </w:r>
      <w:r>
        <w:rPr>
          <w:rFonts w:hint="default" w:ascii="Times New Roman" w:hAnsi="Times New Roman" w:eastAsia="宋体" w:cs="Times New Roman"/>
          <w:color w:val="auto"/>
        </w:rPr>
        <w:t>等，此外还存在容器爆炸、</w:t>
      </w:r>
      <w:r>
        <w:rPr>
          <w:rFonts w:hint="default" w:ascii="Times New Roman" w:hAnsi="Times New Roman" w:cs="Times New Roman"/>
          <w:color w:val="auto"/>
          <w:lang w:eastAsia="zh-CN"/>
        </w:rPr>
        <w:t>灼烫、</w:t>
      </w:r>
      <w:r>
        <w:rPr>
          <w:rFonts w:hint="default" w:ascii="Times New Roman" w:hAnsi="Times New Roman" w:eastAsia="宋体" w:cs="Times New Roman"/>
          <w:color w:val="auto"/>
        </w:rPr>
        <w:t>触电、高处坠落、机械伤害、物体打击、起重伤害、车辆伤害、</w:t>
      </w:r>
      <w:r>
        <w:rPr>
          <w:rFonts w:hint="default" w:ascii="Times New Roman" w:hAnsi="Times New Roman" w:cs="Times New Roman"/>
          <w:color w:val="auto"/>
          <w:lang w:eastAsia="zh-CN"/>
        </w:rPr>
        <w:t>坍塌、</w:t>
      </w:r>
      <w:r>
        <w:rPr>
          <w:rFonts w:hint="default" w:ascii="Times New Roman" w:hAnsi="Times New Roman" w:eastAsia="宋体" w:cs="Times New Roman"/>
          <w:color w:val="auto"/>
        </w:rPr>
        <w:t>噪声、高温热辐射等危险、有害因素。</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参照《职业卫生名词术语》、《职业病危害因素分类目录》、《职业性接触毒物危害程度分级》及《工作场所有害因素接触限值 第1部分 第2部分》，该项目在生产作业过程中存在的主要有害因素为：毒物；一般有害因素为：噪声与振动、高温、</w:t>
      </w:r>
      <w:r>
        <w:rPr>
          <w:rFonts w:hint="default" w:ascii="Times New Roman" w:hAnsi="Times New Roman" w:eastAsia="宋体" w:cs="Times New Roman"/>
          <w:color w:val="auto"/>
          <w:lang w:eastAsia="zh-CN"/>
        </w:rPr>
        <w:t>粉尘等</w:t>
      </w:r>
      <w:r>
        <w:rPr>
          <w:rFonts w:hint="default" w:ascii="Times New Roman" w:hAnsi="Times New Roman" w:eastAsia="宋体" w:cs="Times New Roman"/>
          <w:color w:val="auto"/>
        </w:rPr>
        <w:t>。</w:t>
      </w: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68" w:name="_Toc30238"/>
      <w:bookmarkStart w:id="69" w:name="_Toc2868"/>
      <w:r>
        <w:rPr>
          <w:rFonts w:hint="default" w:ascii="Times New Roman" w:hAnsi="Times New Roman" w:eastAsia="楷体" w:cs="Times New Roman"/>
          <w:b/>
          <w:bCs/>
          <w:color w:val="auto"/>
          <w:kern w:val="2"/>
          <w:sz w:val="32"/>
          <w:szCs w:val="32"/>
          <w:lang w:val="en-US" w:eastAsia="zh-CN" w:bidi="ar-SA"/>
        </w:rPr>
        <w:t>3.6危险有害因素汇总</w:t>
      </w:r>
      <w:bookmarkEnd w:id="68"/>
      <w:bookmarkEnd w:id="69"/>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3.6.1可能造成爆炸、火灾、中毒、灼烫事故的危险、有害因素的分布</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该项目可能造成爆炸、火灾、中毒和窒息、灼烫事故的危险、有害因素的分布见表。</w:t>
      </w:r>
    </w:p>
    <w:p>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表3.6.1-1可能造成爆炸、火灾、中毒、灼烫事故的危险、有害因素的分布一览表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1542"/>
        <w:gridCol w:w="7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3"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83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危险有害因素</w:t>
            </w:r>
          </w:p>
        </w:tc>
        <w:tc>
          <w:tcPr>
            <w:tcW w:w="390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存在工段（序）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火灾、爆炸</w:t>
            </w:r>
          </w:p>
        </w:tc>
        <w:tc>
          <w:tcPr>
            <w:tcW w:w="3906" w:type="pct"/>
            <w:vAlign w:val="center"/>
          </w:tcPr>
          <w:p>
            <w:pPr>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氨化车间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中毒和窒息</w:t>
            </w:r>
          </w:p>
        </w:tc>
        <w:tc>
          <w:tcPr>
            <w:tcW w:w="3906"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氨化车间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盐酸</w:t>
            </w:r>
            <w:r>
              <w:rPr>
                <w:rFonts w:hint="default" w:ascii="Times New Roman" w:hAnsi="Times New Roman" w:cs="Times New Roman"/>
                <w:color w:val="auto"/>
                <w:sz w:val="21"/>
                <w:szCs w:val="21"/>
                <w:lang w:eastAsia="zh-CN"/>
              </w:rPr>
              <w:t>、硫酸</w:t>
            </w:r>
            <w:r>
              <w:rPr>
                <w:rFonts w:hint="default" w:ascii="Times New Roman" w:hAnsi="Times New Roman" w:eastAsia="宋体" w:cs="Times New Roman"/>
                <w:color w:val="auto"/>
                <w:sz w:val="21"/>
                <w:szCs w:val="21"/>
                <w:lang w:eastAsia="zh-CN"/>
              </w:rPr>
              <w:t>罐区、</w:t>
            </w:r>
            <w:r>
              <w:rPr>
                <w:rFonts w:hint="default" w:ascii="Times New Roman" w:hAnsi="Times New Roman" w:eastAsia="宋体" w:cs="Times New Roman"/>
                <w:color w:val="auto"/>
                <w:sz w:val="21"/>
                <w:szCs w:val="21"/>
              </w:rPr>
              <w:t>装卸泵区</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eastAsia="zh-CN"/>
              </w:rPr>
              <w:t>原料</w:t>
            </w:r>
            <w:r>
              <w:rPr>
                <w:rFonts w:hint="default" w:ascii="Times New Roman" w:hAnsi="Times New Roman" w:eastAsia="宋体" w:cs="Times New Roman"/>
                <w:color w:val="auto"/>
                <w:sz w:val="21"/>
                <w:szCs w:val="21"/>
                <w:lang w:eastAsia="zh-CN"/>
              </w:rPr>
              <w:t>仓库</w:t>
            </w:r>
            <w:r>
              <w:rPr>
                <w:rFonts w:hint="default" w:ascii="Times New Roman" w:hAnsi="Times New Roman" w:cs="Times New Roman"/>
                <w:color w:val="auto"/>
                <w:sz w:val="21"/>
                <w:szCs w:val="21"/>
                <w:lang w:eastAsia="zh-CN"/>
              </w:rPr>
              <w:t>和成品仓库</w:t>
            </w:r>
            <w:r>
              <w:rPr>
                <w:rFonts w:hint="default" w:ascii="Times New Roman" w:hAnsi="Times New Roman" w:eastAsia="宋体" w:cs="Times New Roman"/>
                <w:color w:val="auto"/>
                <w:sz w:val="21"/>
                <w:szCs w:val="21"/>
              </w:rPr>
              <w:t>等场所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灼烫</w:t>
            </w:r>
          </w:p>
        </w:tc>
        <w:tc>
          <w:tcPr>
            <w:tcW w:w="3906"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氨化车间</w:t>
            </w:r>
            <w:r>
              <w:rPr>
                <w:rFonts w:hint="default" w:ascii="Times New Roman" w:hAnsi="Times New Roman" w:eastAsia="宋体" w:cs="Times New Roman"/>
                <w:color w:val="auto"/>
                <w:sz w:val="21"/>
                <w:szCs w:val="21"/>
              </w:rPr>
              <w:t>存在高温物料及换热介质的装置附近；</w:t>
            </w:r>
            <w:r>
              <w:rPr>
                <w:rFonts w:hint="default" w:ascii="Times New Roman" w:hAnsi="Times New Roman" w:eastAsia="宋体" w:cs="Times New Roman"/>
                <w:color w:val="auto"/>
                <w:sz w:val="21"/>
                <w:szCs w:val="21"/>
                <w:lang w:eastAsia="zh-CN"/>
              </w:rPr>
              <w:t>盐酸</w:t>
            </w:r>
            <w:r>
              <w:rPr>
                <w:rFonts w:hint="default" w:ascii="Times New Roman" w:hAnsi="Times New Roman" w:cs="Times New Roman"/>
                <w:color w:val="auto"/>
                <w:sz w:val="21"/>
                <w:szCs w:val="21"/>
                <w:lang w:eastAsia="zh-CN"/>
              </w:rPr>
              <w:t>、硫酸</w:t>
            </w:r>
            <w:r>
              <w:rPr>
                <w:rFonts w:hint="default" w:ascii="Times New Roman" w:hAnsi="Times New Roman" w:eastAsia="宋体" w:cs="Times New Roman"/>
                <w:color w:val="auto"/>
                <w:sz w:val="21"/>
                <w:szCs w:val="21"/>
                <w:lang w:eastAsia="zh-CN"/>
              </w:rPr>
              <w:t>罐区、</w:t>
            </w:r>
            <w:r>
              <w:rPr>
                <w:rFonts w:hint="default" w:ascii="Times New Roman" w:hAnsi="Times New Roman" w:eastAsia="宋体" w:cs="Times New Roman"/>
                <w:color w:val="auto"/>
                <w:sz w:val="21"/>
                <w:szCs w:val="21"/>
              </w:rPr>
              <w:t>装卸泵区等场所</w:t>
            </w:r>
          </w:p>
        </w:tc>
      </w:tr>
    </w:tbl>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3.6.2可能造成作业人员伤亡的其他危险有害因素及其分布</w:t>
      </w:r>
    </w:p>
    <w:p>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表3.6.2-1其他事故的危险、有害因素的分布一览表</w:t>
      </w:r>
    </w:p>
    <w:tbl>
      <w:tblPr>
        <w:tblStyle w:val="19"/>
        <w:tblW w:w="48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489"/>
        <w:gridCol w:w="7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39"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83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危险有害因素</w:t>
            </w:r>
          </w:p>
        </w:tc>
        <w:tc>
          <w:tcPr>
            <w:tcW w:w="3930"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存在工段（序）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20"/>
              </w:numPr>
              <w:spacing w:line="240" w:lineRule="auto"/>
              <w:ind w:left="0" w:firstLine="0"/>
              <w:jc w:val="left"/>
              <w:rPr>
                <w:rFonts w:hint="default" w:ascii="Times New Roman" w:hAnsi="Times New Roman" w:eastAsia="宋体" w:cs="Times New Roman"/>
                <w:color w:val="auto"/>
                <w:sz w:val="21"/>
                <w:szCs w:val="21"/>
              </w:rPr>
            </w:pPr>
          </w:p>
        </w:tc>
        <w:tc>
          <w:tcPr>
            <w:tcW w:w="8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触电</w:t>
            </w:r>
          </w:p>
        </w:tc>
        <w:tc>
          <w:tcPr>
            <w:tcW w:w="39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作业现场的电机、变配电设备、照明灯具、电缆及变电所、配电所、机柜间等有电气设备设施的场所。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20"/>
              </w:numPr>
              <w:spacing w:line="240" w:lineRule="auto"/>
              <w:ind w:left="0" w:firstLine="0"/>
              <w:jc w:val="left"/>
              <w:rPr>
                <w:rFonts w:hint="default" w:ascii="Times New Roman" w:hAnsi="Times New Roman" w:eastAsia="宋体" w:cs="Times New Roman"/>
                <w:color w:val="auto"/>
                <w:sz w:val="21"/>
                <w:szCs w:val="21"/>
              </w:rPr>
            </w:pPr>
          </w:p>
        </w:tc>
        <w:tc>
          <w:tcPr>
            <w:tcW w:w="8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机械伤害</w:t>
            </w:r>
          </w:p>
        </w:tc>
        <w:tc>
          <w:tcPr>
            <w:tcW w:w="39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使用电动机械设备，存在有机械设备与电动机的传动联结等传动设备的转动部件位置。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20"/>
              </w:numPr>
              <w:spacing w:line="240" w:lineRule="auto"/>
              <w:ind w:left="0" w:firstLine="0"/>
              <w:jc w:val="left"/>
              <w:rPr>
                <w:rFonts w:hint="default" w:ascii="Times New Roman" w:hAnsi="Times New Roman" w:eastAsia="宋体" w:cs="Times New Roman"/>
                <w:color w:val="auto"/>
                <w:sz w:val="21"/>
                <w:szCs w:val="21"/>
              </w:rPr>
            </w:pPr>
          </w:p>
        </w:tc>
        <w:tc>
          <w:tcPr>
            <w:tcW w:w="8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高处坠落</w:t>
            </w:r>
          </w:p>
        </w:tc>
        <w:tc>
          <w:tcPr>
            <w:tcW w:w="39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在高于地面或操作平台2m以上的设备、塔器、平台、框架、房顶、罐顶、杆上等作业场所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20"/>
              </w:numPr>
              <w:spacing w:line="240" w:lineRule="auto"/>
              <w:ind w:left="0" w:firstLine="0"/>
              <w:jc w:val="left"/>
              <w:rPr>
                <w:rFonts w:hint="default" w:ascii="Times New Roman" w:hAnsi="Times New Roman" w:eastAsia="宋体" w:cs="Times New Roman"/>
                <w:color w:val="auto"/>
                <w:sz w:val="21"/>
                <w:szCs w:val="21"/>
              </w:rPr>
            </w:pPr>
          </w:p>
        </w:tc>
        <w:tc>
          <w:tcPr>
            <w:tcW w:w="8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物体打击</w:t>
            </w:r>
          </w:p>
        </w:tc>
        <w:tc>
          <w:tcPr>
            <w:tcW w:w="39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在有高处作业的设备、塔器、平台、框架、房顶、罐顶、杆上等场所的下方。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20"/>
              </w:numPr>
              <w:spacing w:line="240" w:lineRule="auto"/>
              <w:ind w:left="0" w:firstLine="0"/>
              <w:jc w:val="left"/>
              <w:rPr>
                <w:rFonts w:hint="default" w:ascii="Times New Roman" w:hAnsi="Times New Roman" w:eastAsia="宋体" w:cs="Times New Roman"/>
                <w:color w:val="auto"/>
                <w:sz w:val="21"/>
                <w:szCs w:val="21"/>
              </w:rPr>
            </w:pPr>
          </w:p>
        </w:tc>
        <w:tc>
          <w:tcPr>
            <w:tcW w:w="8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车辆伤害</w:t>
            </w:r>
          </w:p>
        </w:tc>
        <w:tc>
          <w:tcPr>
            <w:tcW w:w="39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有车辆行驶的道路及罐区、仓库停车场等相关场所。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20"/>
              </w:numPr>
              <w:spacing w:line="240" w:lineRule="auto"/>
              <w:ind w:left="0" w:firstLine="0"/>
              <w:jc w:val="left"/>
              <w:rPr>
                <w:rFonts w:hint="default" w:ascii="Times New Roman" w:hAnsi="Times New Roman" w:eastAsia="宋体" w:cs="Times New Roman"/>
                <w:color w:val="auto"/>
                <w:sz w:val="21"/>
                <w:szCs w:val="21"/>
              </w:rPr>
            </w:pPr>
          </w:p>
        </w:tc>
        <w:tc>
          <w:tcPr>
            <w:tcW w:w="830" w:type="pct"/>
            <w:vAlign w:val="center"/>
          </w:tcPr>
          <w:p>
            <w:pPr>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起重伤害</w:t>
            </w:r>
          </w:p>
        </w:tc>
        <w:tc>
          <w:tcPr>
            <w:tcW w:w="39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原料库涉及行车和叉车的工作区域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20"/>
              </w:numPr>
              <w:spacing w:line="240" w:lineRule="auto"/>
              <w:ind w:left="0" w:firstLine="0"/>
              <w:jc w:val="left"/>
              <w:rPr>
                <w:rFonts w:hint="default" w:ascii="Times New Roman" w:hAnsi="Times New Roman" w:eastAsia="宋体" w:cs="Times New Roman"/>
                <w:color w:val="auto"/>
                <w:sz w:val="21"/>
                <w:szCs w:val="21"/>
              </w:rPr>
            </w:pPr>
          </w:p>
        </w:tc>
        <w:tc>
          <w:tcPr>
            <w:tcW w:w="830" w:type="pct"/>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坍塌</w:t>
            </w:r>
          </w:p>
        </w:tc>
        <w:tc>
          <w:tcPr>
            <w:tcW w:w="3930" w:type="pct"/>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盐酸、硫酸</w:t>
            </w:r>
            <w:r>
              <w:rPr>
                <w:rFonts w:hint="default" w:ascii="Times New Roman" w:hAnsi="Times New Roman" w:eastAsia="宋体" w:cs="Times New Roman"/>
                <w:color w:val="auto"/>
                <w:sz w:val="21"/>
                <w:szCs w:val="21"/>
              </w:rPr>
              <w:t>罐区、各装置、仓库及管廊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20"/>
              </w:numPr>
              <w:spacing w:line="240" w:lineRule="auto"/>
              <w:ind w:left="0" w:firstLine="0"/>
              <w:jc w:val="left"/>
              <w:rPr>
                <w:rFonts w:hint="default" w:ascii="Times New Roman" w:hAnsi="Times New Roman" w:eastAsia="宋体" w:cs="Times New Roman"/>
                <w:color w:val="auto"/>
                <w:sz w:val="21"/>
                <w:szCs w:val="21"/>
              </w:rPr>
            </w:pPr>
          </w:p>
        </w:tc>
        <w:tc>
          <w:tcPr>
            <w:tcW w:w="8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毒物</w:t>
            </w:r>
          </w:p>
        </w:tc>
        <w:tc>
          <w:tcPr>
            <w:tcW w:w="39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氨化车间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盐酸</w:t>
            </w:r>
            <w:r>
              <w:rPr>
                <w:rFonts w:hint="default" w:ascii="Times New Roman" w:hAnsi="Times New Roman" w:cs="Times New Roman"/>
                <w:color w:val="auto"/>
                <w:sz w:val="21"/>
                <w:szCs w:val="21"/>
                <w:lang w:eastAsia="zh-CN"/>
              </w:rPr>
              <w:t>、硫酸</w:t>
            </w:r>
            <w:r>
              <w:rPr>
                <w:rFonts w:hint="default" w:ascii="Times New Roman" w:hAnsi="Times New Roman" w:eastAsia="宋体" w:cs="Times New Roman"/>
                <w:color w:val="auto"/>
                <w:sz w:val="21"/>
                <w:szCs w:val="21"/>
                <w:lang w:eastAsia="zh-CN"/>
              </w:rPr>
              <w:t>罐区、</w:t>
            </w:r>
            <w:r>
              <w:rPr>
                <w:rFonts w:hint="default" w:ascii="Times New Roman" w:hAnsi="Times New Roman" w:eastAsia="宋体" w:cs="Times New Roman"/>
                <w:color w:val="auto"/>
                <w:sz w:val="21"/>
                <w:szCs w:val="21"/>
              </w:rPr>
              <w:t>装卸泵区</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eastAsia="zh-CN"/>
              </w:rPr>
              <w:t>原料</w:t>
            </w:r>
            <w:r>
              <w:rPr>
                <w:rFonts w:hint="default" w:ascii="Times New Roman" w:hAnsi="Times New Roman" w:eastAsia="宋体" w:cs="Times New Roman"/>
                <w:color w:val="auto"/>
                <w:sz w:val="21"/>
                <w:szCs w:val="21"/>
                <w:lang w:eastAsia="zh-CN"/>
              </w:rPr>
              <w:t>仓库</w:t>
            </w:r>
            <w:r>
              <w:rPr>
                <w:rFonts w:hint="default" w:ascii="Times New Roman" w:hAnsi="Times New Roman" w:cs="Times New Roman"/>
                <w:color w:val="auto"/>
                <w:sz w:val="21"/>
                <w:szCs w:val="21"/>
                <w:lang w:eastAsia="zh-CN"/>
              </w:rPr>
              <w:t>和成品仓库</w:t>
            </w:r>
            <w:r>
              <w:rPr>
                <w:rFonts w:hint="default" w:ascii="Times New Roman" w:hAnsi="Times New Roman" w:eastAsia="宋体" w:cs="Times New Roman"/>
                <w:color w:val="auto"/>
                <w:sz w:val="21"/>
                <w:szCs w:val="21"/>
              </w:rPr>
              <w:t>等场所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20"/>
              </w:numPr>
              <w:spacing w:line="240" w:lineRule="auto"/>
              <w:ind w:left="0" w:firstLine="0"/>
              <w:jc w:val="left"/>
              <w:rPr>
                <w:rFonts w:hint="default" w:ascii="Times New Roman" w:hAnsi="Times New Roman" w:eastAsia="宋体" w:cs="Times New Roman"/>
                <w:color w:val="auto"/>
                <w:sz w:val="21"/>
                <w:szCs w:val="21"/>
              </w:rPr>
            </w:pPr>
          </w:p>
        </w:tc>
        <w:tc>
          <w:tcPr>
            <w:tcW w:w="8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噪声与振动</w:t>
            </w:r>
          </w:p>
        </w:tc>
        <w:tc>
          <w:tcPr>
            <w:tcW w:w="39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有电动机械设备，如</w:t>
            </w:r>
            <w:r>
              <w:rPr>
                <w:rFonts w:hint="default" w:ascii="Times New Roman" w:hAnsi="Times New Roman" w:eastAsia="宋体" w:cs="Times New Roman"/>
                <w:color w:val="auto"/>
                <w:sz w:val="21"/>
                <w:szCs w:val="21"/>
                <w:lang w:eastAsia="zh-CN"/>
              </w:rPr>
              <w:t>各类风机</w:t>
            </w:r>
            <w:r>
              <w:rPr>
                <w:rFonts w:hint="default" w:ascii="Times New Roman" w:hAnsi="Times New Roman" w:eastAsia="宋体" w:cs="Times New Roman"/>
                <w:color w:val="auto"/>
                <w:sz w:val="21"/>
                <w:szCs w:val="21"/>
              </w:rPr>
              <w:t>、各种泵类、各种车辆等及各种流体放等作业场所。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20"/>
              </w:numPr>
              <w:spacing w:line="240" w:lineRule="auto"/>
              <w:ind w:left="0" w:firstLine="0"/>
              <w:jc w:val="left"/>
              <w:rPr>
                <w:rFonts w:hint="default" w:ascii="Times New Roman" w:hAnsi="Times New Roman" w:eastAsia="宋体" w:cs="Times New Roman"/>
                <w:color w:val="auto"/>
                <w:sz w:val="21"/>
                <w:szCs w:val="21"/>
              </w:rPr>
            </w:pPr>
          </w:p>
        </w:tc>
        <w:tc>
          <w:tcPr>
            <w:tcW w:w="8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高温</w:t>
            </w:r>
          </w:p>
        </w:tc>
        <w:tc>
          <w:tcPr>
            <w:tcW w:w="39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存在高温物料及换热介质的装置附近作业或夏（冬）季长时间的室外作业。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20"/>
              </w:numPr>
              <w:spacing w:line="240" w:lineRule="auto"/>
              <w:ind w:left="0" w:firstLine="0"/>
              <w:jc w:val="left"/>
              <w:rPr>
                <w:rFonts w:hint="default" w:ascii="Times New Roman" w:hAnsi="Times New Roman" w:eastAsia="宋体" w:cs="Times New Roman"/>
                <w:color w:val="auto"/>
                <w:sz w:val="21"/>
                <w:szCs w:val="21"/>
              </w:rPr>
            </w:pPr>
          </w:p>
        </w:tc>
        <w:tc>
          <w:tcPr>
            <w:tcW w:w="830" w:type="pct"/>
            <w:vAlign w:val="center"/>
          </w:tcPr>
          <w:p>
            <w:pPr>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粉尘</w:t>
            </w:r>
          </w:p>
        </w:tc>
        <w:tc>
          <w:tcPr>
            <w:tcW w:w="3930" w:type="pct"/>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生产车间</w:t>
            </w:r>
            <w:r>
              <w:rPr>
                <w:rFonts w:hint="default" w:ascii="Times New Roman" w:hAnsi="Times New Roman" w:cs="Times New Roman"/>
                <w:color w:val="auto"/>
                <w:sz w:val="21"/>
                <w:szCs w:val="21"/>
                <w:lang w:val="zh-CN"/>
              </w:rPr>
              <w:t>复合肥</w:t>
            </w:r>
            <w:r>
              <w:rPr>
                <w:rFonts w:hint="default" w:ascii="Times New Roman" w:hAnsi="Times New Roman" w:eastAsia="宋体" w:cs="Times New Roman"/>
                <w:color w:val="auto"/>
                <w:sz w:val="21"/>
                <w:szCs w:val="21"/>
                <w:lang w:val="zh-CN"/>
              </w:rPr>
              <w:t>出料包装系统</w:t>
            </w:r>
            <w:r>
              <w:rPr>
                <w:rFonts w:hint="default" w:ascii="Times New Roman" w:hAnsi="Times New Roman" w:cs="Times New Roman"/>
                <w:color w:val="auto"/>
                <w:sz w:val="21"/>
                <w:szCs w:val="21"/>
                <w:lang w:val="zh-CN"/>
              </w:rPr>
              <w:t>、上料系统区域、</w:t>
            </w:r>
            <w:r>
              <w:rPr>
                <w:rFonts w:hint="default" w:ascii="Times New Roman" w:hAnsi="Times New Roman" w:cs="Times New Roman"/>
                <w:color w:val="auto"/>
                <w:sz w:val="21"/>
                <w:szCs w:val="21"/>
                <w:lang w:eastAsia="zh-CN"/>
              </w:rPr>
              <w:t>原料</w:t>
            </w:r>
            <w:r>
              <w:rPr>
                <w:rFonts w:hint="default" w:ascii="Times New Roman" w:hAnsi="Times New Roman" w:eastAsia="宋体" w:cs="Times New Roman"/>
                <w:color w:val="auto"/>
                <w:sz w:val="21"/>
                <w:szCs w:val="21"/>
                <w:lang w:eastAsia="zh-CN"/>
              </w:rPr>
              <w:t>仓库</w:t>
            </w:r>
            <w:r>
              <w:rPr>
                <w:rFonts w:hint="default" w:ascii="Times New Roman" w:hAnsi="Times New Roman" w:cs="Times New Roman"/>
                <w:color w:val="auto"/>
                <w:sz w:val="21"/>
                <w:szCs w:val="21"/>
                <w:lang w:eastAsia="zh-CN"/>
              </w:rPr>
              <w:t>和成品仓库</w:t>
            </w:r>
            <w:r>
              <w:rPr>
                <w:rFonts w:hint="default" w:ascii="Times New Roman" w:hAnsi="Times New Roman" w:eastAsia="宋体" w:cs="Times New Roman"/>
                <w:color w:val="auto"/>
                <w:sz w:val="21"/>
                <w:szCs w:val="21"/>
              </w:rPr>
              <w:t>等场所</w:t>
            </w:r>
          </w:p>
        </w:tc>
      </w:tr>
    </w:tbl>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70" w:name="_Toc26080"/>
      <w:bookmarkStart w:id="71" w:name="_Toc24135"/>
      <w:r>
        <w:rPr>
          <w:rFonts w:hint="default" w:ascii="Times New Roman" w:hAnsi="Times New Roman" w:eastAsia="楷体" w:cs="Times New Roman"/>
          <w:b/>
          <w:bCs/>
          <w:color w:val="auto"/>
          <w:kern w:val="2"/>
          <w:sz w:val="32"/>
          <w:szCs w:val="32"/>
          <w:lang w:val="en-US" w:eastAsia="zh-CN" w:bidi="ar-SA"/>
        </w:rPr>
        <w:t>3.7重大危险源辨识</w:t>
      </w:r>
      <w:bookmarkEnd w:id="70"/>
      <w:bookmarkEnd w:id="71"/>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通过附件B.3节重大危险源辨识及分级过程，根据《危险化学品重大危险源辨识》（GB18218-2018）的定义和《危险化学品重大危险源监督管理暂行规定》（国家安全生产监督管理总局令第40号，根据2015年5月27日国家安全监管总局令第79号修正）得出结论如下：该项目</w:t>
      </w:r>
      <w:r>
        <w:rPr>
          <w:rFonts w:hint="default" w:ascii="Times New Roman" w:hAnsi="Times New Roman" w:eastAsia="宋体" w:cs="Times New Roman"/>
          <w:color w:val="auto"/>
          <w:lang w:eastAsia="zh-CN"/>
        </w:rPr>
        <w:t>各生产、储存单元</w:t>
      </w:r>
      <w:r>
        <w:rPr>
          <w:rFonts w:hint="default" w:ascii="Times New Roman" w:hAnsi="Times New Roman" w:eastAsia="宋体" w:cs="Times New Roman"/>
          <w:color w:val="auto"/>
        </w:rPr>
        <w:t>均不构成重大危险源。</w:t>
      </w:r>
    </w:p>
    <w:p>
      <w:pPr>
        <w:pStyle w:val="4"/>
        <w:bidi w:val="0"/>
        <w:rPr>
          <w:rFonts w:hint="eastAsia"/>
          <w:color w:val="auto"/>
          <w:lang w:val="en-US" w:eastAsia="zh-CN"/>
        </w:rPr>
      </w:pPr>
      <w:bookmarkStart w:id="72" w:name="_Toc21180"/>
      <w:r>
        <w:rPr>
          <w:rFonts w:hint="eastAsia"/>
          <w:color w:val="auto"/>
          <w:lang w:val="en-US" w:eastAsia="zh-CN"/>
        </w:rPr>
        <w:t>3.8个人风险和社会风险值</w:t>
      </w:r>
      <w:bookmarkEnd w:id="72"/>
    </w:p>
    <w:p>
      <w:pPr>
        <w:pStyle w:val="5"/>
        <w:bidi w:val="0"/>
        <w:rPr>
          <w:rFonts w:hint="eastAsia"/>
          <w:color w:val="auto"/>
          <w:lang w:val="en-US" w:eastAsia="zh-CN"/>
        </w:rPr>
      </w:pPr>
      <w:r>
        <w:rPr>
          <w:rFonts w:hint="eastAsia"/>
          <w:color w:val="auto"/>
          <w:lang w:val="en-US" w:eastAsia="zh-CN"/>
        </w:rPr>
        <w:t>3.8.1个人风险和社会风险值标准</w:t>
      </w:r>
    </w:p>
    <w:p>
      <w:pPr>
        <w:widowControl/>
        <w:snapToGrid w:val="0"/>
        <w:spacing w:line="360" w:lineRule="auto"/>
        <w:ind w:firstLine="560"/>
        <w:jc w:val="left"/>
        <w:rPr>
          <w:rFonts w:ascii="宋体" w:hAnsi="宋体"/>
          <w:color w:val="auto"/>
          <w:kern w:val="0"/>
          <w:sz w:val="28"/>
          <w:szCs w:val="28"/>
        </w:rPr>
      </w:pPr>
      <w:r>
        <w:rPr>
          <w:rFonts w:hint="eastAsia" w:ascii="宋体" w:hAnsi="宋体"/>
          <w:color w:val="auto"/>
          <w:kern w:val="0"/>
          <w:sz w:val="28"/>
          <w:szCs w:val="28"/>
        </w:rPr>
        <w:t>1.个人和社会可接受风险辨识的标准</w:t>
      </w:r>
    </w:p>
    <w:p>
      <w:pPr>
        <w:spacing w:line="360" w:lineRule="auto"/>
        <w:ind w:firstLine="560" w:firstLineChars="200"/>
        <w:rPr>
          <w:rFonts w:ascii="宋体" w:hAnsi="宋体"/>
          <w:color w:val="auto"/>
          <w:sz w:val="28"/>
          <w:szCs w:val="28"/>
        </w:rPr>
      </w:pPr>
      <w:r>
        <w:rPr>
          <w:rFonts w:hint="eastAsia" w:ascii="宋体" w:hAnsi="宋体"/>
          <w:color w:val="auto"/>
          <w:kern w:val="0"/>
          <w:sz w:val="28"/>
          <w:szCs w:val="28"/>
        </w:rPr>
        <w:t>1）</w:t>
      </w:r>
      <w:r>
        <w:rPr>
          <w:rFonts w:hint="eastAsia" w:ascii="宋体" w:hAnsi="宋体"/>
          <w:color w:val="auto"/>
          <w:sz w:val="28"/>
          <w:szCs w:val="28"/>
        </w:rPr>
        <w:t>《危险化学品生产装置和储存设施风险基准》（GB36894-2018）</w:t>
      </w:r>
    </w:p>
    <w:p>
      <w:pPr>
        <w:spacing w:line="360" w:lineRule="auto"/>
        <w:ind w:firstLine="560" w:firstLineChars="200"/>
        <w:rPr>
          <w:rFonts w:ascii="宋体" w:hAnsi="宋体"/>
          <w:color w:val="auto"/>
          <w:kern w:val="0"/>
          <w:sz w:val="28"/>
          <w:szCs w:val="28"/>
        </w:rPr>
      </w:pPr>
      <w:r>
        <w:rPr>
          <w:rFonts w:ascii="宋体" w:hAnsi="宋体"/>
          <w:color w:val="auto"/>
          <w:sz w:val="28"/>
          <w:szCs w:val="28"/>
        </w:rPr>
        <w:t>2</w:t>
      </w:r>
      <w:r>
        <w:rPr>
          <w:rFonts w:hint="eastAsia" w:ascii="宋体" w:hAnsi="宋体"/>
          <w:color w:val="auto"/>
          <w:sz w:val="28"/>
          <w:szCs w:val="28"/>
        </w:rPr>
        <w:t>）</w:t>
      </w:r>
      <w:r>
        <w:rPr>
          <w:rFonts w:hint="eastAsia" w:ascii="宋体" w:hAnsi="宋体" w:cs="仿宋_GB2312"/>
          <w:color w:val="auto"/>
          <w:sz w:val="28"/>
          <w:szCs w:val="28"/>
        </w:rPr>
        <w:t>《危险化学品重大危险源监督管理暂行规定》（国家安全监管总局令第40号）</w:t>
      </w:r>
    </w:p>
    <w:p>
      <w:pPr>
        <w:spacing w:line="360" w:lineRule="auto"/>
        <w:ind w:firstLine="560" w:firstLineChars="200"/>
        <w:rPr>
          <w:rFonts w:ascii="宋体" w:hAnsi="宋体" w:cs="宋体"/>
          <w:color w:val="auto"/>
          <w:kern w:val="0"/>
          <w:sz w:val="28"/>
          <w:szCs w:val="28"/>
        </w:rPr>
      </w:pPr>
      <w:r>
        <w:rPr>
          <w:rFonts w:hint="eastAsia" w:ascii="宋体" w:hAnsi="宋体"/>
          <w:color w:val="auto"/>
          <w:sz w:val="28"/>
          <w:szCs w:val="28"/>
        </w:rPr>
        <w:t>2.</w:t>
      </w:r>
      <w:r>
        <w:rPr>
          <w:rFonts w:hint="eastAsia" w:ascii="宋体" w:hAnsi="宋体" w:cs="宋体"/>
          <w:color w:val="auto"/>
          <w:kern w:val="0"/>
          <w:sz w:val="28"/>
          <w:szCs w:val="28"/>
        </w:rPr>
        <w:t>个人风险是指假设人员长期处于某一场所且无保护，由于发生危险化学品事故而导致的死亡频率，单位为次每年。</w:t>
      </w:r>
    </w:p>
    <w:p>
      <w:pPr>
        <w:spacing w:line="360" w:lineRule="auto"/>
        <w:ind w:firstLine="560" w:firstLineChars="200"/>
        <w:rPr>
          <w:rFonts w:ascii="宋体" w:hAnsi="宋体"/>
          <w:color w:val="auto"/>
          <w:kern w:val="0"/>
          <w:sz w:val="28"/>
          <w:szCs w:val="28"/>
        </w:rPr>
      </w:pPr>
      <w:r>
        <w:rPr>
          <w:rFonts w:hint="eastAsia" w:ascii="宋体" w:hAnsi="宋体"/>
          <w:color w:val="auto"/>
          <w:kern w:val="0"/>
          <w:sz w:val="28"/>
          <w:szCs w:val="28"/>
        </w:rPr>
        <w:t>3.社会风险是指群体（包括周边企业员工和公众）在危险区域承受某种程度伤害的频发程度，通常表示为大于或等于N人死亡的事故累计频率（F），以累计频率和死亡人数之间关系的曲线图（F-N曲线）来表示。</w:t>
      </w:r>
    </w:p>
    <w:p>
      <w:pPr>
        <w:spacing w:line="360" w:lineRule="auto"/>
        <w:ind w:firstLine="560" w:firstLineChars="200"/>
        <w:rPr>
          <w:rFonts w:ascii="宋体" w:hAnsi="宋体"/>
          <w:color w:val="auto"/>
          <w:kern w:val="0"/>
          <w:sz w:val="28"/>
          <w:szCs w:val="28"/>
        </w:rPr>
      </w:pPr>
      <w:r>
        <w:rPr>
          <w:rFonts w:hint="eastAsia" w:ascii="宋体" w:hAnsi="宋体"/>
          <w:color w:val="auto"/>
          <w:kern w:val="0"/>
          <w:sz w:val="28"/>
          <w:szCs w:val="28"/>
        </w:rPr>
        <w:t>4.防护目标：受危险化学品生产和储存设施事故影响，场外可能发生人员伤亡的设施或场所；</w:t>
      </w:r>
    </w:p>
    <w:p>
      <w:pPr>
        <w:spacing w:line="360" w:lineRule="auto"/>
        <w:ind w:firstLine="560" w:firstLineChars="200"/>
        <w:rPr>
          <w:rFonts w:ascii="宋体" w:hAnsi="宋体"/>
          <w:color w:val="auto"/>
          <w:kern w:val="0"/>
          <w:sz w:val="28"/>
          <w:szCs w:val="28"/>
        </w:rPr>
      </w:pPr>
      <w:r>
        <w:rPr>
          <w:rFonts w:hint="eastAsia" w:ascii="宋体" w:hAnsi="宋体"/>
          <w:color w:val="auto"/>
          <w:kern w:val="0"/>
          <w:sz w:val="28"/>
          <w:szCs w:val="28"/>
        </w:rPr>
        <w:t>5.防护目标分类：</w:t>
      </w:r>
    </w:p>
    <w:p>
      <w:pPr>
        <w:spacing w:line="540" w:lineRule="exact"/>
        <w:ind w:firstLine="560"/>
        <w:rPr>
          <w:rFonts w:ascii="宋体" w:hAnsi="宋体"/>
          <w:color w:val="auto"/>
          <w:kern w:val="0"/>
          <w:sz w:val="28"/>
          <w:szCs w:val="28"/>
        </w:rPr>
      </w:pPr>
      <w:r>
        <w:rPr>
          <w:rFonts w:hint="eastAsia" w:ascii="宋体" w:hAnsi="宋体"/>
          <w:color w:val="auto"/>
          <w:kern w:val="0"/>
          <w:sz w:val="28"/>
          <w:szCs w:val="28"/>
        </w:rPr>
        <w:t>1）高敏感防护目标包括下列设施或场所：</w:t>
      </w:r>
    </w:p>
    <w:p>
      <w:pPr>
        <w:spacing w:line="540" w:lineRule="exact"/>
        <w:ind w:firstLine="560"/>
        <w:rPr>
          <w:rFonts w:ascii="宋体" w:hAnsi="宋体"/>
          <w:color w:val="auto"/>
          <w:kern w:val="0"/>
          <w:sz w:val="28"/>
          <w:szCs w:val="28"/>
        </w:rPr>
      </w:pPr>
      <w:r>
        <w:rPr>
          <w:rFonts w:hint="eastAsia" w:ascii="宋体" w:hAnsi="宋体"/>
          <w:color w:val="auto"/>
          <w:kern w:val="0"/>
          <w:sz w:val="28"/>
          <w:szCs w:val="28"/>
        </w:rPr>
        <w:t>a文化设施。包括：综合文化活动中心、文化馆、青少年宫、儿童活动中心、老年活动中心等设施。</w:t>
      </w:r>
    </w:p>
    <w:p>
      <w:pPr>
        <w:spacing w:line="540" w:lineRule="exact"/>
        <w:ind w:firstLine="560"/>
        <w:rPr>
          <w:rFonts w:ascii="宋体" w:hAnsi="宋体"/>
          <w:color w:val="auto"/>
          <w:kern w:val="0"/>
          <w:sz w:val="28"/>
          <w:szCs w:val="28"/>
        </w:rPr>
      </w:pPr>
      <w:r>
        <w:rPr>
          <w:rFonts w:hint="eastAsia" w:ascii="宋体" w:hAnsi="宋体"/>
          <w:color w:val="auto"/>
          <w:kern w:val="0"/>
          <w:sz w:val="28"/>
          <w:szCs w:val="28"/>
        </w:rPr>
        <w:t>b教育设施。包括：高等院校、中等专业学校、体育训练基地、中学、小学、幼儿园、业余学校、民营培训机构及其附属设施，包括为学校配建的独立地段的学生生活场所；</w:t>
      </w:r>
    </w:p>
    <w:p>
      <w:pPr>
        <w:spacing w:line="540" w:lineRule="exact"/>
        <w:ind w:firstLine="560"/>
        <w:rPr>
          <w:rFonts w:ascii="宋体" w:hAnsi="宋体"/>
          <w:color w:val="auto"/>
          <w:kern w:val="0"/>
          <w:sz w:val="28"/>
          <w:szCs w:val="28"/>
        </w:rPr>
      </w:pPr>
      <w:r>
        <w:rPr>
          <w:rFonts w:hint="eastAsia" w:ascii="宋体" w:hAnsi="宋体"/>
          <w:color w:val="auto"/>
          <w:kern w:val="0"/>
          <w:sz w:val="28"/>
          <w:szCs w:val="28"/>
        </w:rPr>
        <w:t>c医疗卫生场所。包括：医疗、保健、卫生、翻译、康复和急救场所；不包括：居住小区及小区级以下的卫生服务设施；</w:t>
      </w:r>
    </w:p>
    <w:p>
      <w:pPr>
        <w:spacing w:line="540" w:lineRule="exact"/>
        <w:ind w:firstLine="560"/>
        <w:rPr>
          <w:rFonts w:ascii="宋体" w:hAnsi="宋体"/>
          <w:color w:val="auto"/>
          <w:kern w:val="0"/>
          <w:sz w:val="28"/>
          <w:szCs w:val="28"/>
        </w:rPr>
      </w:pPr>
      <w:r>
        <w:rPr>
          <w:rFonts w:hint="eastAsia" w:ascii="宋体" w:hAnsi="宋体"/>
          <w:color w:val="auto"/>
          <w:kern w:val="0"/>
          <w:sz w:val="28"/>
          <w:szCs w:val="28"/>
        </w:rPr>
        <w:t>d社会福利设施。包括：福利院、养老院、孤儿院等为社会提供福利和慈善服务的设施及其附属设施</w:t>
      </w:r>
    </w:p>
    <w:p>
      <w:pPr>
        <w:spacing w:line="540" w:lineRule="exact"/>
        <w:ind w:firstLine="560"/>
        <w:rPr>
          <w:rFonts w:ascii="宋体" w:hAnsi="宋体"/>
          <w:color w:val="auto"/>
          <w:kern w:val="0"/>
          <w:sz w:val="28"/>
          <w:szCs w:val="28"/>
        </w:rPr>
      </w:pPr>
      <w:r>
        <w:rPr>
          <w:rFonts w:hint="eastAsia" w:ascii="宋体" w:hAnsi="宋体"/>
          <w:color w:val="auto"/>
          <w:kern w:val="0"/>
          <w:sz w:val="28"/>
          <w:szCs w:val="28"/>
        </w:rPr>
        <w:t>e其他在事故场景下自我保护能力相对较低群体聚集的场所。</w:t>
      </w:r>
    </w:p>
    <w:p>
      <w:pPr>
        <w:spacing w:line="540" w:lineRule="exact"/>
        <w:ind w:firstLine="560"/>
        <w:rPr>
          <w:rFonts w:ascii="宋体" w:hAnsi="宋体"/>
          <w:color w:val="auto"/>
          <w:kern w:val="0"/>
          <w:sz w:val="28"/>
          <w:szCs w:val="28"/>
        </w:rPr>
      </w:pPr>
      <w:r>
        <w:rPr>
          <w:rFonts w:hint="eastAsia" w:ascii="宋体" w:hAnsi="宋体"/>
          <w:color w:val="auto"/>
          <w:kern w:val="0"/>
          <w:sz w:val="28"/>
          <w:szCs w:val="28"/>
        </w:rPr>
        <w:t>2）重要防护目标包括下列设施或场所：</w:t>
      </w:r>
    </w:p>
    <w:p>
      <w:pPr>
        <w:spacing w:line="540" w:lineRule="exact"/>
        <w:ind w:firstLine="560"/>
        <w:rPr>
          <w:rFonts w:ascii="宋体" w:hAnsi="宋体"/>
          <w:color w:val="auto"/>
          <w:kern w:val="0"/>
          <w:sz w:val="28"/>
          <w:szCs w:val="28"/>
        </w:rPr>
      </w:pPr>
      <w:r>
        <w:rPr>
          <w:rFonts w:hint="eastAsia" w:ascii="宋体" w:hAnsi="宋体"/>
          <w:color w:val="auto"/>
          <w:kern w:val="0"/>
          <w:sz w:val="28"/>
          <w:szCs w:val="28"/>
        </w:rPr>
        <w:t>a公共图书展览设施。包括：公共图书馆、博物馆、科技馆、纪念馆、美术馆、展览馆、会展中心等设施。</w:t>
      </w:r>
    </w:p>
    <w:p>
      <w:pPr>
        <w:spacing w:line="540" w:lineRule="exact"/>
        <w:ind w:firstLine="560"/>
        <w:rPr>
          <w:rFonts w:ascii="宋体" w:hAnsi="宋体"/>
          <w:color w:val="auto"/>
          <w:kern w:val="0"/>
          <w:sz w:val="28"/>
          <w:szCs w:val="28"/>
        </w:rPr>
      </w:pPr>
      <w:r>
        <w:rPr>
          <w:rFonts w:hint="eastAsia" w:ascii="宋体" w:hAnsi="宋体"/>
          <w:color w:val="auto"/>
          <w:kern w:val="0"/>
          <w:sz w:val="28"/>
          <w:szCs w:val="28"/>
        </w:rPr>
        <w:t>b文物保护单位。</w:t>
      </w:r>
    </w:p>
    <w:p>
      <w:pPr>
        <w:spacing w:line="540" w:lineRule="exact"/>
        <w:ind w:firstLine="560"/>
        <w:rPr>
          <w:rFonts w:ascii="宋体" w:hAnsi="宋体"/>
          <w:color w:val="auto"/>
          <w:kern w:val="0"/>
          <w:sz w:val="28"/>
          <w:szCs w:val="28"/>
        </w:rPr>
      </w:pPr>
      <w:r>
        <w:rPr>
          <w:rFonts w:hint="eastAsia" w:ascii="宋体" w:hAnsi="宋体"/>
          <w:color w:val="auto"/>
          <w:kern w:val="0"/>
          <w:sz w:val="28"/>
          <w:szCs w:val="28"/>
        </w:rPr>
        <w:t>c宗教场所。包括：专门用于宗教活动的庙宇、寺院、道馆、教堂等场所。</w:t>
      </w:r>
    </w:p>
    <w:p>
      <w:pPr>
        <w:spacing w:line="540" w:lineRule="exact"/>
        <w:ind w:firstLine="560"/>
        <w:rPr>
          <w:rFonts w:ascii="宋体" w:hAnsi="宋体"/>
          <w:color w:val="auto"/>
          <w:kern w:val="0"/>
          <w:sz w:val="28"/>
          <w:szCs w:val="28"/>
        </w:rPr>
      </w:pPr>
      <w:r>
        <w:rPr>
          <w:rFonts w:hint="eastAsia" w:ascii="宋体" w:hAnsi="宋体"/>
          <w:color w:val="auto"/>
          <w:kern w:val="0"/>
          <w:sz w:val="28"/>
          <w:szCs w:val="28"/>
        </w:rPr>
        <w:t>d城市轨道交通设施。包括独立地段的城市轨道交通地面以上部分的线路、站点。</w:t>
      </w:r>
    </w:p>
    <w:p>
      <w:pPr>
        <w:spacing w:line="540" w:lineRule="exact"/>
        <w:ind w:firstLine="560"/>
        <w:rPr>
          <w:rFonts w:ascii="宋体" w:hAnsi="宋体"/>
          <w:color w:val="auto"/>
          <w:kern w:val="0"/>
          <w:sz w:val="28"/>
          <w:szCs w:val="28"/>
        </w:rPr>
      </w:pPr>
      <w:r>
        <w:rPr>
          <w:rFonts w:hint="eastAsia" w:ascii="宋体" w:hAnsi="宋体"/>
          <w:color w:val="auto"/>
          <w:kern w:val="0"/>
          <w:sz w:val="28"/>
          <w:szCs w:val="28"/>
        </w:rPr>
        <w:t>e军事、安保设施。包括：专门用于军事目的的设施，监狱、拘留所设施。</w:t>
      </w:r>
    </w:p>
    <w:p>
      <w:pPr>
        <w:spacing w:line="540" w:lineRule="exact"/>
        <w:ind w:firstLine="560"/>
        <w:rPr>
          <w:rFonts w:ascii="宋体" w:hAnsi="宋体"/>
          <w:color w:val="auto"/>
          <w:kern w:val="0"/>
          <w:sz w:val="28"/>
          <w:szCs w:val="28"/>
        </w:rPr>
      </w:pPr>
      <w:r>
        <w:rPr>
          <w:rFonts w:hint="eastAsia" w:ascii="宋体" w:hAnsi="宋体"/>
          <w:color w:val="auto"/>
          <w:kern w:val="0"/>
          <w:sz w:val="28"/>
          <w:szCs w:val="28"/>
        </w:rPr>
        <w:t>f外事场所。包括：外国政府及国际组织驻华使领馆、办事处等。</w:t>
      </w:r>
    </w:p>
    <w:p>
      <w:pPr>
        <w:spacing w:line="540" w:lineRule="exact"/>
        <w:ind w:firstLine="560"/>
        <w:rPr>
          <w:rFonts w:ascii="宋体" w:hAnsi="宋体"/>
          <w:color w:val="auto"/>
          <w:kern w:val="0"/>
          <w:sz w:val="28"/>
          <w:szCs w:val="28"/>
        </w:rPr>
      </w:pPr>
      <w:r>
        <w:rPr>
          <w:rFonts w:hint="eastAsia" w:ascii="宋体" w:hAnsi="宋体"/>
          <w:color w:val="auto"/>
          <w:kern w:val="0"/>
          <w:sz w:val="28"/>
          <w:szCs w:val="28"/>
        </w:rPr>
        <w:t>g其他具有保护价值的或事故情景下不便撤离的场所。</w:t>
      </w:r>
    </w:p>
    <w:p>
      <w:pPr>
        <w:spacing w:line="540" w:lineRule="exact"/>
        <w:ind w:firstLine="560"/>
        <w:rPr>
          <w:rFonts w:ascii="宋体" w:hAnsi="宋体"/>
          <w:color w:val="auto"/>
          <w:kern w:val="0"/>
          <w:sz w:val="28"/>
          <w:szCs w:val="28"/>
        </w:rPr>
      </w:pPr>
      <w:r>
        <w:rPr>
          <w:rFonts w:hint="eastAsia" w:ascii="宋体" w:hAnsi="宋体"/>
          <w:color w:val="auto"/>
          <w:kern w:val="0"/>
          <w:sz w:val="28"/>
          <w:szCs w:val="28"/>
        </w:rPr>
        <w:t>3）一般防护目标根据其规模分为一类防护目标、二类防护目标和三类防护目标。一般防护目标的分类规定参见表1</w:t>
      </w:r>
    </w:p>
    <w:p>
      <w:pPr>
        <w:jc w:val="center"/>
        <w:rPr>
          <w:rFonts w:ascii="宋体" w:hAnsi="宋体"/>
          <w:color w:val="auto"/>
          <w:kern w:val="0"/>
          <w:szCs w:val="21"/>
        </w:rPr>
      </w:pPr>
      <w:r>
        <w:rPr>
          <w:rFonts w:hint="eastAsia" w:ascii="宋体" w:hAnsi="宋体"/>
          <w:color w:val="auto"/>
          <w:kern w:val="0"/>
          <w:szCs w:val="21"/>
        </w:rPr>
        <w:t>表3.</w:t>
      </w:r>
      <w:r>
        <w:rPr>
          <w:rFonts w:hint="eastAsia" w:ascii="宋体" w:hAnsi="宋体"/>
          <w:color w:val="auto"/>
          <w:kern w:val="0"/>
          <w:szCs w:val="21"/>
          <w:lang w:val="en-US" w:eastAsia="zh-CN"/>
        </w:rPr>
        <w:t>8</w:t>
      </w:r>
      <w:r>
        <w:rPr>
          <w:rFonts w:hint="eastAsia" w:ascii="宋体" w:hAnsi="宋体"/>
          <w:color w:val="auto"/>
          <w:kern w:val="0"/>
          <w:szCs w:val="21"/>
        </w:rPr>
        <w:t>-1 一般防护目标的分类</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9"/>
        <w:gridCol w:w="1843"/>
        <w:gridCol w:w="1741"/>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int="eastAsia" w:hAnsi="宋体"/>
                <w:color w:val="auto"/>
                <w:kern w:val="0"/>
                <w:sz w:val="21"/>
                <w:szCs w:val="21"/>
              </w:rPr>
              <w:t>防护目标类型</w:t>
            </w:r>
          </w:p>
        </w:tc>
        <w:tc>
          <w:tcPr>
            <w:tcW w:w="184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int="eastAsia" w:hAnsi="宋体"/>
                <w:color w:val="auto"/>
                <w:kern w:val="0"/>
                <w:sz w:val="21"/>
                <w:szCs w:val="21"/>
              </w:rPr>
              <w:t>一类防护目标</w:t>
            </w:r>
          </w:p>
        </w:tc>
        <w:tc>
          <w:tcPr>
            <w:tcW w:w="1741"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color w:val="auto"/>
                <w:sz w:val="21"/>
                <w:szCs w:val="21"/>
              </w:rPr>
            </w:pPr>
            <w:r>
              <w:rPr>
                <w:rFonts w:hint="eastAsia" w:hAnsi="宋体"/>
                <w:color w:val="auto"/>
                <w:kern w:val="0"/>
                <w:sz w:val="21"/>
                <w:szCs w:val="21"/>
              </w:rPr>
              <w:t>二类防护目标</w:t>
            </w:r>
          </w:p>
        </w:tc>
        <w:tc>
          <w:tcPr>
            <w:tcW w:w="148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color w:val="auto"/>
                <w:sz w:val="21"/>
                <w:szCs w:val="21"/>
              </w:rPr>
            </w:pPr>
            <w:r>
              <w:rPr>
                <w:rFonts w:hint="eastAsia" w:hAnsi="宋体"/>
                <w:color w:val="auto"/>
                <w:kern w:val="0"/>
                <w:sz w:val="21"/>
                <w:szCs w:val="21"/>
              </w:rPr>
              <w:t>三类防护目标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住宅及相应服务设施</w:t>
            </w:r>
          </w:p>
          <w:p>
            <w:pPr>
              <w:spacing w:line="240" w:lineRule="auto"/>
              <w:rPr>
                <w:rFonts w:ascii="宋体" w:hAnsi="宋体"/>
                <w:color w:val="auto"/>
                <w:kern w:val="0"/>
                <w:sz w:val="21"/>
                <w:szCs w:val="21"/>
              </w:rPr>
            </w:pPr>
            <w:r>
              <w:rPr>
                <w:rFonts w:hint="eastAsia" w:ascii="宋体" w:hAnsi="宋体"/>
                <w:color w:val="auto"/>
                <w:kern w:val="0"/>
                <w:sz w:val="21"/>
                <w:szCs w:val="21"/>
              </w:rPr>
              <w:t>住宅包括：农村居民点、底层住区、中层和高层住宅建筑等；</w:t>
            </w:r>
          </w:p>
          <w:p>
            <w:pPr>
              <w:spacing w:line="240" w:lineRule="auto"/>
              <w:rPr>
                <w:rFonts w:ascii="宋体" w:hAnsi="宋体"/>
                <w:color w:val="auto"/>
                <w:kern w:val="0"/>
                <w:sz w:val="21"/>
                <w:szCs w:val="21"/>
              </w:rPr>
            </w:pPr>
            <w:r>
              <w:rPr>
                <w:rFonts w:hint="eastAsia" w:ascii="宋体" w:hAnsi="宋体"/>
                <w:color w:val="auto"/>
                <w:kern w:val="0"/>
                <w:sz w:val="21"/>
                <w:szCs w:val="21"/>
              </w:rPr>
              <w:t>相应服务设施包括：居住小区及小区级以下的由头、文化、体育、商业、卫生服务、养老助残设施，不包括中小学</w:t>
            </w:r>
          </w:p>
        </w:tc>
        <w:tc>
          <w:tcPr>
            <w:tcW w:w="184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居住户数30户以上或者居住人数100人以上</w:t>
            </w:r>
          </w:p>
        </w:tc>
        <w:tc>
          <w:tcPr>
            <w:tcW w:w="1741"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sz w:val="21"/>
                <w:szCs w:val="21"/>
              </w:rPr>
            </w:pPr>
            <w:r>
              <w:rPr>
                <w:rFonts w:hint="eastAsia" w:ascii="宋体" w:hAnsi="宋体"/>
                <w:color w:val="auto"/>
                <w:kern w:val="0"/>
                <w:sz w:val="21"/>
                <w:szCs w:val="21"/>
              </w:rPr>
              <w:t>居住户数10户以上30户以下或者居住人数30人以上100人以下</w:t>
            </w:r>
          </w:p>
        </w:tc>
        <w:tc>
          <w:tcPr>
            <w:tcW w:w="148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sz w:val="21"/>
                <w:szCs w:val="21"/>
              </w:rPr>
            </w:pPr>
            <w:r>
              <w:rPr>
                <w:rFonts w:hint="eastAsia" w:ascii="宋体" w:hAnsi="宋体"/>
                <w:color w:val="auto"/>
                <w:kern w:val="0"/>
                <w:sz w:val="21"/>
                <w:szCs w:val="21"/>
              </w:rPr>
              <w:t>居住户数10户以下或者居住人数30人以下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int="eastAsia" w:hAnsi="宋体"/>
                <w:color w:val="auto"/>
                <w:kern w:val="0"/>
                <w:sz w:val="21"/>
                <w:szCs w:val="21"/>
              </w:rPr>
              <w:t>行政办公设施</w:t>
            </w:r>
          </w:p>
          <w:p>
            <w:pPr>
              <w:spacing w:line="240" w:lineRule="auto"/>
              <w:rPr>
                <w:rFonts w:hAnsi="宋体"/>
                <w:color w:val="auto"/>
                <w:kern w:val="0"/>
                <w:sz w:val="21"/>
                <w:szCs w:val="21"/>
              </w:rPr>
            </w:pPr>
            <w:r>
              <w:rPr>
                <w:rFonts w:hint="eastAsia" w:hAnsi="宋体"/>
                <w:color w:val="auto"/>
                <w:kern w:val="0"/>
                <w:sz w:val="21"/>
                <w:szCs w:val="21"/>
              </w:rPr>
              <w:t>包括：党政机关、社会团体、科研、事业单位等办公楼及其相关设施</w:t>
            </w:r>
          </w:p>
        </w:tc>
        <w:tc>
          <w:tcPr>
            <w:tcW w:w="184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int="eastAsia" w:hAnsi="宋体"/>
                <w:color w:val="auto"/>
                <w:kern w:val="0"/>
                <w:sz w:val="21"/>
                <w:szCs w:val="21"/>
              </w:rPr>
              <w:t>县级以上党政机关以及其他办公人数</w:t>
            </w:r>
            <w:r>
              <w:rPr>
                <w:rFonts w:hAnsi="宋体"/>
                <w:color w:val="auto"/>
                <w:kern w:val="0"/>
                <w:sz w:val="21"/>
                <w:szCs w:val="21"/>
              </w:rPr>
              <w:t>100</w:t>
            </w:r>
            <w:r>
              <w:rPr>
                <w:rFonts w:hint="eastAsia" w:hAnsi="宋体"/>
                <w:color w:val="auto"/>
                <w:kern w:val="0"/>
                <w:sz w:val="21"/>
                <w:szCs w:val="21"/>
              </w:rPr>
              <w:t>人以上的行政办公建筑</w:t>
            </w:r>
          </w:p>
        </w:tc>
        <w:tc>
          <w:tcPr>
            <w:tcW w:w="1741"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int="eastAsia" w:hAnsi="宋体"/>
                <w:color w:val="auto"/>
                <w:kern w:val="0"/>
                <w:sz w:val="21"/>
                <w:szCs w:val="21"/>
              </w:rPr>
              <w:t>办公人数</w:t>
            </w:r>
            <w:r>
              <w:rPr>
                <w:rFonts w:hAnsi="宋体"/>
                <w:color w:val="auto"/>
                <w:kern w:val="0"/>
                <w:sz w:val="21"/>
                <w:szCs w:val="21"/>
              </w:rPr>
              <w:t>100</w:t>
            </w:r>
            <w:r>
              <w:rPr>
                <w:rFonts w:hint="eastAsia" w:hAnsi="宋体"/>
                <w:color w:val="auto"/>
                <w:kern w:val="0"/>
                <w:sz w:val="21"/>
                <w:szCs w:val="21"/>
              </w:rPr>
              <w:t>人以下的行政办公建筑</w:t>
            </w:r>
          </w:p>
        </w:tc>
        <w:tc>
          <w:tcPr>
            <w:tcW w:w="148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体育场馆</w:t>
            </w:r>
          </w:p>
          <w:p>
            <w:pPr>
              <w:spacing w:line="240" w:lineRule="auto"/>
              <w:rPr>
                <w:rFonts w:ascii="宋体" w:hAnsi="宋体"/>
                <w:color w:val="auto"/>
                <w:kern w:val="0"/>
                <w:sz w:val="21"/>
                <w:szCs w:val="21"/>
              </w:rPr>
            </w:pPr>
            <w:r>
              <w:rPr>
                <w:rFonts w:hint="eastAsia" w:ascii="宋体" w:hAnsi="宋体"/>
                <w:color w:val="auto"/>
                <w:kern w:val="0"/>
                <w:sz w:val="21"/>
                <w:szCs w:val="21"/>
              </w:rPr>
              <w:t>不包括：学校等机构专用的体育设施</w:t>
            </w:r>
          </w:p>
        </w:tc>
        <w:tc>
          <w:tcPr>
            <w:tcW w:w="184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总建筑面积5000m</w:t>
            </w:r>
            <w:r>
              <w:rPr>
                <w:rFonts w:hint="eastAsia" w:ascii="宋体" w:hAnsi="宋体"/>
                <w:color w:val="auto"/>
                <w:kern w:val="0"/>
                <w:sz w:val="21"/>
                <w:szCs w:val="21"/>
                <w:vertAlign w:val="superscript"/>
              </w:rPr>
              <w:t>2</w:t>
            </w:r>
            <w:r>
              <w:rPr>
                <w:rFonts w:hint="eastAsia" w:ascii="宋体" w:hAnsi="宋体"/>
                <w:color w:val="auto"/>
                <w:kern w:val="0"/>
                <w:sz w:val="21"/>
                <w:szCs w:val="21"/>
              </w:rPr>
              <w:t>以上的</w:t>
            </w:r>
          </w:p>
        </w:tc>
        <w:tc>
          <w:tcPr>
            <w:tcW w:w="1741"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总建筑面积5000m</w:t>
            </w:r>
            <w:r>
              <w:rPr>
                <w:rFonts w:hint="eastAsia" w:ascii="宋体" w:hAnsi="宋体"/>
                <w:color w:val="auto"/>
                <w:kern w:val="0"/>
                <w:sz w:val="21"/>
                <w:szCs w:val="21"/>
                <w:vertAlign w:val="superscript"/>
              </w:rPr>
              <w:t>2</w:t>
            </w:r>
            <w:r>
              <w:rPr>
                <w:rFonts w:hint="eastAsia" w:ascii="宋体" w:hAnsi="宋体"/>
                <w:color w:val="auto"/>
                <w:kern w:val="0"/>
                <w:sz w:val="21"/>
                <w:szCs w:val="21"/>
              </w:rPr>
              <w:t>以下的</w:t>
            </w:r>
          </w:p>
        </w:tc>
        <w:tc>
          <w:tcPr>
            <w:tcW w:w="148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商业、餐饮等综合性商业服务建筑</w:t>
            </w:r>
          </w:p>
          <w:p>
            <w:pPr>
              <w:spacing w:line="240" w:lineRule="auto"/>
              <w:rPr>
                <w:rFonts w:ascii="宋体" w:hAnsi="宋体"/>
                <w:color w:val="auto"/>
                <w:kern w:val="0"/>
                <w:sz w:val="21"/>
                <w:szCs w:val="21"/>
              </w:rPr>
            </w:pPr>
            <w:r>
              <w:rPr>
                <w:rFonts w:hint="eastAsia" w:ascii="宋体" w:hAnsi="宋体"/>
                <w:color w:val="auto"/>
                <w:kern w:val="0"/>
                <w:sz w:val="21"/>
                <w:szCs w:val="21"/>
              </w:rPr>
              <w:t>包括：以零售功能为主的商铺、商场、超市、市场类商业建筑或场所；以批发功能为主的农贸市场；饭店、餐馆、酒吧等餐饮业场所或建筑</w:t>
            </w:r>
          </w:p>
        </w:tc>
        <w:tc>
          <w:tcPr>
            <w:tcW w:w="184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总建筑面积5000m</w:t>
            </w:r>
            <w:r>
              <w:rPr>
                <w:rFonts w:hint="eastAsia" w:ascii="宋体" w:hAnsi="宋体"/>
                <w:color w:val="auto"/>
                <w:kern w:val="0"/>
                <w:sz w:val="21"/>
                <w:szCs w:val="21"/>
                <w:vertAlign w:val="superscript"/>
              </w:rPr>
              <w:t>2</w:t>
            </w:r>
            <w:r>
              <w:rPr>
                <w:rFonts w:hint="eastAsia" w:ascii="宋体" w:hAnsi="宋体"/>
                <w:color w:val="auto"/>
                <w:kern w:val="0"/>
                <w:sz w:val="21"/>
                <w:szCs w:val="21"/>
              </w:rPr>
              <w:t>以上的，或高峰时300人以上的露天场所</w:t>
            </w:r>
          </w:p>
        </w:tc>
        <w:tc>
          <w:tcPr>
            <w:tcW w:w="1741"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总建筑面积1500m</w:t>
            </w:r>
            <w:r>
              <w:rPr>
                <w:rFonts w:hint="eastAsia" w:ascii="宋体" w:hAnsi="宋体"/>
                <w:color w:val="auto"/>
                <w:kern w:val="0"/>
                <w:sz w:val="21"/>
                <w:szCs w:val="21"/>
                <w:vertAlign w:val="superscript"/>
              </w:rPr>
              <w:t>2</w:t>
            </w:r>
            <w:r>
              <w:rPr>
                <w:rFonts w:hint="eastAsia" w:ascii="宋体" w:hAnsi="宋体"/>
                <w:color w:val="auto"/>
                <w:kern w:val="0"/>
                <w:sz w:val="21"/>
                <w:szCs w:val="21"/>
              </w:rPr>
              <w:t>以上的5000m</w:t>
            </w:r>
            <w:r>
              <w:rPr>
                <w:rFonts w:hint="eastAsia" w:ascii="宋体" w:hAnsi="宋体"/>
                <w:color w:val="auto"/>
                <w:kern w:val="0"/>
                <w:sz w:val="21"/>
                <w:szCs w:val="21"/>
                <w:vertAlign w:val="superscript"/>
              </w:rPr>
              <w:t>2</w:t>
            </w:r>
            <w:r>
              <w:rPr>
                <w:rFonts w:hint="eastAsia" w:ascii="宋体" w:hAnsi="宋体"/>
                <w:color w:val="auto"/>
                <w:kern w:val="0"/>
                <w:sz w:val="21"/>
                <w:szCs w:val="21"/>
              </w:rPr>
              <w:t>以下的建筑，或高峰时100人以上300人以下的露天场所</w:t>
            </w:r>
          </w:p>
        </w:tc>
        <w:tc>
          <w:tcPr>
            <w:tcW w:w="148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总建筑面积1500m</w:t>
            </w:r>
            <w:r>
              <w:rPr>
                <w:rFonts w:hint="eastAsia" w:ascii="宋体" w:hAnsi="宋体"/>
                <w:color w:val="auto"/>
                <w:kern w:val="0"/>
                <w:sz w:val="21"/>
                <w:szCs w:val="21"/>
                <w:vertAlign w:val="superscript"/>
              </w:rPr>
              <w:t>2</w:t>
            </w:r>
            <w:r>
              <w:rPr>
                <w:rFonts w:hint="eastAsia" w:ascii="宋体" w:hAnsi="宋体"/>
                <w:color w:val="auto"/>
                <w:kern w:val="0"/>
                <w:sz w:val="21"/>
                <w:szCs w:val="21"/>
              </w:rPr>
              <w:t>以下的建筑，或高峰时100以下的露天场所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旅馆住宿业建筑</w:t>
            </w:r>
          </w:p>
          <w:p>
            <w:pPr>
              <w:spacing w:line="240" w:lineRule="auto"/>
              <w:rPr>
                <w:rFonts w:ascii="宋体" w:hAnsi="宋体"/>
                <w:color w:val="auto"/>
                <w:kern w:val="0"/>
                <w:sz w:val="21"/>
                <w:szCs w:val="21"/>
              </w:rPr>
            </w:pPr>
            <w:r>
              <w:rPr>
                <w:rFonts w:hint="eastAsia" w:ascii="宋体" w:hAnsi="宋体"/>
                <w:color w:val="auto"/>
                <w:kern w:val="0"/>
                <w:sz w:val="21"/>
                <w:szCs w:val="21"/>
              </w:rPr>
              <w:t>包括：宾馆、旅馆、招待所、防务新公寓、度假村等建筑</w:t>
            </w:r>
          </w:p>
        </w:tc>
        <w:tc>
          <w:tcPr>
            <w:tcW w:w="184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床位数100张以上</w:t>
            </w:r>
          </w:p>
        </w:tc>
        <w:tc>
          <w:tcPr>
            <w:tcW w:w="1741"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床位数100张以下</w:t>
            </w:r>
          </w:p>
        </w:tc>
        <w:tc>
          <w:tcPr>
            <w:tcW w:w="148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金融保险、艺术传媒、技术服务等综合性商务办公建筑</w:t>
            </w:r>
          </w:p>
        </w:tc>
        <w:tc>
          <w:tcPr>
            <w:tcW w:w="184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总建筑面积5000m</w:t>
            </w:r>
            <w:r>
              <w:rPr>
                <w:rFonts w:hint="eastAsia" w:ascii="宋体" w:hAnsi="宋体"/>
                <w:color w:val="auto"/>
                <w:kern w:val="0"/>
                <w:sz w:val="21"/>
                <w:szCs w:val="21"/>
                <w:vertAlign w:val="superscript"/>
              </w:rPr>
              <w:t>2</w:t>
            </w:r>
            <w:r>
              <w:rPr>
                <w:rFonts w:hint="eastAsia" w:ascii="宋体" w:hAnsi="宋体"/>
                <w:color w:val="auto"/>
                <w:kern w:val="0"/>
                <w:sz w:val="21"/>
                <w:szCs w:val="21"/>
              </w:rPr>
              <w:t>以上的</w:t>
            </w:r>
          </w:p>
        </w:tc>
        <w:tc>
          <w:tcPr>
            <w:tcW w:w="1741"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总建筑面积1500m</w:t>
            </w:r>
            <w:r>
              <w:rPr>
                <w:rFonts w:hint="eastAsia" w:ascii="宋体" w:hAnsi="宋体"/>
                <w:color w:val="auto"/>
                <w:kern w:val="0"/>
                <w:sz w:val="21"/>
                <w:szCs w:val="21"/>
                <w:vertAlign w:val="superscript"/>
              </w:rPr>
              <w:t>2</w:t>
            </w:r>
            <w:r>
              <w:rPr>
                <w:rFonts w:hint="eastAsia" w:ascii="宋体" w:hAnsi="宋体"/>
                <w:color w:val="auto"/>
                <w:kern w:val="0"/>
                <w:sz w:val="21"/>
                <w:szCs w:val="21"/>
              </w:rPr>
              <w:t>以上5000m</w:t>
            </w:r>
            <w:r>
              <w:rPr>
                <w:rFonts w:hint="eastAsia" w:ascii="宋体" w:hAnsi="宋体"/>
                <w:color w:val="auto"/>
                <w:kern w:val="0"/>
                <w:sz w:val="21"/>
                <w:szCs w:val="21"/>
                <w:vertAlign w:val="superscript"/>
              </w:rPr>
              <w:t>2</w:t>
            </w:r>
            <w:r>
              <w:rPr>
                <w:rFonts w:hint="eastAsia" w:ascii="宋体" w:hAnsi="宋体"/>
                <w:color w:val="auto"/>
                <w:kern w:val="0"/>
                <w:sz w:val="21"/>
                <w:szCs w:val="21"/>
              </w:rPr>
              <w:t>以下的</w:t>
            </w:r>
          </w:p>
        </w:tc>
        <w:tc>
          <w:tcPr>
            <w:tcW w:w="148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总建筑面积1500m</w:t>
            </w:r>
            <w:r>
              <w:rPr>
                <w:rFonts w:hint="eastAsia" w:ascii="宋体" w:hAnsi="宋体"/>
                <w:color w:val="auto"/>
                <w:kern w:val="0"/>
                <w:sz w:val="21"/>
                <w:szCs w:val="21"/>
                <w:vertAlign w:val="superscript"/>
              </w:rPr>
              <w:t>2</w:t>
            </w:r>
            <w:r>
              <w:rPr>
                <w:rFonts w:hint="eastAsia" w:ascii="宋体" w:hAnsi="宋体"/>
                <w:color w:val="auto"/>
                <w:kern w:val="0"/>
                <w:sz w:val="21"/>
                <w:szCs w:val="21"/>
              </w:rPr>
              <w:t>以下的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娱乐、康体类建筑或场所</w:t>
            </w:r>
          </w:p>
          <w:p>
            <w:pPr>
              <w:spacing w:line="240" w:lineRule="auto"/>
              <w:rPr>
                <w:rFonts w:ascii="宋体" w:hAnsi="宋体"/>
                <w:color w:val="auto"/>
                <w:kern w:val="0"/>
                <w:sz w:val="21"/>
                <w:szCs w:val="21"/>
              </w:rPr>
            </w:pPr>
            <w:r>
              <w:rPr>
                <w:rFonts w:hint="eastAsia" w:ascii="宋体" w:hAnsi="宋体"/>
                <w:color w:val="auto"/>
                <w:kern w:val="0"/>
                <w:sz w:val="21"/>
                <w:szCs w:val="21"/>
              </w:rPr>
              <w:t>包括：剧院、音乐厅、歌舞厅、网吧以及大型游乐等娱乐场所建筑；</w:t>
            </w:r>
          </w:p>
          <w:p>
            <w:pPr>
              <w:spacing w:line="240" w:lineRule="auto"/>
              <w:rPr>
                <w:rFonts w:ascii="宋体" w:hAnsi="宋体"/>
                <w:color w:val="auto"/>
                <w:kern w:val="0"/>
                <w:sz w:val="21"/>
                <w:szCs w:val="21"/>
              </w:rPr>
            </w:pPr>
            <w:r>
              <w:rPr>
                <w:rFonts w:hint="eastAsia" w:ascii="宋体" w:hAnsi="宋体"/>
                <w:color w:val="auto"/>
                <w:kern w:val="0"/>
                <w:sz w:val="21"/>
                <w:szCs w:val="21"/>
              </w:rPr>
              <w:t>赛马场、高尔夫、溜冰场、跳伞场、摩托车场、射击场等康体场所</w:t>
            </w:r>
          </w:p>
        </w:tc>
        <w:tc>
          <w:tcPr>
            <w:tcW w:w="184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总建筑面积3000m</w:t>
            </w:r>
            <w:r>
              <w:rPr>
                <w:rFonts w:hint="eastAsia" w:ascii="宋体" w:hAnsi="宋体"/>
                <w:color w:val="auto"/>
                <w:kern w:val="0"/>
                <w:sz w:val="21"/>
                <w:szCs w:val="21"/>
                <w:vertAlign w:val="superscript"/>
              </w:rPr>
              <w:t>2</w:t>
            </w:r>
            <w:r>
              <w:rPr>
                <w:rFonts w:hint="eastAsia" w:ascii="宋体" w:hAnsi="宋体"/>
                <w:color w:val="auto"/>
                <w:kern w:val="0"/>
                <w:sz w:val="21"/>
                <w:szCs w:val="21"/>
              </w:rPr>
              <w:t>以上的，或高峰时100人以上的露天场所</w:t>
            </w:r>
          </w:p>
        </w:tc>
        <w:tc>
          <w:tcPr>
            <w:tcW w:w="1741"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总建筑面积3000m</w:t>
            </w:r>
            <w:r>
              <w:rPr>
                <w:rFonts w:hint="eastAsia" w:ascii="宋体" w:hAnsi="宋体"/>
                <w:color w:val="auto"/>
                <w:kern w:val="0"/>
                <w:sz w:val="21"/>
                <w:szCs w:val="21"/>
                <w:vertAlign w:val="superscript"/>
              </w:rPr>
              <w:t>2</w:t>
            </w:r>
            <w:r>
              <w:rPr>
                <w:rFonts w:hint="eastAsia" w:ascii="宋体" w:hAnsi="宋体"/>
                <w:color w:val="auto"/>
                <w:kern w:val="0"/>
                <w:sz w:val="21"/>
                <w:szCs w:val="21"/>
              </w:rPr>
              <w:t>以下的建筑，或高峰时100人以下的露天场所</w:t>
            </w:r>
          </w:p>
        </w:tc>
        <w:tc>
          <w:tcPr>
            <w:tcW w:w="148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公共设施营业网点</w:t>
            </w:r>
          </w:p>
        </w:tc>
        <w:tc>
          <w:tcPr>
            <w:tcW w:w="184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p>
        </w:tc>
        <w:tc>
          <w:tcPr>
            <w:tcW w:w="1741"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其他公用设施营业网点。包括电信、邮政、供水、燃气、供电、供热等其他公用设施营业网点</w:t>
            </w:r>
          </w:p>
        </w:tc>
        <w:tc>
          <w:tcPr>
            <w:tcW w:w="148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加油加气站营业网点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其他非危险化学品工业企业</w:t>
            </w:r>
          </w:p>
        </w:tc>
        <w:tc>
          <w:tcPr>
            <w:tcW w:w="184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p>
        </w:tc>
        <w:tc>
          <w:tcPr>
            <w:tcW w:w="1741"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企业当班人数100人以上的建筑</w:t>
            </w:r>
          </w:p>
        </w:tc>
        <w:tc>
          <w:tcPr>
            <w:tcW w:w="148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企业当班人数100人以下的建筑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交通枢纽设施</w:t>
            </w:r>
          </w:p>
          <w:p>
            <w:pPr>
              <w:spacing w:line="240" w:lineRule="auto"/>
              <w:rPr>
                <w:rFonts w:ascii="宋体" w:hAnsi="宋体"/>
                <w:color w:val="auto"/>
                <w:kern w:val="0"/>
                <w:sz w:val="21"/>
                <w:szCs w:val="21"/>
              </w:rPr>
            </w:pPr>
            <w:r>
              <w:rPr>
                <w:rFonts w:hint="eastAsia" w:ascii="宋体" w:hAnsi="宋体"/>
                <w:color w:val="auto"/>
                <w:kern w:val="0"/>
                <w:sz w:val="21"/>
                <w:szCs w:val="21"/>
              </w:rPr>
              <w:t>包括：铁路客运站、公路长途客运站、港口客运码头、机场、交通服务设施（不包括交通指挥中心、交通队）等</w:t>
            </w:r>
          </w:p>
        </w:tc>
        <w:tc>
          <w:tcPr>
            <w:tcW w:w="184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旅客最高聚集人数100人以上</w:t>
            </w:r>
          </w:p>
        </w:tc>
        <w:tc>
          <w:tcPr>
            <w:tcW w:w="1741"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旅客最高聚集人数100人以下</w:t>
            </w:r>
          </w:p>
        </w:tc>
        <w:tc>
          <w:tcPr>
            <w:tcW w:w="148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城镇公园广场</w:t>
            </w:r>
          </w:p>
        </w:tc>
        <w:tc>
          <w:tcPr>
            <w:tcW w:w="184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总占地面积5000m</w:t>
            </w:r>
            <w:r>
              <w:rPr>
                <w:rFonts w:hint="eastAsia" w:ascii="宋体" w:hAnsi="宋体"/>
                <w:color w:val="auto"/>
                <w:kern w:val="0"/>
                <w:sz w:val="21"/>
                <w:szCs w:val="21"/>
                <w:vertAlign w:val="superscript"/>
              </w:rPr>
              <w:t>2</w:t>
            </w:r>
            <w:r>
              <w:rPr>
                <w:rFonts w:hint="eastAsia" w:ascii="宋体" w:hAnsi="宋体"/>
                <w:color w:val="auto"/>
                <w:kern w:val="0"/>
                <w:sz w:val="21"/>
                <w:szCs w:val="21"/>
              </w:rPr>
              <w:t>以上</w:t>
            </w:r>
          </w:p>
        </w:tc>
        <w:tc>
          <w:tcPr>
            <w:tcW w:w="1741"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总占地面积1500m</w:t>
            </w:r>
            <w:r>
              <w:rPr>
                <w:rFonts w:hint="eastAsia" w:ascii="宋体" w:hAnsi="宋体"/>
                <w:color w:val="auto"/>
                <w:kern w:val="0"/>
                <w:sz w:val="21"/>
                <w:szCs w:val="21"/>
                <w:vertAlign w:val="superscript"/>
              </w:rPr>
              <w:t>2</w:t>
            </w:r>
            <w:r>
              <w:rPr>
                <w:rFonts w:hint="eastAsia" w:ascii="宋体" w:hAnsi="宋体"/>
                <w:color w:val="auto"/>
                <w:kern w:val="0"/>
                <w:sz w:val="21"/>
                <w:szCs w:val="21"/>
              </w:rPr>
              <w:t>以上5000m</w:t>
            </w:r>
            <w:r>
              <w:rPr>
                <w:rFonts w:hint="eastAsia" w:ascii="宋体" w:hAnsi="宋体"/>
                <w:color w:val="auto"/>
                <w:kern w:val="0"/>
                <w:sz w:val="21"/>
                <w:szCs w:val="21"/>
                <w:vertAlign w:val="superscript"/>
              </w:rPr>
              <w:t>2</w:t>
            </w:r>
            <w:r>
              <w:rPr>
                <w:rFonts w:hint="eastAsia" w:ascii="宋体" w:hAnsi="宋体"/>
                <w:color w:val="auto"/>
                <w:kern w:val="0"/>
                <w:sz w:val="21"/>
                <w:szCs w:val="21"/>
              </w:rPr>
              <w:t>以下的</w:t>
            </w:r>
          </w:p>
        </w:tc>
        <w:tc>
          <w:tcPr>
            <w:tcW w:w="148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总占地面积1500m</w:t>
            </w:r>
            <w:r>
              <w:rPr>
                <w:rFonts w:hint="eastAsia" w:ascii="宋体" w:hAnsi="宋体"/>
                <w:color w:val="auto"/>
                <w:kern w:val="0"/>
                <w:sz w:val="21"/>
                <w:szCs w:val="21"/>
                <w:vertAlign w:val="superscript"/>
              </w:rPr>
              <w:t>2</w:t>
            </w:r>
            <w:r>
              <w:rPr>
                <w:rFonts w:hint="eastAsia" w:ascii="宋体" w:hAnsi="宋体"/>
                <w:color w:val="auto"/>
                <w:kern w:val="0"/>
                <w:sz w:val="21"/>
                <w:szCs w:val="21"/>
              </w:rPr>
              <w:t>以下的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4"/>
            <w:tcBorders>
              <w:top w:val="single" w:color="auto" w:sz="4" w:space="0"/>
              <w:left w:val="single" w:color="auto" w:sz="4" w:space="0"/>
              <w:bottom w:val="single" w:color="auto" w:sz="4" w:space="0"/>
              <w:right w:val="single" w:color="auto" w:sz="4" w:space="0"/>
            </w:tcBorders>
            <w:noWrap w:val="0"/>
            <w:vAlign w:val="top"/>
          </w:tcPr>
          <w:p>
            <w:pPr>
              <w:spacing w:line="240" w:lineRule="auto"/>
              <w:rPr>
                <w:rFonts w:ascii="宋体" w:hAnsi="宋体"/>
                <w:color w:val="auto"/>
                <w:kern w:val="0"/>
                <w:sz w:val="21"/>
                <w:szCs w:val="21"/>
              </w:rPr>
            </w:pPr>
            <w:r>
              <w:rPr>
                <w:rFonts w:hint="eastAsia" w:ascii="宋体" w:hAnsi="宋体"/>
                <w:color w:val="auto"/>
                <w:kern w:val="0"/>
                <w:sz w:val="21"/>
                <w:szCs w:val="21"/>
              </w:rPr>
              <w:t>注1：底层建筑（一层至三层住宅）为主的农村居民点、低层住区以整体为单元进行规模核算，中层（四层至六层住宅）及以上建筑以单栋建筑为单元进行规模核算。其他防护目标未单独说明的，以独立建筑为目标进行分类；</w:t>
            </w:r>
          </w:p>
          <w:p>
            <w:pPr>
              <w:spacing w:line="240" w:lineRule="auto"/>
              <w:rPr>
                <w:rFonts w:ascii="宋体" w:hAnsi="宋体"/>
                <w:color w:val="auto"/>
                <w:kern w:val="0"/>
                <w:sz w:val="21"/>
                <w:szCs w:val="21"/>
              </w:rPr>
            </w:pPr>
            <w:r>
              <w:rPr>
                <w:rFonts w:hint="eastAsia" w:ascii="宋体" w:hAnsi="宋体"/>
                <w:color w:val="auto"/>
                <w:kern w:val="0"/>
                <w:sz w:val="21"/>
                <w:szCs w:val="21"/>
              </w:rPr>
              <w:t>注2：人员核算时，居住户和居住人数按常住人口核算，企业人员数量按最大当班人数核算。</w:t>
            </w:r>
          </w:p>
          <w:p>
            <w:pPr>
              <w:spacing w:line="240" w:lineRule="auto"/>
              <w:rPr>
                <w:rFonts w:ascii="宋体" w:hAnsi="宋体"/>
                <w:color w:val="auto"/>
                <w:kern w:val="0"/>
                <w:sz w:val="21"/>
                <w:szCs w:val="21"/>
              </w:rPr>
            </w:pPr>
            <w:r>
              <w:rPr>
                <w:rFonts w:hint="eastAsia" w:ascii="宋体" w:hAnsi="宋体"/>
                <w:color w:val="auto"/>
                <w:kern w:val="0"/>
                <w:sz w:val="21"/>
                <w:szCs w:val="21"/>
              </w:rPr>
              <w:t>注3：具有兼容性的综合建筑按主要类型进行分类，若综合楼使用的主要性质难以确定是，按低层使用的主要性质进行归类。</w:t>
            </w:r>
          </w:p>
          <w:p>
            <w:pPr>
              <w:spacing w:line="240" w:lineRule="auto"/>
              <w:rPr>
                <w:rFonts w:ascii="宋体" w:hAnsi="宋体"/>
                <w:color w:val="auto"/>
                <w:kern w:val="0"/>
                <w:sz w:val="21"/>
                <w:szCs w:val="21"/>
              </w:rPr>
            </w:pPr>
            <w:r>
              <w:rPr>
                <w:rFonts w:hint="eastAsia" w:ascii="宋体" w:hAnsi="宋体"/>
                <w:color w:val="auto"/>
                <w:kern w:val="0"/>
                <w:sz w:val="21"/>
                <w:szCs w:val="21"/>
              </w:rPr>
              <w:t>注4：表中“以上”包括本数，“以下”不包括本数。</w:t>
            </w:r>
          </w:p>
        </w:tc>
      </w:tr>
    </w:tbl>
    <w:p>
      <w:pPr>
        <w:spacing w:line="360" w:lineRule="auto"/>
        <w:ind w:firstLine="560" w:firstLineChars="200"/>
        <w:jc w:val="left"/>
        <w:rPr>
          <w:rFonts w:ascii="宋体" w:hAnsi="宋体"/>
          <w:color w:val="auto"/>
          <w:kern w:val="0"/>
          <w:sz w:val="28"/>
          <w:szCs w:val="28"/>
        </w:rPr>
      </w:pPr>
      <w:r>
        <w:rPr>
          <w:rFonts w:hint="eastAsia" w:ascii="宋体" w:hAnsi="宋体"/>
          <w:color w:val="auto"/>
          <w:kern w:val="0"/>
          <w:sz w:val="28"/>
          <w:szCs w:val="28"/>
        </w:rPr>
        <w:t>6.防护目标个人风险基准</w:t>
      </w:r>
    </w:p>
    <w:p>
      <w:pPr>
        <w:spacing w:line="360" w:lineRule="auto"/>
        <w:ind w:firstLine="560" w:firstLineChars="200"/>
        <w:jc w:val="left"/>
        <w:rPr>
          <w:rFonts w:ascii="宋体" w:hAnsi="宋体"/>
          <w:color w:val="auto"/>
          <w:kern w:val="0"/>
          <w:sz w:val="28"/>
          <w:szCs w:val="28"/>
        </w:rPr>
      </w:pPr>
      <w:r>
        <w:rPr>
          <w:rFonts w:hint="eastAsia" w:ascii="宋体" w:hAnsi="宋体"/>
          <w:color w:val="auto"/>
          <w:kern w:val="0"/>
          <w:sz w:val="28"/>
          <w:szCs w:val="28"/>
        </w:rPr>
        <w:t>危险化学品生产装置和储存设施周边防护目标所承受的个人风险应不超过个人风险基准的要求。</w:t>
      </w:r>
    </w:p>
    <w:p>
      <w:pPr>
        <w:ind w:firstLine="560" w:firstLineChars="200"/>
        <w:jc w:val="center"/>
        <w:rPr>
          <w:rFonts w:ascii="宋体" w:hAnsi="宋体"/>
          <w:color w:val="auto"/>
          <w:kern w:val="0"/>
          <w:szCs w:val="21"/>
        </w:rPr>
      </w:pPr>
      <w:r>
        <w:rPr>
          <w:rFonts w:hint="eastAsia" w:ascii="宋体" w:hAnsi="宋体"/>
          <w:color w:val="auto"/>
          <w:kern w:val="0"/>
          <w:szCs w:val="21"/>
        </w:rPr>
        <w:t>表3.</w:t>
      </w:r>
      <w:r>
        <w:rPr>
          <w:rFonts w:hint="eastAsia" w:ascii="宋体" w:hAnsi="宋体"/>
          <w:color w:val="auto"/>
          <w:kern w:val="0"/>
          <w:szCs w:val="21"/>
          <w:lang w:val="en-US" w:eastAsia="zh-CN"/>
        </w:rPr>
        <w:t>8</w:t>
      </w:r>
      <w:r>
        <w:rPr>
          <w:rFonts w:hint="eastAsia" w:ascii="宋体" w:hAnsi="宋体"/>
          <w:color w:val="auto"/>
          <w:kern w:val="0"/>
          <w:szCs w:val="21"/>
        </w:rPr>
        <w:t>-2 个人风险基准</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2"/>
        <w:gridCol w:w="3084"/>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vMerge w:val="restart"/>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int="eastAsia" w:hAnsi="宋体"/>
                <w:color w:val="auto"/>
                <w:kern w:val="0"/>
                <w:sz w:val="21"/>
                <w:szCs w:val="21"/>
              </w:rPr>
              <w:t>防护目标</w:t>
            </w:r>
          </w:p>
        </w:tc>
        <w:tc>
          <w:tcPr>
            <w:tcW w:w="5748"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int="eastAsia" w:hAnsi="宋体"/>
                <w:color w:val="auto"/>
                <w:kern w:val="0"/>
                <w:sz w:val="21"/>
                <w:szCs w:val="21"/>
              </w:rPr>
              <w:t>个人风险基准（次</w:t>
            </w:r>
            <w:r>
              <w:rPr>
                <w:rFonts w:hAnsi="宋体"/>
                <w:color w:val="auto"/>
                <w:kern w:val="0"/>
                <w:sz w:val="21"/>
                <w:szCs w:val="21"/>
              </w:rPr>
              <w:t>/</w:t>
            </w:r>
            <w:r>
              <w:rPr>
                <w:rFonts w:hint="eastAsia" w:hAnsi="宋体"/>
                <w:color w:val="auto"/>
                <w:kern w:val="0"/>
                <w:sz w:val="21"/>
                <w:szCs w:val="21"/>
              </w:rPr>
              <w:t>年）</w:t>
            </w:r>
            <w:r>
              <w:rPr>
                <w:rFonts w:hint="eastAsia" w:ascii="宋体" w:hAnsi="宋体"/>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left"/>
              <w:rPr>
                <w:rFonts w:hAnsi="宋体"/>
                <w:color w:val="auto"/>
                <w:kern w:val="0"/>
                <w:sz w:val="21"/>
                <w:szCs w:val="21"/>
              </w:rPr>
            </w:pPr>
          </w:p>
        </w:tc>
        <w:tc>
          <w:tcPr>
            <w:tcW w:w="311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int="eastAsia" w:hAnsi="宋体"/>
                <w:color w:val="auto"/>
                <w:kern w:val="0"/>
                <w:sz w:val="21"/>
                <w:szCs w:val="21"/>
              </w:rPr>
              <w:t>危险化学品新建.改建、扩建生产装置和储存设施</w:t>
            </w:r>
          </w:p>
        </w:tc>
        <w:tc>
          <w:tcPr>
            <w:tcW w:w="262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int="eastAsia" w:hAnsi="宋体"/>
                <w:color w:val="auto"/>
                <w:kern w:val="0"/>
                <w:sz w:val="21"/>
                <w:szCs w:val="21"/>
              </w:rPr>
              <w:t>危险化学品在役生产装置和储存设施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int="eastAsia" w:hAnsi="宋体"/>
                <w:color w:val="auto"/>
                <w:kern w:val="0"/>
                <w:sz w:val="21"/>
                <w:szCs w:val="21"/>
              </w:rPr>
              <w:t>高敏感防护目标</w:t>
            </w:r>
          </w:p>
          <w:p>
            <w:pPr>
              <w:spacing w:line="240" w:lineRule="auto"/>
              <w:rPr>
                <w:rFonts w:hAnsi="宋体"/>
                <w:color w:val="auto"/>
                <w:kern w:val="0"/>
                <w:sz w:val="21"/>
                <w:szCs w:val="21"/>
              </w:rPr>
            </w:pPr>
            <w:r>
              <w:rPr>
                <w:rFonts w:hint="eastAsia" w:hAnsi="宋体"/>
                <w:color w:val="auto"/>
                <w:kern w:val="0"/>
                <w:sz w:val="21"/>
                <w:szCs w:val="21"/>
              </w:rPr>
              <w:t>重要防护目标</w:t>
            </w:r>
          </w:p>
          <w:p>
            <w:pPr>
              <w:spacing w:line="240" w:lineRule="auto"/>
              <w:rPr>
                <w:rFonts w:hAnsi="宋体"/>
                <w:color w:val="auto"/>
                <w:kern w:val="0"/>
                <w:sz w:val="21"/>
                <w:szCs w:val="21"/>
              </w:rPr>
            </w:pPr>
            <w:r>
              <w:rPr>
                <w:rFonts w:hint="eastAsia" w:hAnsi="宋体"/>
                <w:color w:val="auto"/>
                <w:kern w:val="0"/>
                <w:sz w:val="21"/>
                <w:szCs w:val="21"/>
              </w:rPr>
              <w:t>一般防护目标中的一类防护目标</w:t>
            </w:r>
          </w:p>
        </w:tc>
        <w:tc>
          <w:tcPr>
            <w:tcW w:w="311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Ansi="宋体"/>
                <w:color w:val="auto"/>
                <w:kern w:val="0"/>
                <w:sz w:val="21"/>
                <w:szCs w:val="21"/>
              </w:rPr>
              <w:t>3</w:t>
            </w:r>
            <w:r>
              <w:rPr>
                <w:rFonts w:hint="eastAsia" w:ascii="宋体" w:hAnsi="宋体"/>
                <w:color w:val="auto"/>
                <w:kern w:val="0"/>
                <w:sz w:val="21"/>
                <w:szCs w:val="21"/>
              </w:rPr>
              <w:t>×</w:t>
            </w:r>
            <w:r>
              <w:rPr>
                <w:rFonts w:hAnsi="宋体"/>
                <w:color w:val="auto"/>
                <w:kern w:val="0"/>
                <w:sz w:val="21"/>
                <w:szCs w:val="21"/>
              </w:rPr>
              <w:t>10</w:t>
            </w:r>
            <w:r>
              <w:rPr>
                <w:rFonts w:hAnsi="宋体"/>
                <w:color w:val="auto"/>
                <w:kern w:val="0"/>
                <w:sz w:val="21"/>
                <w:szCs w:val="21"/>
                <w:vertAlign w:val="superscript"/>
              </w:rPr>
              <w:t>-7</w:t>
            </w:r>
          </w:p>
        </w:tc>
        <w:tc>
          <w:tcPr>
            <w:tcW w:w="262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Ansi="宋体"/>
                <w:color w:val="auto"/>
                <w:kern w:val="0"/>
                <w:sz w:val="21"/>
                <w:szCs w:val="21"/>
              </w:rPr>
              <w:t>3</w:t>
            </w:r>
            <w:r>
              <w:rPr>
                <w:rFonts w:hint="eastAsia" w:ascii="宋体" w:hAnsi="宋体"/>
                <w:color w:val="auto"/>
                <w:kern w:val="0"/>
                <w:sz w:val="21"/>
                <w:szCs w:val="21"/>
              </w:rPr>
              <w:t>×</w:t>
            </w:r>
            <w:r>
              <w:rPr>
                <w:rFonts w:hAnsi="宋体"/>
                <w:color w:val="auto"/>
                <w:kern w:val="0"/>
                <w:sz w:val="21"/>
                <w:szCs w:val="21"/>
              </w:rPr>
              <w:t>10</w:t>
            </w:r>
            <w:r>
              <w:rPr>
                <w:rFonts w:hAnsi="宋体"/>
                <w:color w:val="auto"/>
                <w:kern w:val="0"/>
                <w:sz w:val="21"/>
                <w:szCs w:val="21"/>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int="eastAsia" w:hAnsi="宋体"/>
                <w:color w:val="auto"/>
                <w:kern w:val="0"/>
                <w:sz w:val="21"/>
                <w:szCs w:val="21"/>
              </w:rPr>
              <w:t>一般防护目标中的二类防护目标</w:t>
            </w:r>
          </w:p>
        </w:tc>
        <w:tc>
          <w:tcPr>
            <w:tcW w:w="311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Ansi="宋体"/>
                <w:color w:val="auto"/>
                <w:kern w:val="0"/>
                <w:sz w:val="21"/>
                <w:szCs w:val="21"/>
              </w:rPr>
              <w:t>3</w:t>
            </w:r>
            <w:r>
              <w:rPr>
                <w:rFonts w:hint="eastAsia" w:ascii="宋体" w:hAnsi="宋体"/>
                <w:color w:val="auto"/>
                <w:kern w:val="0"/>
                <w:sz w:val="21"/>
                <w:szCs w:val="21"/>
              </w:rPr>
              <w:t>×</w:t>
            </w:r>
            <w:r>
              <w:rPr>
                <w:rFonts w:hAnsi="宋体"/>
                <w:color w:val="auto"/>
                <w:kern w:val="0"/>
                <w:sz w:val="21"/>
                <w:szCs w:val="21"/>
              </w:rPr>
              <w:t>10</w:t>
            </w:r>
            <w:r>
              <w:rPr>
                <w:rFonts w:hAnsi="宋体"/>
                <w:color w:val="auto"/>
                <w:kern w:val="0"/>
                <w:sz w:val="21"/>
                <w:szCs w:val="21"/>
                <w:vertAlign w:val="superscript"/>
              </w:rPr>
              <w:t>-6</w:t>
            </w:r>
          </w:p>
        </w:tc>
        <w:tc>
          <w:tcPr>
            <w:tcW w:w="262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Ansi="宋体"/>
                <w:color w:val="auto"/>
                <w:kern w:val="0"/>
                <w:sz w:val="21"/>
                <w:szCs w:val="21"/>
              </w:rPr>
              <w:t>1</w:t>
            </w:r>
            <w:r>
              <w:rPr>
                <w:rFonts w:hint="eastAsia" w:ascii="宋体" w:hAnsi="宋体"/>
                <w:color w:val="auto"/>
                <w:kern w:val="0"/>
                <w:sz w:val="21"/>
                <w:szCs w:val="21"/>
              </w:rPr>
              <w:t>×</w:t>
            </w:r>
            <w:r>
              <w:rPr>
                <w:rFonts w:hAnsi="宋体"/>
                <w:color w:val="auto"/>
                <w:kern w:val="0"/>
                <w:sz w:val="21"/>
                <w:szCs w:val="21"/>
              </w:rPr>
              <w:t>10</w:t>
            </w:r>
            <w:r>
              <w:rPr>
                <w:rFonts w:hAnsi="宋体"/>
                <w:color w:val="auto"/>
                <w:kern w:val="0"/>
                <w:sz w:val="21"/>
                <w:szCs w:val="21"/>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int="eastAsia" w:hAnsi="宋体"/>
                <w:color w:val="auto"/>
                <w:kern w:val="0"/>
                <w:sz w:val="21"/>
                <w:szCs w:val="21"/>
              </w:rPr>
              <w:t>一般防护目标中的三类防护目标</w:t>
            </w:r>
          </w:p>
        </w:tc>
        <w:tc>
          <w:tcPr>
            <w:tcW w:w="311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Ansi="宋体"/>
                <w:color w:val="auto"/>
                <w:kern w:val="0"/>
                <w:sz w:val="21"/>
                <w:szCs w:val="21"/>
              </w:rPr>
              <w:t>1</w:t>
            </w:r>
            <w:r>
              <w:rPr>
                <w:rFonts w:hint="eastAsia" w:ascii="宋体" w:hAnsi="宋体"/>
                <w:color w:val="auto"/>
                <w:kern w:val="0"/>
                <w:sz w:val="21"/>
                <w:szCs w:val="21"/>
              </w:rPr>
              <w:t>×</w:t>
            </w:r>
            <w:r>
              <w:rPr>
                <w:rFonts w:hAnsi="宋体"/>
                <w:color w:val="auto"/>
                <w:kern w:val="0"/>
                <w:sz w:val="21"/>
                <w:szCs w:val="21"/>
              </w:rPr>
              <w:t>10</w:t>
            </w:r>
            <w:r>
              <w:rPr>
                <w:rFonts w:hAnsi="宋体"/>
                <w:color w:val="auto"/>
                <w:kern w:val="0"/>
                <w:sz w:val="21"/>
                <w:szCs w:val="21"/>
                <w:vertAlign w:val="superscript"/>
              </w:rPr>
              <w:t>-5</w:t>
            </w:r>
          </w:p>
        </w:tc>
        <w:tc>
          <w:tcPr>
            <w:tcW w:w="2629"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Ansi="宋体"/>
                <w:color w:val="auto"/>
                <w:kern w:val="0"/>
                <w:sz w:val="21"/>
                <w:szCs w:val="21"/>
              </w:rPr>
            </w:pPr>
            <w:r>
              <w:rPr>
                <w:rFonts w:hAnsi="宋体"/>
                <w:color w:val="auto"/>
                <w:kern w:val="0"/>
                <w:sz w:val="21"/>
                <w:szCs w:val="21"/>
              </w:rPr>
              <w:t>3</w:t>
            </w:r>
            <w:r>
              <w:rPr>
                <w:rFonts w:hint="eastAsia" w:ascii="宋体" w:hAnsi="宋体"/>
                <w:color w:val="auto"/>
                <w:kern w:val="0"/>
                <w:sz w:val="21"/>
                <w:szCs w:val="21"/>
              </w:rPr>
              <w:t>×</w:t>
            </w:r>
            <w:r>
              <w:rPr>
                <w:rFonts w:hAnsi="宋体"/>
                <w:color w:val="auto"/>
                <w:kern w:val="0"/>
                <w:sz w:val="21"/>
                <w:szCs w:val="21"/>
              </w:rPr>
              <w:t>10</w:t>
            </w:r>
            <w:r>
              <w:rPr>
                <w:rFonts w:hAnsi="宋体"/>
                <w:color w:val="auto"/>
                <w:kern w:val="0"/>
                <w:sz w:val="21"/>
                <w:szCs w:val="21"/>
                <w:vertAlign w:val="superscript"/>
              </w:rPr>
              <w:t>-5</w:t>
            </w:r>
          </w:p>
        </w:tc>
      </w:tr>
    </w:tbl>
    <w:p>
      <w:pPr>
        <w:spacing w:line="360" w:lineRule="auto"/>
        <w:ind w:firstLine="560" w:firstLineChars="200"/>
        <w:jc w:val="left"/>
        <w:rPr>
          <w:rFonts w:ascii="宋体" w:hAnsi="宋体"/>
          <w:color w:val="auto"/>
          <w:kern w:val="0"/>
          <w:sz w:val="28"/>
          <w:szCs w:val="28"/>
        </w:rPr>
      </w:pPr>
      <w:r>
        <w:rPr>
          <w:rFonts w:ascii="宋体" w:hAnsi="宋体"/>
          <w:color w:val="auto"/>
          <w:kern w:val="0"/>
          <w:sz w:val="28"/>
          <w:szCs w:val="28"/>
        </w:rPr>
        <w:t>7</w:t>
      </w:r>
      <w:r>
        <w:rPr>
          <w:rFonts w:hint="eastAsia" w:ascii="宋体" w:hAnsi="宋体"/>
          <w:color w:val="auto"/>
          <w:kern w:val="0"/>
          <w:sz w:val="28"/>
          <w:szCs w:val="28"/>
        </w:rPr>
        <w:t>.社会风险基准</w:t>
      </w:r>
    </w:p>
    <w:p>
      <w:pPr>
        <w:spacing w:line="360" w:lineRule="auto"/>
        <w:ind w:firstLine="560" w:firstLineChars="200"/>
        <w:jc w:val="left"/>
        <w:rPr>
          <w:rFonts w:ascii="宋体" w:hAnsi="宋体"/>
          <w:color w:val="auto"/>
          <w:sz w:val="28"/>
          <w:szCs w:val="28"/>
        </w:rPr>
      </w:pPr>
      <w:r>
        <w:rPr>
          <w:rFonts w:hint="eastAsia" w:ascii="宋体" w:hAnsi="宋体"/>
          <w:color w:val="auto"/>
          <w:kern w:val="0"/>
          <w:sz w:val="28"/>
          <w:szCs w:val="28"/>
        </w:rPr>
        <w:t>同归两条风险分界线将社会风险划分为</w:t>
      </w:r>
      <w:r>
        <w:rPr>
          <w:rFonts w:ascii="宋体" w:hAnsi="宋体"/>
          <w:color w:val="auto"/>
          <w:sz w:val="28"/>
          <w:szCs w:val="28"/>
        </w:rPr>
        <w:t>3</w:t>
      </w:r>
      <w:r>
        <w:rPr>
          <w:rFonts w:hint="eastAsia" w:ascii="宋体" w:hAnsi="宋体"/>
          <w:color w:val="auto"/>
          <w:sz w:val="28"/>
          <w:szCs w:val="28"/>
        </w:rPr>
        <w:t>个区域，即：不可容许区、尽可能降低区和可容许区。具体分界线位置如图</w:t>
      </w:r>
      <w:r>
        <w:rPr>
          <w:rFonts w:ascii="宋体" w:hAnsi="宋体"/>
          <w:color w:val="auto"/>
          <w:sz w:val="28"/>
          <w:szCs w:val="28"/>
        </w:rPr>
        <w:t>1</w:t>
      </w:r>
      <w:r>
        <w:rPr>
          <w:rFonts w:hint="eastAsia" w:ascii="宋体" w:hAnsi="宋体"/>
          <w:color w:val="auto"/>
          <w:sz w:val="28"/>
          <w:szCs w:val="28"/>
        </w:rPr>
        <w:t>所示。</w:t>
      </w:r>
    </w:p>
    <w:p>
      <w:pPr>
        <w:spacing w:line="360" w:lineRule="auto"/>
        <w:ind w:firstLine="560" w:firstLineChars="200"/>
        <w:jc w:val="left"/>
        <w:rPr>
          <w:rFonts w:ascii="宋体" w:hAnsi="宋体"/>
          <w:color w:val="auto"/>
          <w:sz w:val="28"/>
          <w:szCs w:val="28"/>
        </w:rPr>
      </w:pPr>
      <w:r>
        <w:rPr>
          <w:rFonts w:ascii="宋体" w:hAnsi="宋体"/>
          <w:color w:val="auto"/>
          <w:sz w:val="28"/>
          <w:szCs w:val="28"/>
        </w:rPr>
        <w:t>1</w:t>
      </w:r>
      <w:r>
        <w:rPr>
          <w:rFonts w:hint="eastAsia" w:ascii="宋体" w:hAnsi="宋体"/>
          <w:color w:val="auto"/>
          <w:sz w:val="28"/>
          <w:szCs w:val="28"/>
        </w:rPr>
        <w:t>）若社会风险曲线进入不可接受区，则应立即采取安全改进措施降低社会风险；</w:t>
      </w:r>
    </w:p>
    <w:p>
      <w:pPr>
        <w:spacing w:line="360" w:lineRule="auto"/>
        <w:ind w:firstLine="560" w:firstLineChars="200"/>
        <w:jc w:val="left"/>
        <w:rPr>
          <w:rFonts w:ascii="宋体" w:hAnsi="宋体"/>
          <w:color w:val="auto"/>
          <w:sz w:val="28"/>
          <w:szCs w:val="28"/>
        </w:rPr>
      </w:pPr>
      <w:r>
        <w:rPr>
          <w:rFonts w:ascii="宋体" w:hAnsi="宋体"/>
          <w:color w:val="auto"/>
          <w:sz w:val="28"/>
          <w:szCs w:val="28"/>
        </w:rPr>
        <w:t>2</w:t>
      </w:r>
      <w:r>
        <w:rPr>
          <w:rFonts w:hint="eastAsia" w:ascii="宋体" w:hAnsi="宋体"/>
          <w:color w:val="auto"/>
          <w:sz w:val="28"/>
          <w:szCs w:val="28"/>
        </w:rPr>
        <w:t>）若若社会风险曲线进入尽可能降低区，则应在可实现的范围内，尽可能采取安全改进措施降低社会风险；</w:t>
      </w:r>
    </w:p>
    <w:p>
      <w:pPr>
        <w:spacing w:line="360" w:lineRule="auto"/>
        <w:ind w:firstLine="560" w:firstLineChars="200"/>
        <w:jc w:val="left"/>
        <w:rPr>
          <w:rFonts w:ascii="宋体" w:hAnsi="宋体"/>
          <w:color w:val="auto"/>
          <w:sz w:val="28"/>
          <w:szCs w:val="28"/>
        </w:rPr>
      </w:pPr>
      <w:r>
        <w:rPr>
          <w:rFonts w:hint="eastAsia" w:ascii="宋体" w:hAnsi="宋体"/>
          <w:color w:val="auto"/>
          <w:sz w:val="28"/>
          <w:szCs w:val="28"/>
        </w:rPr>
        <w:t>3）若社会风险曲线全部落在可接受区，则该风险可接受；</w:t>
      </w:r>
    </w:p>
    <w:p>
      <w:pPr>
        <w:widowControl/>
        <w:spacing w:line="240" w:lineRule="auto"/>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drawing>
          <wp:inline distT="0" distB="0" distL="114300" distR="114300">
            <wp:extent cx="5467350" cy="2990850"/>
            <wp:effectExtent l="0" t="0" r="6350" b="6350"/>
            <wp:docPr id="5" name="图片 5" descr="168222525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2225254091"/>
                    <pic:cNvPicPr>
                      <a:picLocks noChangeAspect="1"/>
                    </pic:cNvPicPr>
                  </pic:nvPicPr>
                  <pic:blipFill>
                    <a:blip r:embed="rId14"/>
                    <a:stretch>
                      <a:fillRect/>
                    </a:stretch>
                  </pic:blipFill>
                  <pic:spPr>
                    <a:xfrm>
                      <a:off x="0" y="0"/>
                      <a:ext cx="5467350" cy="2990850"/>
                    </a:xfrm>
                    <a:prstGeom prst="rect">
                      <a:avLst/>
                    </a:prstGeom>
                  </pic:spPr>
                </pic:pic>
              </a:graphicData>
            </a:graphic>
          </wp:inline>
        </w:drawing>
      </w:r>
    </w:p>
    <w:p>
      <w:pPr>
        <w:spacing w:line="360" w:lineRule="auto"/>
        <w:ind w:firstLine="560" w:firstLineChars="200"/>
        <w:jc w:val="left"/>
        <w:rPr>
          <w:rFonts w:ascii="宋体" w:hAnsi="宋体"/>
          <w:color w:val="auto"/>
          <w:sz w:val="28"/>
          <w:szCs w:val="28"/>
        </w:rPr>
      </w:pPr>
      <w:r>
        <w:rPr>
          <w:rFonts w:hint="eastAsia" w:ascii="宋体" w:hAnsi="宋体"/>
          <w:color w:val="auto"/>
          <w:sz w:val="28"/>
          <w:szCs w:val="28"/>
        </w:rPr>
        <w:t>8.定量风险评价法</w:t>
      </w:r>
    </w:p>
    <w:p>
      <w:pPr>
        <w:spacing w:line="360" w:lineRule="auto"/>
        <w:ind w:firstLine="560" w:firstLineChars="200"/>
        <w:jc w:val="left"/>
        <w:rPr>
          <w:rFonts w:ascii="宋体" w:hAnsi="宋体"/>
          <w:color w:val="auto"/>
          <w:sz w:val="28"/>
          <w:szCs w:val="28"/>
        </w:rPr>
      </w:pPr>
      <w:r>
        <w:rPr>
          <w:rFonts w:hint="eastAsia" w:ascii="宋体" w:hAnsi="宋体"/>
          <w:color w:val="auto"/>
          <w:sz w:val="28"/>
          <w:szCs w:val="28"/>
        </w:rPr>
        <w:t>是对危险化学品生产、储存装置发生事故频率和后果进行定量分析和计算，以可接受风险标准确定外部安全防护距离的方法。</w:t>
      </w:r>
    </w:p>
    <w:p>
      <w:pPr>
        <w:spacing w:line="360" w:lineRule="auto"/>
        <w:ind w:firstLine="560" w:firstLineChars="200"/>
        <w:jc w:val="left"/>
        <w:rPr>
          <w:rFonts w:ascii="宋体" w:hAnsi="宋体"/>
          <w:color w:val="auto"/>
          <w:sz w:val="28"/>
          <w:szCs w:val="28"/>
        </w:rPr>
      </w:pPr>
      <w:r>
        <w:rPr>
          <w:rFonts w:hint="eastAsia" w:ascii="宋体" w:hAnsi="宋体"/>
          <w:color w:val="auto"/>
          <w:sz w:val="28"/>
          <w:szCs w:val="28"/>
        </w:rPr>
        <w:t>9.计算步骤。</w:t>
      </w:r>
    </w:p>
    <w:p>
      <w:pPr>
        <w:spacing w:line="360" w:lineRule="auto"/>
        <w:ind w:firstLine="560" w:firstLineChars="200"/>
        <w:jc w:val="left"/>
        <w:rPr>
          <w:rFonts w:ascii="宋体" w:hAnsi="宋体"/>
          <w:color w:val="auto"/>
          <w:sz w:val="28"/>
          <w:szCs w:val="28"/>
        </w:rPr>
      </w:pPr>
      <w:r>
        <w:rPr>
          <w:rFonts w:hint="eastAsia" w:ascii="宋体" w:hAnsi="宋体"/>
          <w:color w:val="auto"/>
          <w:sz w:val="28"/>
          <w:szCs w:val="28"/>
        </w:rPr>
        <w:t>定量风险评价法确定外部安全防护距离的计算步骤如下：</w:t>
      </w:r>
    </w:p>
    <w:p>
      <w:pPr>
        <w:spacing w:line="360" w:lineRule="auto"/>
        <w:ind w:firstLine="560" w:firstLineChars="200"/>
        <w:jc w:val="left"/>
        <w:rPr>
          <w:rFonts w:ascii="宋体" w:hAnsi="宋体"/>
          <w:color w:val="auto"/>
          <w:sz w:val="28"/>
          <w:szCs w:val="28"/>
        </w:rPr>
      </w:pPr>
      <w:r>
        <w:rPr>
          <w:rFonts w:hint="eastAsia" w:ascii="宋体" w:hAnsi="宋体"/>
          <w:color w:val="auto"/>
          <w:sz w:val="28"/>
          <w:szCs w:val="28"/>
        </w:rPr>
        <w:t>1）定量风险评价。</w:t>
      </w:r>
    </w:p>
    <w:p>
      <w:pPr>
        <w:spacing w:line="360" w:lineRule="auto"/>
        <w:ind w:firstLine="560" w:firstLineChars="200"/>
        <w:jc w:val="left"/>
        <w:rPr>
          <w:rFonts w:ascii="宋体" w:hAnsi="宋体"/>
          <w:color w:val="auto"/>
          <w:sz w:val="28"/>
          <w:szCs w:val="28"/>
        </w:rPr>
      </w:pPr>
      <w:r>
        <w:rPr>
          <w:rFonts w:hint="eastAsia" w:ascii="宋体" w:hAnsi="宋体"/>
          <w:color w:val="auto"/>
          <w:sz w:val="28"/>
          <w:szCs w:val="28"/>
        </w:rPr>
        <w:t>个人风险计算中的危害辨识和评价单元选择、失效场景分析、失效后果分析、个人风险计算和社会风险计算可参照《化工企业定量风险评价导则》（AQ/T 3046-2013）中有关规定执行。其中设备设施的失效场景频率及修正可参照《基于风险检验的基础方法》（SY/T 6714-2008）中有关规定执行。</w:t>
      </w:r>
    </w:p>
    <w:p>
      <w:pPr>
        <w:spacing w:line="360" w:lineRule="auto"/>
        <w:ind w:firstLine="560" w:firstLineChars="200"/>
        <w:jc w:val="left"/>
        <w:rPr>
          <w:rFonts w:ascii="宋体" w:hAnsi="宋体"/>
          <w:color w:val="auto"/>
          <w:sz w:val="28"/>
          <w:szCs w:val="28"/>
        </w:rPr>
      </w:pPr>
      <w:r>
        <w:rPr>
          <w:rFonts w:hint="eastAsia" w:ascii="宋体" w:hAnsi="宋体"/>
          <w:color w:val="auto"/>
          <w:sz w:val="28"/>
          <w:szCs w:val="28"/>
        </w:rPr>
        <w:t>2）确定外部安全防护距离。</w:t>
      </w:r>
    </w:p>
    <w:p>
      <w:pPr>
        <w:spacing w:line="360" w:lineRule="auto"/>
        <w:ind w:firstLine="560" w:firstLineChars="200"/>
        <w:jc w:val="left"/>
        <w:rPr>
          <w:rFonts w:ascii="宋体" w:hAnsi="宋体"/>
          <w:color w:val="auto"/>
          <w:szCs w:val="21"/>
        </w:rPr>
      </w:pPr>
      <w:r>
        <w:rPr>
          <w:rFonts w:hint="eastAsia" w:ascii="宋体" w:hAnsi="宋体"/>
          <w:color w:val="auto"/>
          <w:sz w:val="28"/>
          <w:szCs w:val="28"/>
        </w:rPr>
        <w:t>根据本公告公布的可接受风险标准，通过定量风险评价法得到生产、储存装置的个人可接受风险等值线及社会可接受风险图，以此确定该装置与防护目标的外部安全防护距离</w:t>
      </w:r>
      <w:r>
        <w:rPr>
          <w:rFonts w:hint="eastAsia"/>
          <w:color w:val="auto"/>
          <w:sz w:val="28"/>
          <w:szCs w:val="28"/>
        </w:rPr>
        <w:t>。</w:t>
      </w:r>
    </w:p>
    <w:p>
      <w:pPr>
        <w:pStyle w:val="5"/>
        <w:bidi w:val="0"/>
        <w:rPr>
          <w:rFonts w:hint="eastAsia"/>
          <w:color w:val="auto"/>
          <w:lang w:val="en-US" w:eastAsia="zh-CN"/>
        </w:rPr>
      </w:pPr>
      <w:r>
        <w:rPr>
          <w:rFonts w:hint="eastAsia"/>
          <w:color w:val="auto"/>
          <w:lang w:val="en-US" w:eastAsia="zh-CN"/>
        </w:rPr>
        <w:t>3.9.2个人风险和社会风险值计算结果</w:t>
      </w:r>
    </w:p>
    <w:p>
      <w:pPr>
        <w:ind w:firstLine="560" w:firstLineChars="200"/>
        <w:rPr>
          <w:rFonts w:hint="default"/>
          <w:color w:val="auto"/>
          <w:lang w:val="en-US" w:eastAsia="zh-CN"/>
        </w:rPr>
      </w:pPr>
      <w:r>
        <w:rPr>
          <w:rFonts w:hint="default"/>
          <w:color w:val="auto"/>
          <w:lang w:val="en-US" w:eastAsia="zh-CN"/>
        </w:rPr>
        <w:t>本报告依据《危险化学品生产装置和储存设施风险基准》的要求，对该项目采用定量风险分析评价法，确定该项目外部安全防护距离；采用中国安全生产科学研究院开发的重大危险源区域定量风险评价软件进行该项目个人风险和社会风险值计算，个人可接受标准和社会可接受风险标准如下。</w:t>
      </w:r>
    </w:p>
    <w:p>
      <w:pPr>
        <w:ind w:firstLine="560" w:firstLineChars="200"/>
        <w:rPr>
          <w:rFonts w:hint="default"/>
          <w:color w:val="auto"/>
          <w:lang w:val="en-US" w:eastAsia="zh-CN"/>
        </w:rPr>
      </w:pPr>
      <w:r>
        <w:rPr>
          <w:rFonts w:hint="default"/>
          <w:color w:val="auto"/>
          <w:lang w:val="en-US" w:eastAsia="zh-CN"/>
        </w:rPr>
        <w:t>1.个人风险</w:t>
      </w:r>
    </w:p>
    <w:p>
      <w:pPr>
        <w:ind w:firstLine="560" w:firstLineChars="200"/>
        <w:rPr>
          <w:rFonts w:hint="default"/>
          <w:color w:val="auto"/>
          <w:lang w:val="en-US" w:eastAsia="zh-CN"/>
        </w:rPr>
      </w:pPr>
      <w:r>
        <w:rPr>
          <w:rFonts w:hint="default"/>
          <w:color w:val="auto"/>
          <w:lang w:val="en-US" w:eastAsia="zh-CN"/>
        </w:rPr>
        <w:t>基于危险源信息，利用中国安全生产科学院出版的《CASSTQRA重大危险源区域定量风险评价与管理》软件计算，得出危险化学品泄漏个人风险等值线图（见图</w:t>
      </w:r>
      <w:r>
        <w:rPr>
          <w:rFonts w:hint="eastAsia"/>
          <w:color w:val="auto"/>
          <w:lang w:val="en-US" w:eastAsia="zh-CN"/>
        </w:rPr>
        <w:t>3.9</w:t>
      </w:r>
      <w:r>
        <w:rPr>
          <w:rFonts w:hint="default"/>
          <w:color w:val="auto"/>
          <w:lang w:val="en-US" w:eastAsia="zh-CN"/>
        </w:rPr>
        <w:t>-1）及厂内外社会风险分布图 （见图</w:t>
      </w:r>
      <w:r>
        <w:rPr>
          <w:rFonts w:hint="eastAsia"/>
          <w:color w:val="auto"/>
          <w:lang w:val="en-US" w:eastAsia="zh-CN"/>
        </w:rPr>
        <w:t>3.9-</w:t>
      </w:r>
      <w:r>
        <w:rPr>
          <w:rFonts w:hint="default"/>
          <w:color w:val="auto"/>
          <w:lang w:val="en-US" w:eastAsia="zh-CN"/>
        </w:rPr>
        <w:t>2）。</w:t>
      </w:r>
    </w:p>
    <w:p>
      <w:pPr>
        <w:numPr>
          <w:ilvl w:val="0"/>
          <w:numId w:val="21"/>
        </w:numPr>
        <w:ind w:firstLine="560" w:firstLineChars="200"/>
        <w:rPr>
          <w:rFonts w:hint="default"/>
          <w:color w:val="auto"/>
          <w:lang w:val="en-US" w:eastAsia="zh-CN"/>
        </w:rPr>
      </w:pPr>
      <w:r>
        <w:rPr>
          <w:rFonts w:hint="default"/>
          <w:color w:val="auto"/>
          <w:lang w:val="en-US" w:eastAsia="zh-CN"/>
        </w:rPr>
        <w:t>个人风险等值线图：</w:t>
      </w:r>
    </w:p>
    <w:p>
      <w:pPr>
        <w:bidi w:val="0"/>
        <w:spacing w:line="240" w:lineRule="auto"/>
        <w:rPr>
          <w:rFonts w:hint="default"/>
          <w:color w:val="auto"/>
          <w:lang w:val="en-US" w:eastAsia="zh-CN"/>
        </w:rPr>
      </w:pPr>
      <w:r>
        <w:rPr>
          <w:rFonts w:hint="default"/>
          <w:color w:val="auto"/>
          <w:lang w:val="en-US" w:eastAsia="zh-CN"/>
        </w:rPr>
        <w:drawing>
          <wp:inline distT="0" distB="0" distL="114300" distR="114300">
            <wp:extent cx="5746750" cy="3479800"/>
            <wp:effectExtent l="0" t="0" r="6350" b="0"/>
            <wp:docPr id="15" name="图片 15" descr="168222536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82225365233"/>
                    <pic:cNvPicPr>
                      <a:picLocks noChangeAspect="1"/>
                    </pic:cNvPicPr>
                  </pic:nvPicPr>
                  <pic:blipFill>
                    <a:blip r:embed="rId15"/>
                    <a:stretch>
                      <a:fillRect/>
                    </a:stretch>
                  </pic:blipFill>
                  <pic:spPr>
                    <a:xfrm>
                      <a:off x="0" y="0"/>
                      <a:ext cx="5746750" cy="3479800"/>
                    </a:xfrm>
                    <a:prstGeom prst="rect">
                      <a:avLst/>
                    </a:prstGeom>
                  </pic:spPr>
                </pic:pic>
              </a:graphicData>
            </a:graphic>
          </wp:inline>
        </w:drawing>
      </w:r>
    </w:p>
    <w:p>
      <w:pPr>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图3.9-1 个人风险等值线图</w:t>
      </w:r>
    </w:p>
    <w:p>
      <w:pPr>
        <w:bidi w:val="0"/>
        <w:ind w:firstLine="560" w:firstLineChars="200"/>
        <w:rPr>
          <w:rFonts w:hint="eastAsia"/>
          <w:color w:val="auto"/>
          <w:lang w:val="en-US" w:eastAsia="zh-CN"/>
        </w:rPr>
      </w:pPr>
      <w:r>
        <w:rPr>
          <w:rFonts w:hint="default"/>
          <w:color w:val="auto"/>
          <w:lang w:val="en-US" w:eastAsia="zh-CN"/>
        </w:rPr>
        <w:t>从图中可以看出，该项目</w:t>
      </w:r>
      <w:r>
        <w:rPr>
          <w:rFonts w:hint="eastAsia"/>
          <w:color w:val="auto"/>
          <w:lang w:val="en-US" w:eastAsia="zh-CN"/>
        </w:rPr>
        <w:t>未产生</w:t>
      </w:r>
      <w:r>
        <w:rPr>
          <w:rFonts w:hint="default"/>
          <w:color w:val="auto"/>
          <w:lang w:val="en-US" w:eastAsia="zh-CN"/>
        </w:rPr>
        <w:t>个人风险等值线</w:t>
      </w:r>
      <w:r>
        <w:rPr>
          <w:rFonts w:hint="eastAsia"/>
          <w:color w:val="auto"/>
          <w:lang w:val="en-US" w:eastAsia="zh-CN"/>
        </w:rPr>
        <w:t>。</w:t>
      </w:r>
    </w:p>
    <w:p>
      <w:pPr>
        <w:bidi w:val="0"/>
        <w:ind w:firstLine="560" w:firstLineChars="200"/>
        <w:rPr>
          <w:rFonts w:hint="default"/>
          <w:color w:val="auto"/>
          <w:lang w:val="en-US" w:eastAsia="zh-CN"/>
        </w:rPr>
      </w:pPr>
      <w:r>
        <w:rPr>
          <w:rFonts w:hint="default"/>
          <w:color w:val="auto"/>
          <w:lang w:val="en-US" w:eastAsia="zh-CN"/>
        </w:rPr>
        <w:t>2）社会风险曲线（F-N曲线）</w:t>
      </w:r>
    </w:p>
    <w:p>
      <w:pPr>
        <w:bidi w:val="0"/>
        <w:spacing w:line="240" w:lineRule="auto"/>
        <w:rPr>
          <w:rFonts w:hint="default"/>
          <w:color w:val="auto"/>
          <w:lang w:val="en-US" w:eastAsia="zh-CN"/>
        </w:rPr>
      </w:pPr>
      <w:r>
        <w:rPr>
          <w:rFonts w:hint="default"/>
          <w:color w:val="auto"/>
          <w:lang w:val="en-US" w:eastAsia="zh-CN"/>
        </w:rPr>
        <w:drawing>
          <wp:inline distT="0" distB="0" distL="114300" distR="114300">
            <wp:extent cx="5760085" cy="3349625"/>
            <wp:effectExtent l="0" t="0" r="5715" b="3175"/>
            <wp:docPr id="18" name="图片 18" descr="168222549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82225498533"/>
                    <pic:cNvPicPr>
                      <a:picLocks noChangeAspect="1"/>
                    </pic:cNvPicPr>
                  </pic:nvPicPr>
                  <pic:blipFill>
                    <a:blip r:embed="rId16"/>
                    <a:stretch>
                      <a:fillRect/>
                    </a:stretch>
                  </pic:blipFill>
                  <pic:spPr>
                    <a:xfrm>
                      <a:off x="0" y="0"/>
                      <a:ext cx="5760085" cy="3349625"/>
                    </a:xfrm>
                    <a:prstGeom prst="rect">
                      <a:avLst/>
                    </a:prstGeom>
                  </pic:spPr>
                </pic:pic>
              </a:graphicData>
            </a:graphic>
          </wp:inline>
        </w:drawing>
      </w:r>
    </w:p>
    <w:p>
      <w:pPr>
        <w:bidi w:val="0"/>
        <w:ind w:firstLine="560" w:firstLineChars="200"/>
        <w:rPr>
          <w:rFonts w:hint="default"/>
          <w:color w:val="auto"/>
          <w:lang w:val="en-US" w:eastAsia="zh-CN"/>
        </w:rPr>
      </w:pPr>
      <w:r>
        <w:rPr>
          <w:rFonts w:hint="default"/>
          <w:color w:val="auto"/>
          <w:lang w:val="en-US" w:eastAsia="zh-CN"/>
        </w:rPr>
        <w:t>从图中可以看出，</w:t>
      </w:r>
      <w:r>
        <w:rPr>
          <w:rFonts w:hint="eastAsia"/>
          <w:color w:val="auto"/>
          <w:lang w:val="en-US" w:eastAsia="zh-CN"/>
        </w:rPr>
        <w:t>未形成</w:t>
      </w:r>
      <w:r>
        <w:rPr>
          <w:rFonts w:hint="default"/>
          <w:color w:val="auto"/>
          <w:lang w:val="en-US" w:eastAsia="zh-CN"/>
        </w:rPr>
        <w:t>社会风险</w:t>
      </w:r>
      <w:r>
        <w:rPr>
          <w:rFonts w:hint="eastAsia"/>
          <w:color w:val="auto"/>
          <w:lang w:val="en-US" w:eastAsia="zh-CN"/>
        </w:rPr>
        <w:t>曲线，因此该项目位于可接受区</w:t>
      </w:r>
      <w:r>
        <w:rPr>
          <w:rFonts w:hint="default"/>
          <w:color w:val="auto"/>
          <w:lang w:val="en-US" w:eastAsia="zh-CN"/>
        </w:rPr>
        <w:t>。</w:t>
      </w:r>
    </w:p>
    <w:p>
      <w:pPr>
        <w:bidi w:val="0"/>
        <w:ind w:firstLine="560" w:firstLineChars="200"/>
        <w:rPr>
          <w:rFonts w:hint="default"/>
          <w:color w:val="auto"/>
          <w:lang w:val="en-US" w:eastAsia="zh-CN"/>
        </w:rPr>
      </w:pPr>
      <w:r>
        <w:rPr>
          <w:rFonts w:hint="default"/>
          <w:color w:val="auto"/>
          <w:lang w:val="en-US" w:eastAsia="zh-CN"/>
        </w:rPr>
        <w:t>3.外部安全防护距离</w:t>
      </w:r>
    </w:p>
    <w:p>
      <w:pPr>
        <w:bidi w:val="0"/>
        <w:ind w:firstLine="560" w:firstLineChars="200"/>
        <w:rPr>
          <w:rFonts w:hint="eastAsia"/>
          <w:color w:val="auto"/>
          <w:lang w:val="en-US" w:eastAsia="zh-CN"/>
        </w:rPr>
      </w:pPr>
      <w:r>
        <w:rPr>
          <w:rFonts w:hint="default"/>
          <w:color w:val="auto"/>
          <w:lang w:val="en-US" w:eastAsia="zh-CN"/>
        </w:rPr>
        <w:t>根据《危险化学品生产装置和储存设施外部安全防护距离确定方法》（GB/T37243-2018）的要求，危险化学品生产、储存装置的需确定外部安全防护距离。根据《危险化学品生产装置和储存设施外部安全防护距离确定方法》、《危险化学品生产装置和储存设施风险基准》的要求，经计算该项目</w:t>
      </w:r>
      <w:r>
        <w:rPr>
          <w:rFonts w:hint="eastAsia"/>
          <w:color w:val="auto"/>
          <w:lang w:val="en-US" w:eastAsia="zh-CN"/>
        </w:rPr>
        <w:t>未形成</w:t>
      </w:r>
      <w:r>
        <w:rPr>
          <w:rFonts w:hint="default"/>
          <w:color w:val="auto"/>
          <w:lang w:val="en-US" w:eastAsia="zh-CN"/>
        </w:rPr>
        <w:t>个人风险等值线。</w:t>
      </w:r>
      <w:r>
        <w:rPr>
          <w:rFonts w:hint="eastAsia"/>
          <w:color w:val="auto"/>
          <w:lang w:val="en-US" w:eastAsia="zh-CN"/>
        </w:rPr>
        <w:t>因此该项目的外部安全防护距离依据《石油化工厂际管道工程技术标准》第4.0.8条的要求，与居民区、村庄、公共福利设施的外部安全防护距离不小于40m。</w:t>
      </w:r>
    </w:p>
    <w:p>
      <w:pPr>
        <w:pStyle w:val="4"/>
        <w:rPr>
          <w:color w:val="auto"/>
        </w:rPr>
      </w:pPr>
      <w:bookmarkStart w:id="73" w:name="_Toc7621"/>
      <w:bookmarkStart w:id="74" w:name="_Toc49245468"/>
      <w:bookmarkStart w:id="75" w:name="_Toc112950822"/>
      <w:bookmarkStart w:id="76" w:name="_Toc427250620"/>
      <w:r>
        <w:rPr>
          <w:rFonts w:hint="eastAsia"/>
          <w:color w:val="auto"/>
        </w:rPr>
        <w:t>3.10爆炸危险区域划分</w:t>
      </w:r>
      <w:bookmarkEnd w:id="73"/>
      <w:bookmarkEnd w:id="74"/>
      <w:bookmarkEnd w:id="75"/>
      <w:bookmarkEnd w:id="76"/>
    </w:p>
    <w:p>
      <w:pPr>
        <w:spacing w:line="360" w:lineRule="auto"/>
        <w:ind w:firstLine="560" w:firstLineChars="200"/>
        <w:jc w:val="left"/>
        <w:rPr>
          <w:rFonts w:ascii="宋体" w:hAnsi="宋体"/>
          <w:color w:val="auto"/>
          <w:sz w:val="28"/>
          <w:szCs w:val="28"/>
        </w:rPr>
      </w:pPr>
      <w:r>
        <w:rPr>
          <w:rFonts w:hint="eastAsia" w:ascii="宋体" w:hAnsi="宋体"/>
          <w:color w:val="auto"/>
          <w:sz w:val="28"/>
          <w:szCs w:val="28"/>
        </w:rPr>
        <w:t>根据《爆炸危险环境电力装置设计规范》(GB50058-2014)，该项目中涉及到易燃易爆物质主要为液氨、天然气等涉及爆炸性气体环境</w:t>
      </w:r>
      <w:r>
        <w:rPr>
          <w:rFonts w:hint="eastAsia" w:ascii="宋体" w:hAnsi="宋体"/>
          <w:color w:val="auto"/>
          <w:sz w:val="28"/>
          <w:szCs w:val="28"/>
          <w:lang w:eastAsia="zh-CN"/>
        </w:rPr>
        <w:t>；</w:t>
      </w:r>
      <w:r>
        <w:rPr>
          <w:rFonts w:hint="eastAsia" w:ascii="宋体" w:hAnsi="宋体"/>
          <w:color w:val="auto"/>
          <w:sz w:val="28"/>
          <w:szCs w:val="28"/>
        </w:rPr>
        <w:t>生产区设备内部及爆炸危险区域内地坪下的坑、沟划为1区；以设备释放源为中心，半径为15m，地坪上的高度为7.5m 及半径为7.5m、顶部与释放源的距离为7.5m的范围内划为2区。根据该项目的工艺特点及《爆炸危险环境电力装置设计规范》（GB50058）的要求，对该项目的防爆区域进行划分，企业应对防爆区域的所有电气，应按不同爆炸危险环境，配置不同的防爆电器。</w:t>
      </w:r>
    </w:p>
    <w:tbl>
      <w:tblPr>
        <w:tblStyle w:val="19"/>
        <w:tblW w:w="94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51"/>
        <w:gridCol w:w="3118"/>
        <w:gridCol w:w="4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top"/>
          </w:tcPr>
          <w:p>
            <w:pPr>
              <w:spacing w:line="240" w:lineRule="auto"/>
              <w:jc w:val="center"/>
              <w:rPr>
                <w:rFonts w:ascii="宋体" w:hAnsi="宋体"/>
                <w:b/>
                <w:color w:val="auto"/>
                <w:sz w:val="21"/>
                <w:szCs w:val="21"/>
              </w:rPr>
            </w:pPr>
            <w:r>
              <w:rPr>
                <w:rFonts w:hint="eastAsia" w:ascii="宋体" w:hAnsi="宋体"/>
                <w:b/>
                <w:color w:val="auto"/>
                <w:sz w:val="21"/>
                <w:szCs w:val="21"/>
              </w:rPr>
              <w:t>序号</w:t>
            </w:r>
          </w:p>
        </w:tc>
        <w:tc>
          <w:tcPr>
            <w:tcW w:w="851" w:type="dxa"/>
            <w:noWrap w:val="0"/>
            <w:vAlign w:val="top"/>
          </w:tcPr>
          <w:p>
            <w:pPr>
              <w:spacing w:line="240" w:lineRule="auto"/>
              <w:jc w:val="center"/>
              <w:rPr>
                <w:rFonts w:ascii="宋体" w:hAnsi="宋体"/>
                <w:b/>
                <w:color w:val="auto"/>
                <w:sz w:val="21"/>
                <w:szCs w:val="21"/>
              </w:rPr>
            </w:pPr>
            <w:r>
              <w:rPr>
                <w:rFonts w:hint="eastAsia" w:ascii="宋体" w:hAnsi="宋体"/>
                <w:b/>
                <w:color w:val="auto"/>
                <w:sz w:val="21"/>
                <w:szCs w:val="21"/>
              </w:rPr>
              <w:t>分区</w:t>
            </w:r>
          </w:p>
        </w:tc>
        <w:tc>
          <w:tcPr>
            <w:tcW w:w="3118" w:type="dxa"/>
            <w:noWrap w:val="0"/>
            <w:vAlign w:val="top"/>
          </w:tcPr>
          <w:p>
            <w:pPr>
              <w:spacing w:line="240" w:lineRule="auto"/>
              <w:jc w:val="center"/>
              <w:rPr>
                <w:rFonts w:ascii="宋体" w:hAnsi="宋体"/>
                <w:b/>
                <w:color w:val="auto"/>
                <w:sz w:val="21"/>
                <w:szCs w:val="21"/>
              </w:rPr>
            </w:pPr>
            <w:r>
              <w:rPr>
                <w:rFonts w:hint="eastAsia" w:ascii="宋体" w:hAnsi="宋体"/>
                <w:b/>
                <w:color w:val="auto"/>
                <w:sz w:val="21"/>
                <w:szCs w:val="21"/>
              </w:rPr>
              <w:t>条件</w:t>
            </w:r>
          </w:p>
        </w:tc>
        <w:tc>
          <w:tcPr>
            <w:tcW w:w="4678" w:type="dxa"/>
            <w:noWrap w:val="0"/>
            <w:vAlign w:val="top"/>
          </w:tcPr>
          <w:p>
            <w:pPr>
              <w:spacing w:line="240" w:lineRule="auto"/>
              <w:jc w:val="center"/>
              <w:rPr>
                <w:rFonts w:ascii="宋体" w:hAnsi="宋体"/>
                <w:b/>
                <w:color w:val="auto"/>
                <w:sz w:val="21"/>
                <w:szCs w:val="21"/>
              </w:rPr>
            </w:pPr>
            <w:r>
              <w:rPr>
                <w:rFonts w:hint="eastAsia" w:ascii="宋体" w:hAnsi="宋体"/>
                <w:b/>
                <w:color w:val="auto"/>
                <w:sz w:val="21"/>
                <w:szCs w:val="21"/>
              </w:rPr>
              <w:t>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64" w:type="dxa"/>
            <w:gridSpan w:val="4"/>
            <w:tcBorders>
              <w:bottom w:val="single" w:color="auto" w:sz="4" w:space="0"/>
            </w:tcBorders>
            <w:noWrap w:val="0"/>
            <w:vAlign w:val="top"/>
          </w:tcPr>
          <w:p>
            <w:pPr>
              <w:spacing w:line="240" w:lineRule="auto"/>
              <w:jc w:val="center"/>
              <w:rPr>
                <w:rFonts w:hint="eastAsia" w:ascii="宋体" w:hAnsi="宋体"/>
                <w:color w:val="auto"/>
                <w:sz w:val="21"/>
                <w:szCs w:val="21"/>
              </w:rPr>
            </w:pPr>
            <w:r>
              <w:rPr>
                <w:rFonts w:hint="eastAsia" w:ascii="宋体" w:hAnsi="宋体"/>
                <w:b/>
                <w:color w:val="auto"/>
                <w:sz w:val="21"/>
                <w:szCs w:val="21"/>
              </w:rPr>
              <w:t>可燃气体爆炸危险区域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817" w:type="dxa"/>
            <w:vMerge w:val="restart"/>
            <w:tcBorders>
              <w:top w:val="single" w:color="auto" w:sz="4" w:space="0"/>
            </w:tcBorders>
            <w:noWrap w:val="0"/>
            <w:vAlign w:val="top"/>
          </w:tcPr>
          <w:p>
            <w:pPr>
              <w:spacing w:line="240" w:lineRule="auto"/>
              <w:rPr>
                <w:rFonts w:hint="eastAsia" w:ascii="宋体" w:hAnsi="宋体" w:eastAsia="宋体"/>
                <w:color w:val="auto"/>
                <w:sz w:val="21"/>
                <w:szCs w:val="21"/>
                <w:lang w:eastAsia="zh-CN"/>
              </w:rPr>
            </w:pPr>
            <w:r>
              <w:rPr>
                <w:rFonts w:hint="eastAsia" w:ascii="宋体" w:hAnsi="宋体"/>
                <w:color w:val="auto"/>
                <w:sz w:val="21"/>
                <w:szCs w:val="21"/>
                <w:lang w:val="en-US" w:eastAsia="zh-CN"/>
              </w:rPr>
              <w:t>1</w:t>
            </w:r>
          </w:p>
        </w:tc>
        <w:tc>
          <w:tcPr>
            <w:tcW w:w="851" w:type="dxa"/>
            <w:vMerge w:val="restart"/>
            <w:tcBorders>
              <w:top w:val="single" w:color="auto" w:sz="4" w:space="0"/>
            </w:tcBorders>
            <w:noWrap w:val="0"/>
            <w:vAlign w:val="top"/>
          </w:tcPr>
          <w:p>
            <w:pPr>
              <w:spacing w:line="240" w:lineRule="auto"/>
              <w:rPr>
                <w:rFonts w:ascii="宋体" w:hAnsi="宋体"/>
                <w:color w:val="auto"/>
                <w:sz w:val="21"/>
                <w:szCs w:val="21"/>
              </w:rPr>
            </w:pPr>
            <w:r>
              <w:rPr>
                <w:rFonts w:hint="eastAsia" w:ascii="宋体" w:hAnsi="宋体"/>
                <w:color w:val="auto"/>
                <w:sz w:val="21"/>
                <w:szCs w:val="21"/>
              </w:rPr>
              <w:t>1区</w:t>
            </w:r>
          </w:p>
        </w:tc>
        <w:tc>
          <w:tcPr>
            <w:tcW w:w="3118" w:type="dxa"/>
            <w:vMerge w:val="restart"/>
            <w:tcBorders>
              <w:top w:val="single" w:color="auto" w:sz="4" w:space="0"/>
            </w:tcBorders>
            <w:noWrap w:val="0"/>
            <w:vAlign w:val="top"/>
          </w:tcPr>
          <w:p>
            <w:pPr>
              <w:spacing w:line="240" w:lineRule="auto"/>
              <w:rPr>
                <w:rFonts w:ascii="宋体" w:hAnsi="宋体"/>
                <w:color w:val="auto"/>
                <w:sz w:val="21"/>
                <w:szCs w:val="21"/>
              </w:rPr>
            </w:pPr>
            <w:r>
              <w:rPr>
                <w:rFonts w:hint="eastAsia" w:ascii="宋体" w:hAnsi="宋体"/>
                <w:color w:val="auto"/>
                <w:sz w:val="21"/>
                <w:szCs w:val="21"/>
              </w:rPr>
              <w:t>在正常运行时可能出现爆炸性气体混合物的环境。</w:t>
            </w:r>
          </w:p>
        </w:tc>
        <w:tc>
          <w:tcPr>
            <w:tcW w:w="4678" w:type="dxa"/>
            <w:noWrap w:val="0"/>
            <w:vAlign w:val="top"/>
          </w:tcPr>
          <w:p>
            <w:pPr>
              <w:spacing w:line="240" w:lineRule="auto"/>
              <w:rPr>
                <w:rFonts w:ascii="宋体" w:hAnsi="宋体"/>
                <w:color w:val="auto"/>
                <w:sz w:val="21"/>
                <w:szCs w:val="21"/>
              </w:rPr>
            </w:pPr>
            <w:r>
              <w:rPr>
                <w:rFonts w:hint="eastAsia" w:ascii="宋体" w:hAnsi="宋体"/>
                <w:color w:val="auto"/>
                <w:sz w:val="21"/>
                <w:szCs w:val="21"/>
              </w:rPr>
              <w:t>以设备放空口为中心,半径为1.5m的空间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noWrap w:val="0"/>
            <w:vAlign w:val="top"/>
          </w:tcPr>
          <w:p>
            <w:pPr>
              <w:spacing w:line="240" w:lineRule="auto"/>
              <w:rPr>
                <w:rFonts w:ascii="宋体" w:hAnsi="宋体"/>
                <w:color w:val="auto"/>
                <w:sz w:val="21"/>
                <w:szCs w:val="21"/>
              </w:rPr>
            </w:pPr>
          </w:p>
        </w:tc>
        <w:tc>
          <w:tcPr>
            <w:tcW w:w="851" w:type="dxa"/>
            <w:vMerge w:val="continue"/>
            <w:noWrap w:val="0"/>
            <w:vAlign w:val="top"/>
          </w:tcPr>
          <w:p>
            <w:pPr>
              <w:spacing w:line="240" w:lineRule="auto"/>
              <w:rPr>
                <w:rFonts w:ascii="宋体" w:hAnsi="宋体"/>
                <w:color w:val="auto"/>
                <w:sz w:val="21"/>
                <w:szCs w:val="21"/>
              </w:rPr>
            </w:pPr>
          </w:p>
        </w:tc>
        <w:tc>
          <w:tcPr>
            <w:tcW w:w="3118" w:type="dxa"/>
            <w:vMerge w:val="continue"/>
            <w:noWrap w:val="0"/>
            <w:vAlign w:val="top"/>
          </w:tcPr>
          <w:p>
            <w:pPr>
              <w:spacing w:line="240" w:lineRule="auto"/>
              <w:rPr>
                <w:rFonts w:ascii="宋体" w:hAnsi="宋体"/>
                <w:color w:val="auto"/>
                <w:sz w:val="21"/>
                <w:szCs w:val="21"/>
              </w:rPr>
            </w:pPr>
          </w:p>
        </w:tc>
        <w:tc>
          <w:tcPr>
            <w:tcW w:w="4678" w:type="dxa"/>
            <w:noWrap w:val="0"/>
            <w:vAlign w:val="top"/>
          </w:tcPr>
          <w:p>
            <w:pPr>
              <w:spacing w:line="240" w:lineRule="auto"/>
              <w:rPr>
                <w:rFonts w:ascii="宋体" w:hAnsi="宋体"/>
                <w:color w:val="auto"/>
                <w:sz w:val="21"/>
                <w:szCs w:val="21"/>
              </w:rPr>
            </w:pPr>
            <w:r>
              <w:rPr>
                <w:rFonts w:hint="eastAsia" w:ascii="宋体" w:hAnsi="宋体"/>
                <w:color w:val="auto"/>
                <w:sz w:val="21"/>
                <w:szCs w:val="21"/>
              </w:rPr>
              <w:t>在爆炸危险区域下车间、罐区、装卸场所的坑沟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restart"/>
            <w:noWrap w:val="0"/>
            <w:vAlign w:val="top"/>
          </w:tcPr>
          <w:p>
            <w:pPr>
              <w:spacing w:line="240" w:lineRule="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2</w:t>
            </w:r>
          </w:p>
        </w:tc>
        <w:tc>
          <w:tcPr>
            <w:tcW w:w="851" w:type="dxa"/>
            <w:vMerge w:val="restart"/>
            <w:noWrap w:val="0"/>
            <w:vAlign w:val="top"/>
          </w:tcPr>
          <w:p>
            <w:pPr>
              <w:spacing w:line="240" w:lineRule="auto"/>
              <w:rPr>
                <w:rFonts w:ascii="宋体" w:hAnsi="宋体"/>
                <w:color w:val="auto"/>
                <w:sz w:val="21"/>
                <w:szCs w:val="21"/>
              </w:rPr>
            </w:pPr>
            <w:r>
              <w:rPr>
                <w:rFonts w:hint="eastAsia" w:ascii="宋体" w:hAnsi="宋体"/>
                <w:color w:val="auto"/>
                <w:sz w:val="21"/>
                <w:szCs w:val="21"/>
              </w:rPr>
              <w:t>2区</w:t>
            </w:r>
          </w:p>
        </w:tc>
        <w:tc>
          <w:tcPr>
            <w:tcW w:w="3118" w:type="dxa"/>
            <w:vMerge w:val="restart"/>
            <w:noWrap w:val="0"/>
            <w:vAlign w:val="top"/>
          </w:tcPr>
          <w:p>
            <w:pPr>
              <w:spacing w:line="240" w:lineRule="auto"/>
              <w:rPr>
                <w:rFonts w:ascii="宋体" w:hAnsi="宋体"/>
                <w:color w:val="auto"/>
                <w:sz w:val="21"/>
                <w:szCs w:val="21"/>
              </w:rPr>
            </w:pPr>
            <w:r>
              <w:rPr>
                <w:rFonts w:hint="eastAsia" w:ascii="宋体" w:hAnsi="宋体"/>
                <w:color w:val="auto"/>
                <w:sz w:val="21"/>
                <w:szCs w:val="21"/>
              </w:rPr>
              <w:t>在正常运行时不可能出现爆炸性混合气体的环境，即使出现也仅是短时存在爆炸性混合物气体的环境。</w:t>
            </w:r>
          </w:p>
        </w:tc>
        <w:tc>
          <w:tcPr>
            <w:tcW w:w="4678" w:type="dxa"/>
            <w:tcBorders>
              <w:bottom w:val="single" w:color="auto" w:sz="4" w:space="0"/>
            </w:tcBorders>
            <w:noWrap w:val="0"/>
            <w:vAlign w:val="top"/>
          </w:tcPr>
          <w:p>
            <w:pPr>
              <w:spacing w:line="240" w:lineRule="auto"/>
              <w:rPr>
                <w:rFonts w:ascii="宋体" w:hAnsi="宋体"/>
                <w:color w:val="auto"/>
                <w:sz w:val="21"/>
                <w:szCs w:val="21"/>
              </w:rPr>
            </w:pPr>
            <w:r>
              <w:rPr>
                <w:rFonts w:hint="eastAsia" w:ascii="宋体" w:hAnsi="宋体"/>
                <w:color w:val="auto"/>
                <w:sz w:val="21"/>
                <w:szCs w:val="21"/>
              </w:rPr>
              <w:t>压缩机、储罐的泵和阀门的密封外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8" w:hRule="atLeast"/>
          <w:jc w:val="center"/>
        </w:trPr>
        <w:tc>
          <w:tcPr>
            <w:tcW w:w="817" w:type="dxa"/>
            <w:vMerge w:val="continue"/>
            <w:noWrap w:val="0"/>
            <w:vAlign w:val="top"/>
          </w:tcPr>
          <w:p>
            <w:pPr>
              <w:spacing w:line="240" w:lineRule="auto"/>
              <w:rPr>
                <w:rFonts w:ascii="宋体" w:hAnsi="宋体"/>
                <w:color w:val="auto"/>
                <w:sz w:val="21"/>
                <w:szCs w:val="21"/>
              </w:rPr>
            </w:pPr>
          </w:p>
        </w:tc>
        <w:tc>
          <w:tcPr>
            <w:tcW w:w="851" w:type="dxa"/>
            <w:vMerge w:val="continue"/>
            <w:noWrap w:val="0"/>
            <w:vAlign w:val="top"/>
          </w:tcPr>
          <w:p>
            <w:pPr>
              <w:spacing w:line="240" w:lineRule="auto"/>
              <w:rPr>
                <w:rFonts w:ascii="宋体" w:hAnsi="宋体"/>
                <w:color w:val="auto"/>
                <w:sz w:val="21"/>
                <w:szCs w:val="21"/>
              </w:rPr>
            </w:pPr>
          </w:p>
        </w:tc>
        <w:tc>
          <w:tcPr>
            <w:tcW w:w="3118" w:type="dxa"/>
            <w:vMerge w:val="continue"/>
            <w:noWrap w:val="0"/>
            <w:vAlign w:val="top"/>
          </w:tcPr>
          <w:p>
            <w:pPr>
              <w:spacing w:line="240" w:lineRule="auto"/>
              <w:rPr>
                <w:rFonts w:ascii="宋体" w:hAnsi="宋体"/>
                <w:color w:val="auto"/>
                <w:sz w:val="21"/>
                <w:szCs w:val="21"/>
              </w:rPr>
            </w:pPr>
          </w:p>
        </w:tc>
        <w:tc>
          <w:tcPr>
            <w:tcW w:w="4678" w:type="dxa"/>
            <w:tcBorders>
              <w:bottom w:val="single" w:color="auto" w:sz="4" w:space="0"/>
            </w:tcBorders>
            <w:noWrap w:val="0"/>
            <w:vAlign w:val="top"/>
          </w:tcPr>
          <w:p>
            <w:pPr>
              <w:spacing w:line="240" w:lineRule="auto"/>
              <w:rPr>
                <w:rFonts w:ascii="宋体" w:hAnsi="宋体"/>
                <w:color w:val="auto"/>
                <w:sz w:val="21"/>
                <w:szCs w:val="21"/>
              </w:rPr>
            </w:pPr>
            <w:r>
              <w:rPr>
                <w:rFonts w:hint="eastAsia" w:ascii="宋体" w:hAnsi="宋体"/>
                <w:color w:val="auto"/>
                <w:sz w:val="21"/>
                <w:szCs w:val="21"/>
              </w:rPr>
              <w:t>工艺程序控制阀周围的区域,在阀杆密封或类似密封周围的0.5m的范围内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noWrap w:val="0"/>
            <w:vAlign w:val="top"/>
          </w:tcPr>
          <w:p>
            <w:pPr>
              <w:spacing w:line="240" w:lineRule="auto"/>
              <w:rPr>
                <w:rFonts w:ascii="宋体" w:hAnsi="宋体"/>
                <w:color w:val="auto"/>
                <w:sz w:val="21"/>
                <w:szCs w:val="21"/>
              </w:rPr>
            </w:pPr>
          </w:p>
        </w:tc>
        <w:tc>
          <w:tcPr>
            <w:tcW w:w="851" w:type="dxa"/>
            <w:vMerge w:val="continue"/>
            <w:noWrap w:val="0"/>
            <w:vAlign w:val="top"/>
          </w:tcPr>
          <w:p>
            <w:pPr>
              <w:spacing w:line="240" w:lineRule="auto"/>
              <w:rPr>
                <w:rFonts w:ascii="宋体" w:hAnsi="宋体"/>
                <w:color w:val="auto"/>
                <w:sz w:val="21"/>
                <w:szCs w:val="21"/>
              </w:rPr>
            </w:pPr>
          </w:p>
        </w:tc>
        <w:tc>
          <w:tcPr>
            <w:tcW w:w="3118" w:type="dxa"/>
            <w:vMerge w:val="continue"/>
            <w:noWrap w:val="0"/>
            <w:vAlign w:val="top"/>
          </w:tcPr>
          <w:p>
            <w:pPr>
              <w:spacing w:line="240" w:lineRule="auto"/>
              <w:rPr>
                <w:rFonts w:ascii="宋体" w:hAnsi="宋体"/>
                <w:color w:val="auto"/>
                <w:sz w:val="21"/>
                <w:szCs w:val="21"/>
              </w:rPr>
            </w:pPr>
          </w:p>
        </w:tc>
        <w:tc>
          <w:tcPr>
            <w:tcW w:w="4678" w:type="dxa"/>
            <w:tcBorders>
              <w:top w:val="single" w:color="auto" w:sz="4" w:space="0"/>
              <w:bottom w:val="single" w:color="auto" w:sz="4" w:space="0"/>
            </w:tcBorders>
            <w:noWrap w:val="0"/>
            <w:vAlign w:val="top"/>
          </w:tcPr>
          <w:p>
            <w:pPr>
              <w:spacing w:line="240" w:lineRule="auto"/>
              <w:rPr>
                <w:rFonts w:ascii="宋体" w:hAnsi="宋体"/>
                <w:color w:val="auto"/>
                <w:sz w:val="21"/>
                <w:szCs w:val="21"/>
              </w:rPr>
            </w:pPr>
            <w:r>
              <w:rPr>
                <w:rFonts w:hint="eastAsia" w:ascii="宋体" w:hAnsi="宋体"/>
                <w:color w:val="auto"/>
                <w:sz w:val="21"/>
                <w:szCs w:val="21"/>
                <w:lang w:val="en-US" w:eastAsia="zh-CN"/>
              </w:rPr>
              <w:t>设备</w:t>
            </w:r>
            <w:r>
              <w:rPr>
                <w:rFonts w:hint="eastAsia" w:ascii="宋体" w:hAnsi="宋体"/>
                <w:color w:val="auto"/>
                <w:sz w:val="21"/>
                <w:szCs w:val="21"/>
              </w:rPr>
              <w:t>的法兰、连接件和管道接头、安全阀、排气孔处</w:t>
            </w:r>
            <w:r>
              <w:rPr>
                <w:rFonts w:hint="eastAsia"/>
                <w:color w:val="auto"/>
                <w:sz w:val="21"/>
                <w:szCs w:val="21"/>
              </w:rPr>
              <w:t>距离为7.5m的范围内；</w:t>
            </w:r>
          </w:p>
        </w:tc>
      </w:tr>
    </w:tbl>
    <w:p>
      <w:pPr>
        <w:bidi w:val="0"/>
        <w:ind w:firstLine="560" w:firstLineChars="200"/>
        <w:rPr>
          <w:rFonts w:hint="default"/>
          <w:color w:val="auto"/>
          <w:lang w:val="en-US" w:eastAsia="zh-CN"/>
        </w:rPr>
      </w:pPr>
      <w:r>
        <w:rPr>
          <w:rFonts w:hint="eastAsia" w:ascii="宋体" w:hAnsi="宋体"/>
          <w:color w:val="auto"/>
          <w:sz w:val="28"/>
          <w:szCs w:val="28"/>
        </w:rPr>
        <w:t>根据该项目的工艺特点及《爆炸危险环境电力装置设计规范》（GB50058）的要求，该项目涉氨等易燃物质爆炸危险区域场所电气防爆等级不应小于ⅡAT2；涉及其他易燃易爆物料爆炸危险区域场所电气防爆等级不应小于ⅡAT1。</w:t>
      </w:r>
    </w:p>
    <w:p>
      <w:pPr>
        <w:rPr>
          <w:rFonts w:hint="default" w:ascii="Times New Roman" w:hAnsi="Times New Roman" w:eastAsia="黑体" w:cs="Times New Roman"/>
          <w:color w:val="auto"/>
          <w:kern w:val="10"/>
          <w:sz w:val="32"/>
          <w:szCs w:val="32"/>
          <w:lang w:val="en-US" w:eastAsia="zh-CN" w:bidi="ar-SA"/>
        </w:rPr>
      </w:pPr>
      <w:r>
        <w:rPr>
          <w:rFonts w:hint="default" w:ascii="Times New Roman" w:hAnsi="Times New Roman" w:eastAsia="黑体" w:cs="Times New Roman"/>
          <w:color w:val="auto"/>
          <w:kern w:val="10"/>
          <w:sz w:val="32"/>
          <w:szCs w:val="32"/>
          <w:lang w:val="en-US" w:eastAsia="zh-CN" w:bidi="ar-SA"/>
        </w:rPr>
        <w:br w:type="page"/>
      </w:r>
    </w:p>
    <w:p>
      <w:pPr>
        <w:jc w:val="center"/>
        <w:rPr>
          <w:rFonts w:hint="default" w:ascii="Times New Roman" w:hAnsi="Times New Roman" w:eastAsia="黑体" w:cs="Times New Roman"/>
          <w:color w:val="auto"/>
          <w:kern w:val="10"/>
          <w:sz w:val="32"/>
          <w:szCs w:val="32"/>
          <w:lang w:val="en-US" w:eastAsia="zh-CN" w:bidi="ar-SA"/>
        </w:rPr>
      </w:pPr>
      <w:r>
        <w:rPr>
          <w:rFonts w:hint="default" w:ascii="Times New Roman" w:hAnsi="Times New Roman" w:eastAsia="黑体" w:cs="Times New Roman"/>
          <w:color w:val="auto"/>
          <w:kern w:val="10"/>
          <w:sz w:val="32"/>
          <w:szCs w:val="32"/>
          <w:lang w:val="en-US" w:eastAsia="zh-CN" w:bidi="ar-SA"/>
        </w:rPr>
        <w:t>4评价单元确定及评价方法的选定、简介</w:t>
      </w: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77" w:name="_Toc12068"/>
      <w:bookmarkStart w:id="78" w:name="_Toc27864"/>
      <w:bookmarkStart w:id="79" w:name="_Toc5067"/>
      <w:bookmarkStart w:id="80" w:name="_Toc11239"/>
      <w:r>
        <w:rPr>
          <w:rFonts w:hint="default" w:ascii="Times New Roman" w:hAnsi="Times New Roman" w:eastAsia="楷体" w:cs="Times New Roman"/>
          <w:b/>
          <w:bCs/>
          <w:color w:val="auto"/>
          <w:kern w:val="2"/>
          <w:sz w:val="32"/>
          <w:szCs w:val="32"/>
          <w:lang w:val="en-US" w:eastAsia="zh-CN" w:bidi="ar-SA"/>
        </w:rPr>
        <w:t>4.1评价单元的确定</w:t>
      </w:r>
      <w:bookmarkEnd w:id="77"/>
      <w:bookmarkEnd w:id="78"/>
      <w:bookmarkEnd w:id="79"/>
      <w:bookmarkEnd w:id="80"/>
    </w:p>
    <w:p>
      <w:pPr>
        <w:pStyle w:val="28"/>
        <w:spacing w:beforeLines="-2147483648" w:beforeAutospacing="0" w:afterLines="-2147483648" w:afterAutospacing="0" w:line="580" w:lineRule="exact"/>
        <w:ind w:left="31680"/>
        <w:rPr>
          <w:rFonts w:hint="default" w:ascii="Times New Roman" w:hAnsi="Times New Roman" w:cs="Times New Roman"/>
          <w:b w:val="0"/>
          <w:color w:val="auto"/>
        </w:rPr>
      </w:pPr>
      <w:r>
        <w:rPr>
          <w:rFonts w:hint="default" w:ascii="Times New Roman" w:hAnsi="Times New Roman" w:cs="Times New Roman"/>
          <w:b w:val="0"/>
          <w:color w:val="auto"/>
        </w:rPr>
        <w:t>4.1.1评价单元划分原则</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49"/>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评价单元是装置的一台独立的组成部分。一是指布置上的相对独立性，即与装置的其它部分之间有一定的安全距离。二是指工艺上的不同性，即一台单元在一般情况下是一种工艺，通过将装置划分为不同类型的单元，可对其不同危险特性分别进行评价，根据评价结果，有针对性地采取不同的安全对策措施，从而在确保安全的前提下节省投资。</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49"/>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划分安全评价单元的原则包括：</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1、以危险、有害因素类别为主划分评价单元；</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t>2、以装置、设施和工艺流程的特征划分评价单元；</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3、安全管理、外部周边情况单独划分为评价单元。</w:t>
      </w:r>
    </w:p>
    <w:p>
      <w:pPr>
        <w:pStyle w:val="28"/>
        <w:spacing w:beforeLines="-2147483648" w:beforeAutospacing="0" w:afterLines="-2147483648" w:afterAutospacing="0" w:line="580" w:lineRule="exact"/>
        <w:ind w:left="31680"/>
        <w:rPr>
          <w:rFonts w:hint="default" w:ascii="Times New Roman" w:hAnsi="Times New Roman" w:cs="Times New Roman"/>
          <w:b w:val="0"/>
          <w:color w:val="auto"/>
        </w:rPr>
      </w:pPr>
      <w:r>
        <w:rPr>
          <w:rFonts w:hint="default" w:ascii="Times New Roman" w:hAnsi="Times New Roman" w:cs="Times New Roman"/>
          <w:b w:val="0"/>
          <w:color w:val="auto"/>
        </w:rPr>
        <w:t>4.1.2评价单元划分</w:t>
      </w:r>
    </w:p>
    <w:p>
      <w:pPr>
        <w:autoSpaceDE w:val="0"/>
        <w:autoSpaceDN w:val="0"/>
        <w:adjustRightInd w:val="0"/>
        <w:spacing w:line="580" w:lineRule="exact"/>
        <w:ind w:firstLine="549"/>
        <w:rPr>
          <w:rFonts w:hint="default" w:ascii="Times New Roman" w:hAnsi="Times New Roman" w:eastAsia="宋体" w:cs="Times New Roman"/>
          <w:color w:val="auto"/>
        </w:rPr>
      </w:pPr>
      <w:r>
        <w:rPr>
          <w:rFonts w:hint="default" w:ascii="Times New Roman" w:hAnsi="Times New Roman" w:eastAsia="宋体" w:cs="Times New Roman"/>
          <w:color w:val="auto"/>
          <w:lang w:val="zh-CN"/>
        </w:rPr>
        <w:t>根据评价单元划分的原则，结合该项目生产、储存装置的工艺特点及功能分布，进行评价单元划分。</w:t>
      </w:r>
    </w:p>
    <w:p>
      <w:pPr>
        <w:autoSpaceDE w:val="0"/>
        <w:autoSpaceDN w:val="0"/>
        <w:adjustRightInd w:val="0"/>
        <w:spacing w:line="580" w:lineRule="exact"/>
        <w:ind w:firstLine="56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本评价根据委托方提供的可行性研究报告和有关技术资料，按照各工序功能分布及作业场所，总体上划分为以下评价单元。</w:t>
      </w:r>
    </w:p>
    <w:p>
      <w:pPr>
        <w:autoSpaceDE w:val="0"/>
        <w:autoSpaceDN w:val="0"/>
        <w:adjustRightInd w:val="0"/>
        <w:spacing w:line="580" w:lineRule="exact"/>
        <w:ind w:firstLine="56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项目选址与周边环境单元</w:t>
      </w:r>
    </w:p>
    <w:p>
      <w:pPr>
        <w:autoSpaceDE w:val="0"/>
        <w:autoSpaceDN w:val="0"/>
        <w:adjustRightInd w:val="0"/>
        <w:spacing w:line="580" w:lineRule="exact"/>
        <w:ind w:firstLine="56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总平面布置及建构筑物单元</w:t>
      </w:r>
    </w:p>
    <w:p>
      <w:pPr>
        <w:autoSpaceDE w:val="0"/>
        <w:autoSpaceDN w:val="0"/>
        <w:adjustRightInd w:val="0"/>
        <w:spacing w:line="580" w:lineRule="exact"/>
        <w:ind w:firstLine="56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生产单元</w:t>
      </w:r>
    </w:p>
    <w:p>
      <w:pPr>
        <w:autoSpaceDE w:val="0"/>
        <w:autoSpaceDN w:val="0"/>
        <w:adjustRightInd w:val="0"/>
        <w:spacing w:line="580" w:lineRule="exact"/>
        <w:ind w:firstLine="56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储运单元</w:t>
      </w:r>
    </w:p>
    <w:p>
      <w:pPr>
        <w:autoSpaceDE w:val="0"/>
        <w:autoSpaceDN w:val="0"/>
        <w:adjustRightInd w:val="0"/>
        <w:spacing w:line="580" w:lineRule="exact"/>
        <w:ind w:firstLine="56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公用工程及辅助设施单元</w:t>
      </w:r>
    </w:p>
    <w:p>
      <w:pPr>
        <w:autoSpaceDE w:val="0"/>
        <w:autoSpaceDN w:val="0"/>
        <w:adjustRightInd w:val="0"/>
        <w:spacing w:line="580" w:lineRule="exact"/>
        <w:ind w:firstLine="56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特种设备单元</w:t>
      </w:r>
    </w:p>
    <w:p>
      <w:pPr>
        <w:autoSpaceDE w:val="0"/>
        <w:autoSpaceDN w:val="0"/>
        <w:adjustRightInd w:val="0"/>
        <w:spacing w:line="580" w:lineRule="exact"/>
        <w:ind w:firstLine="56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消防单元</w:t>
      </w:r>
    </w:p>
    <w:p>
      <w:pPr>
        <w:rPr>
          <w:rFonts w:hint="default" w:ascii="Times New Roman" w:hAnsi="Times New Roman" w:eastAsia="黑体" w:cs="Times New Roman"/>
          <w:color w:val="auto"/>
          <w:kern w:val="10"/>
          <w:sz w:val="32"/>
          <w:szCs w:val="32"/>
          <w:lang w:val="en-US" w:eastAsia="zh-CN" w:bidi="ar-SA"/>
        </w:rPr>
      </w:pPr>
      <w:bookmarkStart w:id="81" w:name="_Toc30677"/>
      <w:r>
        <w:rPr>
          <w:rFonts w:hint="default" w:ascii="Times New Roman" w:hAnsi="Times New Roman" w:eastAsia="黑体" w:cs="Times New Roman"/>
          <w:color w:val="auto"/>
          <w:kern w:val="10"/>
          <w:sz w:val="32"/>
          <w:szCs w:val="32"/>
          <w:lang w:val="en-US" w:eastAsia="zh-CN" w:bidi="ar-SA"/>
        </w:rPr>
        <w:br w:type="page"/>
      </w:r>
    </w:p>
    <w:p>
      <w:pPr>
        <w:keepNext/>
        <w:keepLines/>
        <w:widowControl w:val="0"/>
        <w:spacing w:line="600" w:lineRule="exact"/>
        <w:jc w:val="center"/>
        <w:outlineLvl w:val="0"/>
        <w:rPr>
          <w:rFonts w:hint="default" w:ascii="Times New Roman" w:hAnsi="Times New Roman" w:eastAsia="黑体" w:cs="Times New Roman"/>
          <w:color w:val="auto"/>
          <w:kern w:val="10"/>
          <w:sz w:val="32"/>
          <w:szCs w:val="32"/>
          <w:lang w:val="en-US" w:eastAsia="zh-CN" w:bidi="ar-SA"/>
        </w:rPr>
      </w:pPr>
      <w:bookmarkStart w:id="82" w:name="_Toc8326"/>
      <w:r>
        <w:rPr>
          <w:rFonts w:hint="default" w:ascii="Times New Roman" w:hAnsi="Times New Roman" w:eastAsia="黑体" w:cs="Times New Roman"/>
          <w:color w:val="auto"/>
          <w:kern w:val="10"/>
          <w:sz w:val="32"/>
          <w:szCs w:val="32"/>
          <w:lang w:val="en-US" w:eastAsia="zh-CN" w:bidi="ar-SA"/>
        </w:rPr>
        <w:t>5采用的安全评价方法及理由说明</w:t>
      </w:r>
      <w:bookmarkEnd w:id="81"/>
      <w:bookmarkEnd w:id="82"/>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83" w:name="_Toc18400"/>
      <w:bookmarkStart w:id="84" w:name="_Toc9486"/>
      <w:r>
        <w:rPr>
          <w:rFonts w:hint="default" w:ascii="Times New Roman" w:hAnsi="Times New Roman" w:eastAsia="楷体" w:cs="Times New Roman"/>
          <w:b/>
          <w:bCs/>
          <w:color w:val="auto"/>
          <w:kern w:val="2"/>
          <w:sz w:val="32"/>
          <w:szCs w:val="32"/>
          <w:lang w:val="en-US" w:eastAsia="zh-CN" w:bidi="ar-SA"/>
        </w:rPr>
        <w:t>5.1各单元采用的评价方法</w:t>
      </w:r>
      <w:bookmarkEnd w:id="83"/>
      <w:bookmarkEnd w:id="84"/>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1.安全评价方法选择</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根据该项目的生产工艺特点和每种评价方法的特点及适用范围的界定，采用如下评价方法：</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1）安全检查表法（SCL）</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2）预先危险分析法（PHA）</w:t>
      </w:r>
    </w:p>
    <w:p>
      <w:pPr>
        <w:ind w:firstLine="56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3）</w:t>
      </w:r>
      <w:r>
        <w:rPr>
          <w:rFonts w:hint="default" w:ascii="Times New Roman" w:hAnsi="Times New Roman" w:eastAsia="宋体" w:cs="Times New Roman"/>
          <w:color w:val="auto"/>
          <w:lang w:eastAsia="zh-CN"/>
        </w:rPr>
        <w:t>危险度分析法</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2.评价单元与评价方法的对应关系</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评价单元与评价方法的对应关系如下表5.1-1。 </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表5.1-1 评价单元划分及评价方法一览表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1"/>
        <w:gridCol w:w="1521"/>
        <w:gridCol w:w="1776"/>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评价单元</w:t>
            </w:r>
          </w:p>
        </w:tc>
        <w:tc>
          <w:tcPr>
            <w:tcW w:w="819"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安全检查表法</w:t>
            </w:r>
          </w:p>
        </w:tc>
        <w:tc>
          <w:tcPr>
            <w:tcW w:w="956"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预先危险性分析</w:t>
            </w:r>
          </w:p>
        </w:tc>
        <w:tc>
          <w:tcPr>
            <w:tcW w:w="956"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危险度分析法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项目选址与周边环境单元</w:t>
            </w:r>
          </w:p>
        </w:tc>
        <w:tc>
          <w:tcPr>
            <w:tcW w:w="819" w:type="pct"/>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56" w:type="pct"/>
            <w:vAlign w:val="center"/>
          </w:tcPr>
          <w:p>
            <w:pPr>
              <w:spacing w:line="240" w:lineRule="exact"/>
              <w:jc w:val="center"/>
              <w:rPr>
                <w:rFonts w:hint="default" w:ascii="Times New Roman" w:hAnsi="Times New Roman" w:eastAsia="宋体" w:cs="Times New Roman"/>
                <w:color w:val="auto"/>
                <w:kern w:val="0"/>
                <w:sz w:val="21"/>
                <w:szCs w:val="21"/>
              </w:rPr>
            </w:pPr>
          </w:p>
        </w:tc>
        <w:tc>
          <w:tcPr>
            <w:tcW w:w="956" w:type="pct"/>
            <w:vAlign w:val="center"/>
          </w:tcPr>
          <w:p>
            <w:pPr>
              <w:spacing w:line="240" w:lineRule="exact"/>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总平面布置及建构筑物单元</w:t>
            </w:r>
          </w:p>
        </w:tc>
        <w:tc>
          <w:tcPr>
            <w:tcW w:w="819" w:type="pct"/>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56" w:type="pct"/>
            <w:vAlign w:val="center"/>
          </w:tcPr>
          <w:p>
            <w:pPr>
              <w:spacing w:line="240" w:lineRule="exact"/>
              <w:jc w:val="center"/>
              <w:rPr>
                <w:rFonts w:hint="default" w:ascii="Times New Roman" w:hAnsi="Times New Roman" w:eastAsia="宋体" w:cs="Times New Roman"/>
                <w:color w:val="auto"/>
                <w:kern w:val="0"/>
                <w:sz w:val="21"/>
                <w:szCs w:val="21"/>
              </w:rPr>
            </w:pPr>
          </w:p>
        </w:tc>
        <w:tc>
          <w:tcPr>
            <w:tcW w:w="956" w:type="pct"/>
            <w:vAlign w:val="center"/>
          </w:tcPr>
          <w:p>
            <w:pPr>
              <w:spacing w:line="240" w:lineRule="exact"/>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生产单元</w:t>
            </w:r>
          </w:p>
        </w:tc>
        <w:tc>
          <w:tcPr>
            <w:tcW w:w="819" w:type="pct"/>
            <w:vAlign w:val="center"/>
          </w:tcPr>
          <w:p>
            <w:pPr>
              <w:spacing w:line="240" w:lineRule="exact"/>
              <w:jc w:val="center"/>
              <w:rPr>
                <w:rFonts w:hint="default" w:ascii="Times New Roman" w:hAnsi="Times New Roman" w:eastAsia="宋体" w:cs="Times New Roman"/>
                <w:color w:val="auto"/>
                <w:sz w:val="21"/>
                <w:szCs w:val="21"/>
              </w:rPr>
            </w:pPr>
          </w:p>
        </w:tc>
        <w:tc>
          <w:tcPr>
            <w:tcW w:w="956"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956"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储运单元</w:t>
            </w:r>
          </w:p>
        </w:tc>
        <w:tc>
          <w:tcPr>
            <w:tcW w:w="819" w:type="pct"/>
            <w:vAlign w:val="center"/>
          </w:tcPr>
          <w:p>
            <w:pPr>
              <w:spacing w:line="240" w:lineRule="exact"/>
              <w:jc w:val="center"/>
              <w:rPr>
                <w:rFonts w:hint="default" w:ascii="Times New Roman" w:hAnsi="Times New Roman" w:eastAsia="宋体" w:cs="Times New Roman"/>
                <w:color w:val="auto"/>
                <w:sz w:val="21"/>
                <w:szCs w:val="21"/>
              </w:rPr>
            </w:pPr>
          </w:p>
        </w:tc>
        <w:tc>
          <w:tcPr>
            <w:tcW w:w="956"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956"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公用工程及辅助设施单元</w:t>
            </w:r>
          </w:p>
        </w:tc>
        <w:tc>
          <w:tcPr>
            <w:tcW w:w="819" w:type="pct"/>
            <w:vAlign w:val="center"/>
          </w:tcPr>
          <w:p>
            <w:pPr>
              <w:spacing w:line="240" w:lineRule="exact"/>
              <w:jc w:val="center"/>
              <w:rPr>
                <w:rFonts w:hint="default" w:ascii="Times New Roman" w:hAnsi="Times New Roman" w:eastAsia="宋体" w:cs="Times New Roman"/>
                <w:color w:val="auto"/>
                <w:sz w:val="21"/>
                <w:szCs w:val="21"/>
              </w:rPr>
            </w:pPr>
          </w:p>
        </w:tc>
        <w:tc>
          <w:tcPr>
            <w:tcW w:w="956"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956" w:type="pct"/>
            <w:vAlign w:val="center"/>
          </w:tcPr>
          <w:p>
            <w:pPr>
              <w:spacing w:line="240" w:lineRule="exact"/>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特种设备单元</w:t>
            </w:r>
          </w:p>
        </w:tc>
        <w:tc>
          <w:tcPr>
            <w:tcW w:w="819" w:type="pct"/>
            <w:vAlign w:val="center"/>
          </w:tcPr>
          <w:p>
            <w:pPr>
              <w:spacing w:line="240" w:lineRule="exact"/>
              <w:jc w:val="center"/>
              <w:rPr>
                <w:rFonts w:hint="default" w:ascii="Times New Roman" w:hAnsi="Times New Roman" w:eastAsia="宋体" w:cs="Times New Roman"/>
                <w:color w:val="auto"/>
              </w:rPr>
            </w:pPr>
          </w:p>
        </w:tc>
        <w:tc>
          <w:tcPr>
            <w:tcW w:w="956"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956" w:type="pct"/>
            <w:vAlign w:val="center"/>
          </w:tcPr>
          <w:p>
            <w:pPr>
              <w:spacing w:line="240" w:lineRule="exact"/>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消防单元</w:t>
            </w:r>
          </w:p>
        </w:tc>
        <w:tc>
          <w:tcPr>
            <w:tcW w:w="819" w:type="pct"/>
            <w:vAlign w:val="center"/>
          </w:tcPr>
          <w:p>
            <w:pPr>
              <w:spacing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956" w:type="pct"/>
            <w:vAlign w:val="center"/>
          </w:tcPr>
          <w:p>
            <w:pPr>
              <w:spacing w:line="240" w:lineRule="exact"/>
              <w:jc w:val="center"/>
              <w:rPr>
                <w:rFonts w:hint="default" w:ascii="Times New Roman" w:hAnsi="Times New Roman" w:eastAsia="宋体" w:cs="Times New Roman"/>
                <w:color w:val="auto"/>
                <w:kern w:val="0"/>
                <w:sz w:val="21"/>
                <w:szCs w:val="21"/>
              </w:rPr>
            </w:pPr>
          </w:p>
        </w:tc>
        <w:tc>
          <w:tcPr>
            <w:tcW w:w="956" w:type="pct"/>
            <w:vAlign w:val="center"/>
          </w:tcPr>
          <w:p>
            <w:pPr>
              <w:spacing w:line="240" w:lineRule="exact"/>
              <w:jc w:val="center"/>
              <w:rPr>
                <w:rFonts w:hint="default" w:ascii="Times New Roman" w:hAnsi="Times New Roman" w:eastAsia="宋体" w:cs="Times New Roman"/>
                <w:color w:val="auto"/>
                <w:kern w:val="0"/>
                <w:sz w:val="21"/>
                <w:szCs w:val="21"/>
              </w:rPr>
            </w:pPr>
          </w:p>
        </w:tc>
      </w:tr>
    </w:tbl>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85" w:name="_Toc29148"/>
      <w:bookmarkStart w:id="86" w:name="_Toc23215"/>
      <w:r>
        <w:rPr>
          <w:rFonts w:hint="default" w:ascii="Times New Roman" w:hAnsi="Times New Roman" w:eastAsia="楷体" w:cs="Times New Roman"/>
          <w:b/>
          <w:bCs/>
          <w:color w:val="auto"/>
          <w:kern w:val="2"/>
          <w:sz w:val="32"/>
          <w:szCs w:val="32"/>
          <w:lang w:val="en-US" w:eastAsia="zh-CN" w:bidi="ar-SA"/>
        </w:rPr>
        <w:t>5.2评价方法选择说明</w:t>
      </w:r>
      <w:bookmarkEnd w:id="85"/>
      <w:bookmarkEnd w:id="86"/>
    </w:p>
    <w:p>
      <w:pPr>
        <w:ind w:firstLine="560" w:firstLineChars="20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根据项目的基本情况及危险、有害因素分析辨识，该项目主要危险因素是火灾、爆炸；中毒和窒息，因此，采用安全检查表法进行项目符合性评价；预先危险性评价法对项目各单元中存在的危险、有害及其可能发生的途径、危险程度及发生的可能性进行系统分析，确定其风险程度。</w:t>
      </w:r>
    </w:p>
    <w:p>
      <w:pPr>
        <w:pStyle w:val="28"/>
        <w:spacing w:beforeLines="-2147483648" w:beforeAutospacing="0" w:afterLines="-2147483648" w:afterAutospacing="0"/>
        <w:ind w:left="31680"/>
        <w:rPr>
          <w:rFonts w:hint="default" w:ascii="Times New Roman" w:hAnsi="Times New Roman" w:cs="Times New Roman"/>
          <w:b w:val="0"/>
          <w:color w:val="auto"/>
        </w:rPr>
      </w:pPr>
      <w:r>
        <w:rPr>
          <w:rFonts w:hint="default" w:ascii="Times New Roman" w:hAnsi="Times New Roman" w:cs="Times New Roman"/>
          <w:b w:val="0"/>
          <w:color w:val="auto"/>
        </w:rPr>
        <w:t>5.2.1评价方法简介</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5.2.1.1预先危险性分析评价（PHA）</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一、评价方法简介</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预先危险性分析（PHA）又称初步危险分析，主要用于对危险物质和装置的主要工艺区域等进行分析，用于分析物料、装置、工艺过程及能量失控时可能出现的危险性类别、条件及可能造成的后果，作宏观的概略分析，其目的是辨识系统中存在的潜在危险，确定其危险等级，防止危险发展成事故。</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其功能主要有：</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1、大体识别与系统有关的主要危险；</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2、鉴别产生危险的原因；</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3、估计事故出现对人体及系统产生的影响；</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4、判定已识别的危险等级，并提出消除或控制危险性的措施。</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二、分析步骤</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预先危险性分步骤为：</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1、通过经验判断、技术诊断或其他方法调查确定危险源；</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2、根据过去的经验教训及同类行业中发生的事故情况，判断能够造成系统故障、物质损失和人员伤害的危险性，分析事故的可能类型。</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3、对确定的危险源，制定预先危险性分析表；</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4、进行危险性分级；</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5、制定对策措施。</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三、预先危险性等级划分：</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预先危险性等级划分及风险等级划分见下表。</w:t>
      </w:r>
    </w:p>
    <w:p>
      <w:pPr>
        <w:jc w:val="center"/>
        <w:rPr>
          <w:rFonts w:hint="default" w:ascii="Times New Roman" w:hAnsi="Times New Roman" w:eastAsia="宋体" w:cs="Times New Roman"/>
          <w:color w:val="auto"/>
        </w:rPr>
      </w:pPr>
    </w:p>
    <w:p>
      <w:pPr>
        <w:jc w:val="center"/>
        <w:rPr>
          <w:rFonts w:hint="default" w:ascii="Times New Roman" w:hAnsi="Times New Roman" w:eastAsia="宋体" w:cs="Times New Roman"/>
          <w:color w:val="auto"/>
        </w:rPr>
      </w:pPr>
    </w:p>
    <w:p>
      <w:pPr>
        <w:jc w:val="center"/>
        <w:rPr>
          <w:rFonts w:hint="default" w:ascii="Times New Roman" w:hAnsi="Times New Roman" w:eastAsia="宋体" w:cs="Times New Roman"/>
          <w:color w:val="auto"/>
        </w:rPr>
      </w:pP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表5.2-1危险等级划分表</w:t>
      </w:r>
    </w:p>
    <w:tbl>
      <w:tblPr>
        <w:tblStyle w:val="19"/>
        <w:tblW w:w="945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43"/>
        <w:gridCol w:w="1407"/>
        <w:gridCol w:w="720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4" w:hRule="exact"/>
          <w:jc w:val="center"/>
        </w:trPr>
        <w:tc>
          <w:tcPr>
            <w:tcW w:w="843"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级别</w:t>
            </w:r>
          </w:p>
        </w:tc>
        <w:tc>
          <w:tcPr>
            <w:tcW w:w="1407"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危险程度</w:t>
            </w:r>
          </w:p>
        </w:tc>
        <w:tc>
          <w:tcPr>
            <w:tcW w:w="7209"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可能导致的后果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3" w:hRule="exact"/>
          <w:jc w:val="center"/>
        </w:trPr>
        <w:tc>
          <w:tcPr>
            <w:tcW w:w="843"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p>
        </w:tc>
        <w:tc>
          <w:tcPr>
            <w:tcW w:w="1407"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安全的</w:t>
            </w:r>
          </w:p>
        </w:tc>
        <w:tc>
          <w:tcPr>
            <w:tcW w:w="7209"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不会造成人员伤亡及系统损坏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7" w:hRule="exact"/>
          <w:jc w:val="center"/>
        </w:trPr>
        <w:tc>
          <w:tcPr>
            <w:tcW w:w="843"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1407"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临界的</w:t>
            </w:r>
          </w:p>
        </w:tc>
        <w:tc>
          <w:tcPr>
            <w:tcW w:w="7209" w:type="dxa"/>
          </w:tcPr>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处于事故的边缘状态，暂时还不致于造成人员伤亡、系统损坏或降低系统性能，但应予以排除或采取控制措施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9" w:hRule="exact"/>
          <w:jc w:val="center"/>
        </w:trPr>
        <w:tc>
          <w:tcPr>
            <w:tcW w:w="843"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407"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危险的</w:t>
            </w:r>
          </w:p>
        </w:tc>
        <w:tc>
          <w:tcPr>
            <w:tcW w:w="7209"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会造成人员伤亡及系统损坏，要立即采取防范对策措施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4" w:hRule="exact"/>
          <w:jc w:val="center"/>
        </w:trPr>
        <w:tc>
          <w:tcPr>
            <w:tcW w:w="843"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Ⅳ</w:t>
            </w:r>
          </w:p>
        </w:tc>
        <w:tc>
          <w:tcPr>
            <w:tcW w:w="1407"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灾难性的</w:t>
            </w:r>
          </w:p>
        </w:tc>
        <w:tc>
          <w:tcPr>
            <w:tcW w:w="7209" w:type="dxa"/>
          </w:tcPr>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造成人员重大伤亡及系统严重破坏的灾难性事故，必须予以果断排除并进行重点防范</w:t>
            </w:r>
          </w:p>
        </w:tc>
      </w:tr>
    </w:tbl>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表5.2-2事故发生的可能性等级划分表</w:t>
      </w:r>
    </w:p>
    <w:tbl>
      <w:tblPr>
        <w:tblStyle w:val="19"/>
        <w:tblW w:w="935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5"/>
        <w:gridCol w:w="1269"/>
        <w:gridCol w:w="4267"/>
        <w:gridCol w:w="30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exact"/>
          <w:jc w:val="center"/>
        </w:trPr>
        <w:tc>
          <w:tcPr>
            <w:tcW w:w="795"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等级</w:t>
            </w:r>
          </w:p>
        </w:tc>
        <w:tc>
          <w:tcPr>
            <w:tcW w:w="1269"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等级说明</w:t>
            </w:r>
          </w:p>
        </w:tc>
        <w:tc>
          <w:tcPr>
            <w:tcW w:w="4267"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具体发生情况</w:t>
            </w:r>
          </w:p>
        </w:tc>
        <w:tc>
          <w:tcPr>
            <w:tcW w:w="3022"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总体发生情况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6" w:hRule="exact"/>
          <w:jc w:val="center"/>
        </w:trPr>
        <w:tc>
          <w:tcPr>
            <w:tcW w:w="795"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w:t>
            </w:r>
          </w:p>
        </w:tc>
        <w:tc>
          <w:tcPr>
            <w:tcW w:w="1269"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频繁</w:t>
            </w:r>
          </w:p>
        </w:tc>
        <w:tc>
          <w:tcPr>
            <w:tcW w:w="4267"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频繁发生</w:t>
            </w:r>
          </w:p>
        </w:tc>
        <w:tc>
          <w:tcPr>
            <w:tcW w:w="3022"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频繁发生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8" w:hRule="exact"/>
          <w:jc w:val="center"/>
        </w:trPr>
        <w:tc>
          <w:tcPr>
            <w:tcW w:w="795"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B</w:t>
            </w:r>
          </w:p>
        </w:tc>
        <w:tc>
          <w:tcPr>
            <w:tcW w:w="1269"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很可能</w:t>
            </w:r>
          </w:p>
        </w:tc>
        <w:tc>
          <w:tcPr>
            <w:tcW w:w="4267"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在寿命期内会出现若干次</w:t>
            </w:r>
          </w:p>
        </w:tc>
        <w:tc>
          <w:tcPr>
            <w:tcW w:w="3022"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多次发生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3" w:hRule="exact"/>
          <w:jc w:val="center"/>
        </w:trPr>
        <w:tc>
          <w:tcPr>
            <w:tcW w:w="795"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w:t>
            </w:r>
          </w:p>
        </w:tc>
        <w:tc>
          <w:tcPr>
            <w:tcW w:w="1269"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有时</w:t>
            </w:r>
          </w:p>
        </w:tc>
        <w:tc>
          <w:tcPr>
            <w:tcW w:w="4267"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在寿命期内可能有时发生</w:t>
            </w:r>
          </w:p>
        </w:tc>
        <w:tc>
          <w:tcPr>
            <w:tcW w:w="3022"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偶尔发生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4" w:hRule="exact"/>
          <w:jc w:val="center"/>
        </w:trPr>
        <w:tc>
          <w:tcPr>
            <w:tcW w:w="795"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D</w:t>
            </w:r>
          </w:p>
        </w:tc>
        <w:tc>
          <w:tcPr>
            <w:tcW w:w="1269"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极少</w:t>
            </w:r>
          </w:p>
        </w:tc>
        <w:tc>
          <w:tcPr>
            <w:tcW w:w="4267"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在寿命期内不易发生，但有可能发生</w:t>
            </w:r>
          </w:p>
        </w:tc>
        <w:tc>
          <w:tcPr>
            <w:tcW w:w="3022"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很少发生，并非不可能发生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exact"/>
          <w:jc w:val="center"/>
        </w:trPr>
        <w:tc>
          <w:tcPr>
            <w:tcW w:w="795"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E</w:t>
            </w:r>
          </w:p>
        </w:tc>
        <w:tc>
          <w:tcPr>
            <w:tcW w:w="1269"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几乎不能</w:t>
            </w:r>
          </w:p>
        </w:tc>
        <w:tc>
          <w:tcPr>
            <w:tcW w:w="4267"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很不容易发生，以至于可认为不会发生</w:t>
            </w:r>
          </w:p>
        </w:tc>
        <w:tc>
          <w:tcPr>
            <w:tcW w:w="3022" w:type="dxa"/>
            <w:vAlign w:val="center"/>
          </w:tcPr>
          <w:p>
            <w:pPr>
              <w:widowControl w:val="0"/>
              <w:adjustRightIn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几乎不发生，但有可能</w:t>
            </w:r>
          </w:p>
        </w:tc>
      </w:tr>
    </w:tbl>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5.2.1.2安全检查表（SCL）</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方法是按照国家、地方和行业的有关安全方面的法规、标准和规范的要求编制安全检查表，对照设计资料进行系统的、完整地逐条对照和检查，从而查出各评价单元中，那些方面满足了国家标准规范的要求，那些方面不能满足标准和规范的要求，存在着安全隐患。可以针对这些不能满足规范要求的部分，为下一步工作（设计、施工和生产管理）提供需要改进和完善的内容。</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5.2.1.3危险度评价法</w:t>
      </w:r>
    </w:p>
    <w:p>
      <w:pPr>
        <w:ind w:firstLine="520" w:firstLineChars="200"/>
        <w:rPr>
          <w:rFonts w:hint="default" w:ascii="Times New Roman" w:hAnsi="Times New Roman" w:eastAsia="宋体" w:cs="Times New Roman"/>
          <w:color w:val="auto"/>
          <w:spacing w:val="-10"/>
        </w:rPr>
      </w:pPr>
      <w:r>
        <w:rPr>
          <w:rFonts w:hint="default" w:ascii="Times New Roman" w:hAnsi="Times New Roman" w:eastAsia="宋体" w:cs="Times New Roman"/>
          <w:color w:val="auto"/>
          <w:spacing w:val="-10"/>
        </w:rPr>
        <w:t>危险度评价法是根据日本劳动省“六阶段法”的定量评价表，结合我国《爆炸危险场安全规定》（劳部发［1995］56号）、《火灾分类》（GB4968-2008）、《压力容器中化学介质毒性危害和爆炸危险度分类标准》（HG/T20660-2017）等有关标准、规程，编制了“危险度评价取值表”。规定单元危险度由物质、容量、温度、压力和操作5个项目共同确定。其危险性分别按A=10分，B=5分，C=2分，D=0分赋值计分，由累计分值确定单元危险度。危险度评价取值表。见表5.2-3：</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表5.2-3 危险度评价取值表</w:t>
      </w:r>
    </w:p>
    <w:tbl>
      <w:tblPr>
        <w:tblStyle w:val="19"/>
        <w:tblW w:w="9537" w:type="dxa"/>
        <w:tblInd w:w="2"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25"/>
        <w:gridCol w:w="2127"/>
        <w:gridCol w:w="2289"/>
        <w:gridCol w:w="2289"/>
        <w:gridCol w:w="190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7" w:hRule="atLeast"/>
        </w:trPr>
        <w:tc>
          <w:tcPr>
            <w:tcW w:w="925" w:type="dxa"/>
          </w:tcPr>
          <w:p>
            <w:pPr>
              <w:spacing w:line="240" w:lineRule="exact"/>
              <w:ind w:firstLine="210" w:firstLineChars="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分值项目</w:t>
            </w:r>
          </w:p>
        </w:tc>
        <w:tc>
          <w:tcPr>
            <w:tcW w:w="2127"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A（10分）</w:t>
            </w:r>
          </w:p>
        </w:tc>
        <w:tc>
          <w:tcPr>
            <w:tcW w:w="2289"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B（5分）</w:t>
            </w:r>
          </w:p>
        </w:tc>
        <w:tc>
          <w:tcPr>
            <w:tcW w:w="2289"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C（2分）</w:t>
            </w:r>
          </w:p>
        </w:tc>
        <w:tc>
          <w:tcPr>
            <w:tcW w:w="1907"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12" w:hRule="atLeast"/>
        </w:trPr>
        <w:tc>
          <w:tcPr>
            <w:tcW w:w="925"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物质</w:t>
            </w:r>
          </w:p>
        </w:tc>
        <w:tc>
          <w:tcPr>
            <w:tcW w:w="2127" w:type="dxa"/>
            <w:vAlign w:val="center"/>
          </w:tcPr>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甲类可燃气体；</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w:t>
            </w:r>
            <w:r>
              <w:rPr>
                <w:rFonts w:hint="default" w:ascii="Times New Roman" w:hAnsi="Times New Roman" w:eastAsia="宋体" w:cs="Times New Roman"/>
                <w:color w:val="auto"/>
                <w:sz w:val="21"/>
                <w:szCs w:val="21"/>
                <w:vertAlign w:val="subscript"/>
              </w:rPr>
              <w:t>A</w:t>
            </w:r>
            <w:r>
              <w:rPr>
                <w:rFonts w:hint="default" w:ascii="Times New Roman" w:hAnsi="Times New Roman" w:eastAsia="宋体" w:cs="Times New Roman"/>
                <w:color w:val="auto"/>
                <w:sz w:val="21"/>
                <w:szCs w:val="21"/>
              </w:rPr>
              <w:t>类物质及液态烃类；</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甲类固体；</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极度危害介质</w:t>
            </w:r>
          </w:p>
        </w:tc>
        <w:tc>
          <w:tcPr>
            <w:tcW w:w="2289" w:type="dxa"/>
            <w:vAlign w:val="center"/>
          </w:tcPr>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乙类可燃气体；</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w:t>
            </w:r>
            <w:r>
              <w:rPr>
                <w:rFonts w:hint="default" w:ascii="Times New Roman" w:hAnsi="Times New Roman" w:eastAsia="宋体" w:cs="Times New Roman"/>
                <w:color w:val="auto"/>
                <w:sz w:val="21"/>
                <w:szCs w:val="21"/>
                <w:vertAlign w:val="subscript"/>
              </w:rPr>
              <w:t>B</w:t>
            </w:r>
            <w:r>
              <w:rPr>
                <w:rFonts w:hint="default" w:ascii="Times New Roman" w:hAnsi="Times New Roman" w:eastAsia="宋体" w:cs="Times New Roman"/>
                <w:color w:val="auto"/>
                <w:sz w:val="21"/>
                <w:szCs w:val="21"/>
              </w:rPr>
              <w:t>、乙</w:t>
            </w:r>
            <w:r>
              <w:rPr>
                <w:rFonts w:hint="default" w:ascii="Times New Roman" w:hAnsi="Times New Roman" w:eastAsia="宋体" w:cs="Times New Roman"/>
                <w:color w:val="auto"/>
                <w:sz w:val="21"/>
                <w:szCs w:val="21"/>
                <w:vertAlign w:val="subscript"/>
              </w:rPr>
              <w:t>A</w:t>
            </w:r>
            <w:r>
              <w:rPr>
                <w:rFonts w:hint="default" w:ascii="Times New Roman" w:hAnsi="Times New Roman" w:eastAsia="宋体" w:cs="Times New Roman"/>
                <w:color w:val="auto"/>
                <w:sz w:val="21"/>
                <w:szCs w:val="21"/>
              </w:rPr>
              <w:t>类可燃液体；</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乙类固体；；</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高度危害介质</w:t>
            </w:r>
          </w:p>
        </w:tc>
        <w:tc>
          <w:tcPr>
            <w:tcW w:w="2289" w:type="dxa"/>
            <w:vAlign w:val="center"/>
          </w:tcPr>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w:t>
            </w:r>
            <w:r>
              <w:rPr>
                <w:rFonts w:hint="default" w:ascii="Times New Roman" w:hAnsi="Times New Roman" w:eastAsia="宋体" w:cs="Times New Roman"/>
                <w:color w:val="auto"/>
                <w:sz w:val="21"/>
                <w:szCs w:val="21"/>
                <w:vertAlign w:val="subscript"/>
              </w:rPr>
              <w:t>B</w:t>
            </w:r>
            <w:r>
              <w:rPr>
                <w:rFonts w:hint="default" w:ascii="Times New Roman" w:hAnsi="Times New Roman" w:eastAsia="宋体" w:cs="Times New Roman"/>
                <w:color w:val="auto"/>
                <w:sz w:val="21"/>
                <w:szCs w:val="21"/>
              </w:rPr>
              <w:t>、丙</w:t>
            </w:r>
            <w:r>
              <w:rPr>
                <w:rFonts w:hint="default" w:ascii="Times New Roman" w:hAnsi="Times New Roman" w:eastAsia="宋体" w:cs="Times New Roman"/>
                <w:color w:val="auto"/>
                <w:sz w:val="21"/>
                <w:szCs w:val="21"/>
                <w:vertAlign w:val="subscript"/>
              </w:rPr>
              <w:t>A</w:t>
            </w:r>
            <w:r>
              <w:rPr>
                <w:rFonts w:hint="default" w:ascii="Times New Roman" w:hAnsi="Times New Roman" w:eastAsia="宋体" w:cs="Times New Roman"/>
                <w:color w:val="auto"/>
                <w:sz w:val="21"/>
                <w:szCs w:val="21"/>
              </w:rPr>
              <w:t>、丙</w:t>
            </w:r>
            <w:r>
              <w:rPr>
                <w:rFonts w:hint="default" w:ascii="Times New Roman" w:hAnsi="Times New Roman" w:eastAsia="宋体" w:cs="Times New Roman"/>
                <w:color w:val="auto"/>
                <w:sz w:val="21"/>
                <w:szCs w:val="21"/>
                <w:vertAlign w:val="subscript"/>
              </w:rPr>
              <w:t>B</w:t>
            </w:r>
            <w:r>
              <w:rPr>
                <w:rFonts w:hint="default" w:ascii="Times New Roman" w:hAnsi="Times New Roman" w:eastAsia="宋体" w:cs="Times New Roman"/>
                <w:color w:val="auto"/>
                <w:sz w:val="21"/>
                <w:szCs w:val="21"/>
              </w:rPr>
              <w:t>类可燃液体；</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丙类固体；</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中、轻度危害介质</w:t>
            </w:r>
          </w:p>
        </w:tc>
        <w:tc>
          <w:tcPr>
            <w:tcW w:w="1907" w:type="dxa"/>
            <w:vAlign w:val="center"/>
          </w:tcPr>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不属A、B、C项之物质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7" w:hRule="atLeast"/>
        </w:trPr>
        <w:tc>
          <w:tcPr>
            <w:tcW w:w="925"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容量</w:t>
            </w:r>
          </w:p>
        </w:tc>
        <w:tc>
          <w:tcPr>
            <w:tcW w:w="2127" w:type="dxa"/>
            <w:vAlign w:val="center"/>
          </w:tcPr>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气体1000m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以上</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液体100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以上</w:t>
            </w:r>
          </w:p>
        </w:tc>
        <w:tc>
          <w:tcPr>
            <w:tcW w:w="2289" w:type="dxa"/>
            <w:vAlign w:val="center"/>
          </w:tcPr>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气体500~1000 m</w:t>
            </w:r>
            <w:r>
              <w:rPr>
                <w:rFonts w:hint="default" w:ascii="Times New Roman" w:hAnsi="Times New Roman" w:eastAsia="宋体" w:cs="Times New Roman"/>
                <w:color w:val="auto"/>
                <w:sz w:val="21"/>
                <w:szCs w:val="21"/>
                <w:vertAlign w:val="superscript"/>
              </w:rPr>
              <w:t>3</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液体50~100 m</w:t>
            </w:r>
            <w:r>
              <w:rPr>
                <w:rFonts w:hint="default" w:ascii="Times New Roman" w:hAnsi="Times New Roman" w:eastAsia="宋体" w:cs="Times New Roman"/>
                <w:color w:val="auto"/>
                <w:sz w:val="21"/>
                <w:szCs w:val="21"/>
                <w:vertAlign w:val="superscript"/>
              </w:rPr>
              <w:t>3</w:t>
            </w:r>
          </w:p>
        </w:tc>
        <w:tc>
          <w:tcPr>
            <w:tcW w:w="2289" w:type="dxa"/>
            <w:vAlign w:val="center"/>
          </w:tcPr>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气体100~500 m</w:t>
            </w:r>
            <w:r>
              <w:rPr>
                <w:rFonts w:hint="default" w:ascii="Times New Roman" w:hAnsi="Times New Roman" w:eastAsia="宋体" w:cs="Times New Roman"/>
                <w:color w:val="auto"/>
                <w:sz w:val="21"/>
                <w:szCs w:val="21"/>
                <w:vertAlign w:val="superscript"/>
              </w:rPr>
              <w:t>3</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液体10~50 m</w:t>
            </w:r>
            <w:r>
              <w:rPr>
                <w:rFonts w:hint="default" w:ascii="Times New Roman" w:hAnsi="Times New Roman" w:eastAsia="宋体" w:cs="Times New Roman"/>
                <w:color w:val="auto"/>
                <w:sz w:val="21"/>
                <w:szCs w:val="21"/>
                <w:vertAlign w:val="superscript"/>
              </w:rPr>
              <w:t>3</w:t>
            </w:r>
          </w:p>
        </w:tc>
        <w:tc>
          <w:tcPr>
            <w:tcW w:w="1907" w:type="dxa"/>
            <w:vAlign w:val="center"/>
          </w:tcPr>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气体＜100 m</w:t>
            </w:r>
            <w:r>
              <w:rPr>
                <w:rFonts w:hint="default" w:ascii="Times New Roman" w:hAnsi="Times New Roman" w:eastAsia="宋体" w:cs="Times New Roman"/>
                <w:color w:val="auto"/>
                <w:sz w:val="21"/>
                <w:szCs w:val="21"/>
                <w:vertAlign w:val="superscript"/>
              </w:rPr>
              <w:t>3</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液体＜10 m</w:t>
            </w:r>
            <w:r>
              <w:rPr>
                <w:rFonts w:hint="default" w:ascii="Times New Roman" w:hAnsi="Times New Roman" w:eastAsia="宋体" w:cs="Times New Roman"/>
                <w:color w:val="auto"/>
                <w:sz w:val="21"/>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54" w:hRule="atLeast"/>
        </w:trPr>
        <w:tc>
          <w:tcPr>
            <w:tcW w:w="925"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温度</w:t>
            </w:r>
          </w:p>
        </w:tc>
        <w:tc>
          <w:tcPr>
            <w:tcW w:w="2127" w:type="dxa"/>
            <w:vAlign w:val="center"/>
          </w:tcPr>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1000℃以上使用，其操作温度在燃点以上</w:t>
            </w:r>
          </w:p>
        </w:tc>
        <w:tc>
          <w:tcPr>
            <w:tcW w:w="2289" w:type="dxa"/>
            <w:vAlign w:val="center"/>
          </w:tcPr>
          <w:p>
            <w:pPr>
              <w:spacing w:line="240" w:lineRule="exact"/>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1000℃以上使用，但操作温度在燃点以下；</w:t>
            </w:r>
          </w:p>
          <w:p>
            <w:pPr>
              <w:spacing w:line="240" w:lineRule="exact"/>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在250~1000℃使用，其操作温度在燃点以上</w:t>
            </w:r>
          </w:p>
        </w:tc>
        <w:tc>
          <w:tcPr>
            <w:tcW w:w="2289" w:type="dxa"/>
            <w:vAlign w:val="center"/>
          </w:tcPr>
          <w:p>
            <w:pPr>
              <w:spacing w:line="240" w:lineRule="exact"/>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在250~1000℃使用，但操作温度在燃点以下；</w:t>
            </w:r>
          </w:p>
          <w:p>
            <w:pPr>
              <w:spacing w:line="240" w:lineRule="exact"/>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在低于在250℃使用，其操作温度在燃点以上</w:t>
            </w:r>
          </w:p>
        </w:tc>
        <w:tc>
          <w:tcPr>
            <w:tcW w:w="1907" w:type="dxa"/>
            <w:vAlign w:val="center"/>
          </w:tcPr>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在低于在250℃使用，其操作温度在燃点以下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3" w:hRule="atLeast"/>
        </w:trPr>
        <w:tc>
          <w:tcPr>
            <w:tcW w:w="925"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压力</w:t>
            </w:r>
          </w:p>
        </w:tc>
        <w:tc>
          <w:tcPr>
            <w:tcW w:w="2127"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100Mpa</w:t>
            </w:r>
          </w:p>
        </w:tc>
        <w:tc>
          <w:tcPr>
            <w:tcW w:w="2289"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20~100 MPa</w:t>
            </w:r>
          </w:p>
        </w:tc>
        <w:tc>
          <w:tcPr>
            <w:tcW w:w="2289"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 MPa</w:t>
            </w:r>
          </w:p>
        </w:tc>
        <w:tc>
          <w:tcPr>
            <w:tcW w:w="1907"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 Mpa以下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2" w:hRule="atLeast"/>
        </w:trPr>
        <w:tc>
          <w:tcPr>
            <w:tcW w:w="925"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操作</w:t>
            </w:r>
          </w:p>
        </w:tc>
        <w:tc>
          <w:tcPr>
            <w:tcW w:w="2127" w:type="dxa"/>
            <w:vAlign w:val="center"/>
          </w:tcPr>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1.临界放热和特别剧烈的反应操作；</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2.在爆炸极限范围内或其附近操作。</w:t>
            </w:r>
          </w:p>
        </w:tc>
        <w:tc>
          <w:tcPr>
            <w:tcW w:w="2289" w:type="dxa"/>
            <w:vAlign w:val="center"/>
          </w:tcPr>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1.中等放热反应（如烷基化、酯化、加成、氧化、聚合、缩合等反应）操作；</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2.系统进入空气或不纯物质，可能发生危险的操作；</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3.使用粉状或雾状物质，有可能发生粉尘爆炸的操作</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4.单批式操作</w:t>
            </w:r>
          </w:p>
        </w:tc>
        <w:tc>
          <w:tcPr>
            <w:tcW w:w="2289" w:type="dxa"/>
            <w:vAlign w:val="center"/>
          </w:tcPr>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1.轻微放热反应（如加氢、水合、异构化、烷基化、磺化、中和等反应）操作；</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2.在精制过程中伴有化学反应；</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3.单批式操作，但开始使用机械进行程序操作；</w:t>
            </w:r>
          </w:p>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4.有一定危险的操作</w:t>
            </w:r>
          </w:p>
        </w:tc>
        <w:tc>
          <w:tcPr>
            <w:tcW w:w="1907" w:type="dxa"/>
            <w:vAlign w:val="center"/>
          </w:tcPr>
          <w:p>
            <w:pPr>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无危险的操作</w:t>
            </w:r>
          </w:p>
        </w:tc>
      </w:tr>
    </w:tbl>
    <w:p>
      <w:pPr>
        <w:spacing w:line="560" w:lineRule="exact"/>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危险度分级。见表5.2-4：</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表5.2-4 危险度分级表</w:t>
      </w:r>
    </w:p>
    <w:tbl>
      <w:tblPr>
        <w:tblStyle w:val="19"/>
        <w:tblW w:w="9559" w:type="dxa"/>
        <w:tblInd w:w="2"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390"/>
        <w:gridCol w:w="2389"/>
        <w:gridCol w:w="2390"/>
        <w:gridCol w:w="239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89" w:hRule="atLeast"/>
        </w:trPr>
        <w:tc>
          <w:tcPr>
            <w:tcW w:w="2390"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总分值</w:t>
            </w:r>
          </w:p>
        </w:tc>
        <w:tc>
          <w:tcPr>
            <w:tcW w:w="2389"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≥16分</w:t>
            </w:r>
          </w:p>
        </w:tc>
        <w:tc>
          <w:tcPr>
            <w:tcW w:w="2390"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11~15分</w:t>
            </w:r>
          </w:p>
        </w:tc>
        <w:tc>
          <w:tcPr>
            <w:tcW w:w="2390"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48" w:hRule="atLeast"/>
        </w:trPr>
        <w:tc>
          <w:tcPr>
            <w:tcW w:w="2390"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等级</w:t>
            </w:r>
          </w:p>
        </w:tc>
        <w:tc>
          <w:tcPr>
            <w:tcW w:w="2389"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p>
        </w:tc>
        <w:tc>
          <w:tcPr>
            <w:tcW w:w="2390"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2390"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58" w:hRule="atLeast"/>
        </w:trPr>
        <w:tc>
          <w:tcPr>
            <w:tcW w:w="2390"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危险程度</w:t>
            </w:r>
          </w:p>
        </w:tc>
        <w:tc>
          <w:tcPr>
            <w:tcW w:w="2389"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高度危险</w:t>
            </w:r>
          </w:p>
        </w:tc>
        <w:tc>
          <w:tcPr>
            <w:tcW w:w="2390"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中度危险</w:t>
            </w:r>
          </w:p>
        </w:tc>
        <w:tc>
          <w:tcPr>
            <w:tcW w:w="2390"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低度危险</w:t>
            </w:r>
          </w:p>
        </w:tc>
      </w:tr>
    </w:tbl>
    <w:p>
      <w:pPr>
        <w:rPr>
          <w:rFonts w:hint="default" w:ascii="Times New Roman" w:hAnsi="Times New Roman" w:eastAsia="黑体" w:cs="Times New Roman"/>
          <w:color w:val="auto"/>
          <w:kern w:val="10"/>
          <w:sz w:val="32"/>
          <w:szCs w:val="32"/>
          <w:lang w:val="en-US" w:eastAsia="zh-CN" w:bidi="ar-SA"/>
        </w:rPr>
      </w:pPr>
      <w:bookmarkStart w:id="87" w:name="_Toc6662"/>
      <w:bookmarkStart w:id="88" w:name="_Toc32285"/>
      <w:r>
        <w:rPr>
          <w:rFonts w:hint="default" w:ascii="Times New Roman" w:hAnsi="Times New Roman" w:eastAsia="黑体" w:cs="Times New Roman"/>
          <w:color w:val="auto"/>
          <w:kern w:val="10"/>
          <w:sz w:val="32"/>
          <w:szCs w:val="32"/>
          <w:lang w:val="en-US" w:eastAsia="zh-CN" w:bidi="ar-SA"/>
        </w:rPr>
        <w:br w:type="page"/>
      </w:r>
    </w:p>
    <w:p>
      <w:pPr>
        <w:keepNext/>
        <w:keepLines/>
        <w:widowControl w:val="0"/>
        <w:spacing w:line="600" w:lineRule="exact"/>
        <w:jc w:val="center"/>
        <w:outlineLvl w:val="0"/>
        <w:rPr>
          <w:rFonts w:hint="default" w:ascii="Times New Roman" w:hAnsi="Times New Roman" w:eastAsia="黑体" w:cs="Times New Roman"/>
          <w:color w:val="auto"/>
          <w:kern w:val="10"/>
          <w:sz w:val="32"/>
          <w:szCs w:val="32"/>
          <w:lang w:val="en-US" w:eastAsia="zh-CN" w:bidi="ar-SA"/>
        </w:rPr>
      </w:pPr>
      <w:bookmarkStart w:id="89" w:name="_Toc3827"/>
      <w:r>
        <w:rPr>
          <w:rFonts w:hint="default" w:ascii="Times New Roman" w:hAnsi="Times New Roman" w:eastAsia="黑体" w:cs="Times New Roman"/>
          <w:color w:val="auto"/>
          <w:kern w:val="10"/>
          <w:sz w:val="32"/>
          <w:szCs w:val="32"/>
          <w:lang w:val="en-US" w:eastAsia="zh-CN" w:bidi="ar-SA"/>
        </w:rPr>
        <w:t>6定性、定量分析</w:t>
      </w:r>
      <w:bookmarkEnd w:id="87"/>
      <w:r>
        <w:rPr>
          <w:rFonts w:hint="default" w:ascii="Times New Roman" w:hAnsi="Times New Roman" w:eastAsia="黑体" w:cs="Times New Roman"/>
          <w:color w:val="auto"/>
          <w:kern w:val="10"/>
          <w:sz w:val="32"/>
          <w:szCs w:val="32"/>
          <w:lang w:val="en-US" w:eastAsia="zh-CN" w:bidi="ar-SA"/>
        </w:rPr>
        <w:t>危险、有害因素的结果</w:t>
      </w:r>
      <w:bookmarkEnd w:id="88"/>
      <w:bookmarkEnd w:id="89"/>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90" w:name="_Toc4748"/>
      <w:bookmarkStart w:id="91" w:name="_Toc14697"/>
      <w:bookmarkStart w:id="92" w:name="_Toc13594"/>
      <w:bookmarkStart w:id="93" w:name="_Toc4657"/>
      <w:r>
        <w:rPr>
          <w:rFonts w:hint="default" w:ascii="Times New Roman" w:hAnsi="Times New Roman" w:eastAsia="楷体" w:cs="Times New Roman"/>
          <w:b/>
          <w:bCs/>
          <w:color w:val="auto"/>
          <w:kern w:val="2"/>
          <w:sz w:val="32"/>
          <w:szCs w:val="32"/>
          <w:lang w:val="en-US" w:eastAsia="zh-CN" w:bidi="ar-SA"/>
        </w:rPr>
        <w:t>6.1</w:t>
      </w:r>
      <w:bookmarkEnd w:id="90"/>
      <w:bookmarkEnd w:id="91"/>
      <w:r>
        <w:rPr>
          <w:rFonts w:hint="default" w:ascii="Times New Roman" w:hAnsi="Times New Roman" w:eastAsia="楷体" w:cs="Times New Roman"/>
          <w:b/>
          <w:bCs/>
          <w:color w:val="auto"/>
          <w:kern w:val="2"/>
          <w:sz w:val="32"/>
          <w:szCs w:val="32"/>
          <w:lang w:val="en-US" w:eastAsia="zh-CN" w:bidi="ar-SA"/>
        </w:rPr>
        <w:t>固有危险程度的分析</w:t>
      </w:r>
      <w:bookmarkEnd w:id="92"/>
      <w:bookmarkEnd w:id="93"/>
    </w:p>
    <w:p>
      <w:pPr>
        <w:pStyle w:val="28"/>
        <w:spacing w:beforeLines="-2147483648" w:beforeAutospacing="0" w:afterLines="-2147483648" w:afterAutospacing="0"/>
        <w:ind w:left="31680"/>
        <w:rPr>
          <w:rFonts w:hint="default" w:ascii="Times New Roman" w:hAnsi="Times New Roman" w:cs="Times New Roman"/>
          <w:b w:val="0"/>
          <w:color w:val="auto"/>
        </w:rPr>
      </w:pPr>
      <w:r>
        <w:rPr>
          <w:rFonts w:hint="default" w:ascii="Times New Roman" w:hAnsi="Times New Roman" w:cs="Times New Roman"/>
          <w:b w:val="0"/>
          <w:color w:val="auto"/>
        </w:rPr>
        <w:t>6.1.1作业场所的固有危险程度分析</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依据可研中资料，结合相应物质的理化性质及危险特性表，通过分析作业场所固有危险见表6.1-1。</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表6.1-1 主要作业场所固有危险性</w:t>
      </w:r>
    </w:p>
    <w:tbl>
      <w:tblPr>
        <w:tblStyle w:val="19"/>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3485"/>
        <w:gridCol w:w="707"/>
        <w:gridCol w:w="1688"/>
        <w:gridCol w:w="705"/>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装置（场所）</w:t>
            </w:r>
          </w:p>
        </w:tc>
        <w:tc>
          <w:tcPr>
            <w:tcW w:w="348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主要危险物料</w:t>
            </w:r>
          </w:p>
        </w:tc>
        <w:tc>
          <w:tcPr>
            <w:tcW w:w="707"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火险等级</w:t>
            </w:r>
          </w:p>
        </w:tc>
        <w:tc>
          <w:tcPr>
            <w:tcW w:w="1688"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爆炸危险环境</w:t>
            </w:r>
          </w:p>
        </w:tc>
        <w:tc>
          <w:tcPr>
            <w:tcW w:w="70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卫生环境</w:t>
            </w:r>
          </w:p>
        </w:tc>
        <w:tc>
          <w:tcPr>
            <w:tcW w:w="129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氨化</w:t>
            </w:r>
            <w:r>
              <w:rPr>
                <w:rFonts w:hint="default" w:ascii="Times New Roman" w:hAnsi="Times New Roman" w:eastAsia="宋体" w:cs="Times New Roman"/>
                <w:color w:val="auto"/>
                <w:sz w:val="21"/>
                <w:szCs w:val="21"/>
                <w:lang w:eastAsia="zh-CN"/>
              </w:rPr>
              <w:t>车间</w:t>
            </w:r>
          </w:p>
        </w:tc>
        <w:tc>
          <w:tcPr>
            <w:tcW w:w="3485"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盐酸、</w:t>
            </w:r>
            <w:r>
              <w:rPr>
                <w:rFonts w:hint="default" w:ascii="Times New Roman" w:hAnsi="Times New Roman" w:eastAsia="宋体" w:cs="Times New Roman"/>
                <w:color w:val="auto"/>
                <w:sz w:val="21"/>
                <w:szCs w:val="21"/>
                <w:lang w:eastAsia="zh-CN"/>
              </w:rPr>
              <w:t>硫酸、氯化氢、硫酸铵</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eastAsia="zh-CN"/>
              </w:rPr>
              <w:t>天然气（燃料）、硫酸氢钾</w:t>
            </w:r>
            <w:r>
              <w:rPr>
                <w:rFonts w:hint="default" w:ascii="Times New Roman" w:hAnsi="Times New Roman" w:cs="Times New Roman"/>
                <w:color w:val="auto"/>
                <w:sz w:val="21"/>
                <w:szCs w:val="21"/>
                <w:lang w:eastAsia="zh-CN"/>
              </w:rPr>
              <w:t>、尾</w:t>
            </w:r>
            <w:r>
              <w:rPr>
                <w:rFonts w:hint="default" w:ascii="Times New Roman" w:hAnsi="Times New Roman" w:eastAsia="宋体" w:cs="Times New Roman"/>
                <w:color w:val="auto"/>
                <w:sz w:val="21"/>
                <w:szCs w:val="21"/>
                <w:lang w:eastAsia="zh-CN"/>
              </w:rPr>
              <w:t>气</w:t>
            </w:r>
            <w:r>
              <w:rPr>
                <w:rFonts w:hint="default" w:ascii="Times New Roman" w:hAnsi="Times New Roman" w:eastAsia="宋体" w:cs="Times New Roman"/>
                <w:color w:val="auto"/>
                <w:sz w:val="21"/>
                <w:szCs w:val="21"/>
              </w:rPr>
              <w:t>等</w:t>
            </w:r>
          </w:p>
        </w:tc>
        <w:tc>
          <w:tcPr>
            <w:tcW w:w="707"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丁</w:t>
            </w:r>
            <w:r>
              <w:rPr>
                <w:rFonts w:hint="default" w:ascii="Times New Roman" w:hAnsi="Times New Roman" w:eastAsia="宋体" w:cs="Times New Roman"/>
                <w:color w:val="auto"/>
                <w:sz w:val="21"/>
                <w:szCs w:val="21"/>
              </w:rPr>
              <w:t>类</w:t>
            </w:r>
          </w:p>
        </w:tc>
        <w:tc>
          <w:tcPr>
            <w:tcW w:w="1688" w:type="dxa"/>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正常环境</w:t>
            </w:r>
          </w:p>
        </w:tc>
        <w:tc>
          <w:tcPr>
            <w:tcW w:w="70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29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高温环境、腐蚀性环境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硫酸、盐酸</w:t>
            </w:r>
            <w:r>
              <w:rPr>
                <w:rFonts w:hint="default" w:ascii="Times New Roman" w:hAnsi="Times New Roman" w:eastAsia="宋体" w:cs="Times New Roman"/>
                <w:color w:val="auto"/>
                <w:sz w:val="21"/>
                <w:szCs w:val="21"/>
                <w:lang w:eastAsia="zh-CN"/>
              </w:rPr>
              <w:t>罐区</w:t>
            </w:r>
          </w:p>
        </w:tc>
        <w:tc>
          <w:tcPr>
            <w:tcW w:w="3485"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盐酸、硫酸</w:t>
            </w:r>
          </w:p>
        </w:tc>
        <w:tc>
          <w:tcPr>
            <w:tcW w:w="707" w:type="dxa"/>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戊类</w:t>
            </w:r>
          </w:p>
        </w:tc>
        <w:tc>
          <w:tcPr>
            <w:tcW w:w="1688"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正常环境</w:t>
            </w:r>
          </w:p>
        </w:tc>
        <w:tc>
          <w:tcPr>
            <w:tcW w:w="705"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1292" w:type="dxa"/>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腐蚀性</w:t>
            </w:r>
            <w:r>
              <w:rPr>
                <w:rFonts w:hint="default" w:ascii="Times New Roman" w:hAnsi="Times New Roman" w:cs="Times New Roman"/>
                <w:color w:val="auto"/>
                <w:sz w:val="21"/>
                <w:szCs w:val="21"/>
                <w:lang w:eastAsia="zh-CN"/>
              </w:rP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原料</w:t>
            </w:r>
            <w:r>
              <w:rPr>
                <w:rFonts w:hint="default" w:ascii="Times New Roman" w:hAnsi="Times New Roman" w:eastAsia="宋体" w:cs="Times New Roman"/>
                <w:color w:val="auto"/>
                <w:kern w:val="2"/>
                <w:sz w:val="21"/>
                <w:szCs w:val="21"/>
                <w:lang w:val="en-US" w:eastAsia="zh-CN" w:bidi="ar-SA"/>
              </w:rPr>
              <w:t>库</w:t>
            </w:r>
          </w:p>
        </w:tc>
        <w:tc>
          <w:tcPr>
            <w:tcW w:w="3485" w:type="dxa"/>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氯化钾、磷酸一铵、</w:t>
            </w:r>
            <w:r>
              <w:rPr>
                <w:rFonts w:hint="default" w:ascii="Times New Roman" w:hAnsi="Times New Roman" w:cs="Times New Roman"/>
                <w:color w:val="auto"/>
                <w:sz w:val="21"/>
                <w:szCs w:val="21"/>
                <w:lang w:eastAsia="zh-CN"/>
              </w:rPr>
              <w:t>尿素、氯化铵等</w:t>
            </w:r>
          </w:p>
        </w:tc>
        <w:tc>
          <w:tcPr>
            <w:tcW w:w="707" w:type="dxa"/>
            <w:vAlign w:val="to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戊类</w:t>
            </w:r>
          </w:p>
        </w:tc>
        <w:tc>
          <w:tcPr>
            <w:tcW w:w="1688" w:type="dxa"/>
            <w:vAlign w:val="to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正常环境</w:t>
            </w:r>
          </w:p>
        </w:tc>
        <w:tc>
          <w:tcPr>
            <w:tcW w:w="705"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129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腐蚀性环境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成品库</w:t>
            </w:r>
            <w:r>
              <w:rPr>
                <w:rFonts w:hint="eastAsia" w:cs="Times New Roman"/>
                <w:color w:val="auto"/>
                <w:sz w:val="21"/>
                <w:szCs w:val="21"/>
                <w:lang w:eastAsia="zh-CN"/>
              </w:rPr>
              <w:t>一和成品库二</w:t>
            </w:r>
          </w:p>
        </w:tc>
        <w:tc>
          <w:tcPr>
            <w:tcW w:w="3485" w:type="dxa"/>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氨化复合肥、氨酸复合肥</w:t>
            </w:r>
          </w:p>
        </w:tc>
        <w:tc>
          <w:tcPr>
            <w:tcW w:w="707" w:type="dxa"/>
            <w:vAlign w:val="top"/>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戊类</w:t>
            </w:r>
          </w:p>
        </w:tc>
        <w:tc>
          <w:tcPr>
            <w:tcW w:w="1688" w:type="dxa"/>
            <w:vAlign w:val="to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正常环境</w:t>
            </w:r>
          </w:p>
        </w:tc>
        <w:tc>
          <w:tcPr>
            <w:tcW w:w="705"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129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腐蚀性环境</w:t>
            </w:r>
          </w:p>
        </w:tc>
      </w:tr>
    </w:tbl>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6.1.2各单元固有危险程度定量分析</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6.1.2.1具有爆炸性的化学品的质量及相当于梯恩梯（TNT）的摩尔量</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爆炸性化学品的TNT当量的公式</w:t>
      </w:r>
    </w:p>
    <w:p>
      <w:pPr>
        <w:spacing w:line="240" w:lineRule="auto"/>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2019300" cy="609600"/>
            <wp:effectExtent l="0" t="0" r="0" b="0"/>
            <wp:docPr id="10" name="图片 1" descr="1637288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637288515(1)"/>
                    <pic:cNvPicPr>
                      <a:picLocks noChangeAspect="1"/>
                    </pic:cNvPicPr>
                  </pic:nvPicPr>
                  <pic:blipFill>
                    <a:blip r:embed="rId17"/>
                    <a:stretch>
                      <a:fillRect/>
                    </a:stretch>
                  </pic:blipFill>
                  <pic:spPr>
                    <a:xfrm>
                      <a:off x="0" y="0"/>
                      <a:ext cx="2019300" cy="609600"/>
                    </a:xfrm>
                    <a:prstGeom prst="rect">
                      <a:avLst/>
                    </a:prstGeom>
                    <a:noFill/>
                    <a:ln>
                      <a:noFill/>
                    </a:ln>
                  </pic:spPr>
                </pic:pic>
              </a:graphicData>
            </a:graphic>
          </wp:inline>
        </w:drawing>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式中：A——蒸气云的TNT当量系数，取值为4％；</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WTNT——蒸气云的TNT当量，kg；</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Wf——蒸气云中燃料的总质量，kg；</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Qf——燃料的燃烧值，kJ/kg； </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QTNT——TNT的爆热，QTNT＝（4.12～4.69）×103kJ/kg，取值为4500 kJ/kg。</w:t>
      </w:r>
    </w:p>
    <w:p>
      <w:pPr>
        <w:ind w:firstLine="56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该项目不涉及爆炸品；</w:t>
      </w:r>
      <w:r>
        <w:rPr>
          <w:rFonts w:hint="default" w:ascii="Times New Roman" w:hAnsi="Times New Roman" w:eastAsia="宋体" w:cs="Times New Roman"/>
          <w:color w:val="auto"/>
          <w:lang w:eastAsia="zh-CN"/>
        </w:rPr>
        <w:t>不涉及</w:t>
      </w:r>
      <w:r>
        <w:rPr>
          <w:rFonts w:hint="default" w:ascii="Times New Roman" w:hAnsi="Times New Roman" w:eastAsia="宋体" w:cs="Times New Roman"/>
          <w:color w:val="auto"/>
        </w:rPr>
        <w:t>易燃物质</w:t>
      </w:r>
      <w:r>
        <w:rPr>
          <w:rFonts w:hint="default" w:ascii="Times New Roman" w:hAnsi="Times New Roman" w:eastAsia="宋体" w:cs="Times New Roman"/>
          <w:color w:val="auto"/>
          <w:lang w:eastAsia="zh-CN"/>
        </w:rPr>
        <w:t>的储存</w:t>
      </w:r>
      <w:r>
        <w:rPr>
          <w:rFonts w:hint="default" w:ascii="Times New Roman" w:hAnsi="Times New Roman" w:eastAsia="宋体" w:cs="Times New Roman"/>
          <w:color w:val="auto"/>
        </w:rPr>
        <w:t>。本报告不予以计算</w:t>
      </w:r>
      <w:r>
        <w:rPr>
          <w:rFonts w:hint="default" w:ascii="Times New Roman" w:hAnsi="Times New Roman" w:eastAsia="宋体" w:cs="Times New Roman"/>
          <w:color w:val="auto"/>
          <w:lang w:eastAsia="zh-CN"/>
        </w:rPr>
        <w:t>。</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6.1.2.2具有可燃性的化学品的质量及燃烧后放出的热量</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具有可燃性的化学品燃烧后放出的热量为：</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Q=qm</w:t>
      </w:r>
      <w:r>
        <w:rPr>
          <w:rFonts w:hint="default" w:ascii="Times New Roman" w:hAnsi="Times New Roman" w:eastAsia="宋体" w:cs="Times New Roman"/>
          <w:color w:val="auto"/>
        </w:rPr>
        <w:tab/>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q — 燃料的燃烧值，kJ/kg；</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m — 物质的质量，kg。</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w:t>
      </w:r>
      <w:r>
        <w:rPr>
          <w:rFonts w:hint="default" w:ascii="Times New Roman" w:hAnsi="Times New Roman" w:eastAsia="宋体" w:cs="Times New Roman"/>
          <w:color w:val="auto"/>
          <w:lang w:eastAsia="zh-CN"/>
        </w:rPr>
        <w:t>不涉及</w:t>
      </w:r>
      <w:r>
        <w:rPr>
          <w:rFonts w:hint="default" w:ascii="Times New Roman" w:hAnsi="Times New Roman" w:eastAsia="宋体" w:cs="Times New Roman"/>
          <w:color w:val="auto"/>
        </w:rPr>
        <w:t>可燃性</w:t>
      </w:r>
      <w:r>
        <w:rPr>
          <w:rFonts w:hint="default" w:ascii="Times New Roman" w:hAnsi="Times New Roman" w:eastAsia="宋体" w:cs="Times New Roman"/>
          <w:color w:val="auto"/>
          <w:lang w:eastAsia="zh-CN"/>
        </w:rPr>
        <w:t>危险</w:t>
      </w:r>
      <w:r>
        <w:rPr>
          <w:rFonts w:hint="default" w:ascii="Times New Roman" w:hAnsi="Times New Roman" w:eastAsia="宋体" w:cs="Times New Roman"/>
          <w:color w:val="auto"/>
        </w:rPr>
        <w:t>化学品</w:t>
      </w:r>
      <w:r>
        <w:rPr>
          <w:rFonts w:hint="default" w:ascii="Times New Roman" w:hAnsi="Times New Roman" w:eastAsia="宋体" w:cs="Times New Roman"/>
          <w:color w:val="auto"/>
          <w:lang w:eastAsia="zh-CN"/>
        </w:rPr>
        <w:t>，涉及的天然气（燃料）为园区供应</w:t>
      </w:r>
      <w:r>
        <w:rPr>
          <w:rFonts w:hint="default" w:ascii="Times New Roman" w:hAnsi="Times New Roman" w:eastAsia="宋体" w:cs="Times New Roman"/>
          <w:color w:val="auto"/>
        </w:rPr>
        <w:t>，本报告不予以计算。</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6.1.2.3具有毒性的化学品的浓度及质量</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依据《职业性接触毒物危害程度分级》，该项目</w:t>
      </w:r>
      <w:r>
        <w:rPr>
          <w:rFonts w:hint="default" w:ascii="Times New Roman" w:hAnsi="Times New Roman" w:cs="Times New Roman"/>
          <w:color w:val="auto"/>
          <w:lang w:eastAsia="zh-CN"/>
        </w:rPr>
        <w:t>氯化氢（无水）、氨、</w:t>
      </w:r>
      <w:r>
        <w:rPr>
          <w:rFonts w:hint="default" w:ascii="Times New Roman" w:hAnsi="Times New Roman" w:eastAsia="宋体" w:cs="Times New Roman"/>
          <w:color w:val="auto"/>
        </w:rPr>
        <w:t>硫酸</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盐酸具有一定的毒性属于Ⅲ级（中度危害）；其他物质属于Ⅳ级(轻度危害)，本报告不予以列出。</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表6.1-4 具有毒性的化学品的浓度及质量</w:t>
      </w:r>
    </w:p>
    <w:tbl>
      <w:tblPr>
        <w:tblStyle w:val="19"/>
        <w:tblW w:w="4996"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595"/>
        <w:gridCol w:w="1373"/>
        <w:gridCol w:w="2959"/>
        <w:gridCol w:w="1319"/>
        <w:gridCol w:w="1233"/>
        <w:gridCol w:w="180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321" w:type="pct"/>
            <w:tcBorders>
              <w:top w:val="single" w:color="000000" w:sz="4" w:space="0"/>
            </w:tcBorders>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739" w:type="pct"/>
            <w:tcBorders>
              <w:top w:val="single" w:color="000000" w:sz="4" w:space="0"/>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存在物质</w:t>
            </w:r>
          </w:p>
        </w:tc>
        <w:tc>
          <w:tcPr>
            <w:tcW w:w="1593" w:type="pct"/>
            <w:tcBorders>
              <w:top w:val="single" w:color="000000" w:sz="4" w:space="0"/>
            </w:tcBorders>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存在场所</w:t>
            </w:r>
          </w:p>
        </w:tc>
        <w:tc>
          <w:tcPr>
            <w:tcW w:w="710" w:type="pct"/>
            <w:tcBorders>
              <w:top w:val="single" w:color="000000" w:sz="4" w:space="0"/>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最大在线量（t）</w:t>
            </w:r>
          </w:p>
        </w:tc>
        <w:tc>
          <w:tcPr>
            <w:tcW w:w="664" w:type="pct"/>
            <w:tcBorders>
              <w:top w:val="single" w:color="000000" w:sz="4" w:space="0"/>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w:t>
            </w:r>
          </w:p>
        </w:tc>
        <w:tc>
          <w:tcPr>
            <w:tcW w:w="970" w:type="pct"/>
            <w:tcBorders>
              <w:top w:val="single" w:color="000000" w:sz="4" w:space="0"/>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毒性</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97" w:hRule="atLeast"/>
          <w:jc w:val="center"/>
        </w:trPr>
        <w:tc>
          <w:tcPr>
            <w:tcW w:w="321" w:type="pct"/>
            <w:vMerge w:val="restart"/>
          </w:tcPr>
          <w:p>
            <w:pPr>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739" w:type="pct"/>
            <w:vMerge w:val="restart"/>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盐酸</w:t>
            </w:r>
          </w:p>
        </w:tc>
        <w:tc>
          <w:tcPr>
            <w:tcW w:w="1593" w:type="pct"/>
          </w:tcPr>
          <w:p>
            <w:pPr>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氨化车间</w:t>
            </w:r>
          </w:p>
        </w:tc>
        <w:tc>
          <w:tcPr>
            <w:tcW w:w="710" w:type="pct"/>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18</w:t>
            </w:r>
            <w:r>
              <w:rPr>
                <w:rFonts w:hint="default" w:ascii="Times New Roman" w:hAnsi="Times New Roman" w:eastAsia="宋体" w:cs="Times New Roman"/>
                <w:color w:val="auto"/>
                <w:sz w:val="21"/>
                <w:szCs w:val="21"/>
              </w:rPr>
              <w:t>0</w:t>
            </w:r>
          </w:p>
        </w:tc>
        <w:tc>
          <w:tcPr>
            <w:tcW w:w="664" w:type="pct"/>
            <w:vMerge w:val="restart"/>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default"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970" w:type="pct"/>
            <w:vMerge w:val="restart"/>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Ⅲ级（中度危害）</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97" w:hRule="atLeast"/>
          <w:jc w:val="center"/>
        </w:trPr>
        <w:tc>
          <w:tcPr>
            <w:tcW w:w="321" w:type="pct"/>
            <w:vMerge w:val="continue"/>
          </w:tcPr>
          <w:p>
            <w:pPr>
              <w:spacing w:line="240" w:lineRule="auto"/>
              <w:rPr>
                <w:rFonts w:hint="default" w:ascii="Times New Roman" w:hAnsi="Times New Roman" w:eastAsia="宋体" w:cs="Times New Roman"/>
                <w:color w:val="auto"/>
                <w:sz w:val="21"/>
                <w:szCs w:val="21"/>
              </w:rPr>
            </w:pPr>
          </w:p>
        </w:tc>
        <w:tc>
          <w:tcPr>
            <w:tcW w:w="739" w:type="pct"/>
            <w:vMerge w:val="continue"/>
            <w:vAlign w:val="center"/>
          </w:tcPr>
          <w:p>
            <w:pPr>
              <w:spacing w:line="240" w:lineRule="auto"/>
              <w:rPr>
                <w:rFonts w:hint="default" w:ascii="Times New Roman" w:hAnsi="Times New Roman" w:eastAsia="宋体" w:cs="Times New Roman"/>
                <w:color w:val="auto"/>
                <w:sz w:val="21"/>
                <w:szCs w:val="21"/>
              </w:rPr>
            </w:pPr>
          </w:p>
        </w:tc>
        <w:tc>
          <w:tcPr>
            <w:tcW w:w="1593" w:type="pct"/>
          </w:tcPr>
          <w:p>
            <w:pPr>
              <w:spacing w:line="240" w:lineRule="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盐酸</w:t>
            </w:r>
            <w:r>
              <w:rPr>
                <w:rFonts w:hint="default" w:ascii="Times New Roman" w:hAnsi="Times New Roman" w:eastAsia="宋体" w:cs="Times New Roman"/>
                <w:color w:val="auto"/>
                <w:sz w:val="21"/>
                <w:szCs w:val="21"/>
              </w:rPr>
              <w:t>罐区</w:t>
            </w:r>
          </w:p>
        </w:tc>
        <w:tc>
          <w:tcPr>
            <w:tcW w:w="710" w:type="pct"/>
            <w:vAlign w:val="center"/>
          </w:tcPr>
          <w:p>
            <w:pPr>
              <w:spacing w:line="240" w:lineRule="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1888</w:t>
            </w:r>
          </w:p>
        </w:tc>
        <w:tc>
          <w:tcPr>
            <w:tcW w:w="664" w:type="pct"/>
            <w:vMerge w:val="continue"/>
            <w:vAlign w:val="center"/>
          </w:tcPr>
          <w:p>
            <w:pPr>
              <w:spacing w:line="240" w:lineRule="auto"/>
              <w:rPr>
                <w:rFonts w:hint="default" w:ascii="Times New Roman" w:hAnsi="Times New Roman" w:eastAsia="宋体" w:cs="Times New Roman"/>
                <w:color w:val="auto"/>
                <w:sz w:val="21"/>
                <w:szCs w:val="21"/>
              </w:rPr>
            </w:pPr>
          </w:p>
        </w:tc>
        <w:tc>
          <w:tcPr>
            <w:tcW w:w="970" w:type="pct"/>
            <w:vMerge w:val="continue"/>
            <w:vAlign w:val="center"/>
          </w:tcPr>
          <w:p>
            <w:pPr>
              <w:spacing w:line="240" w:lineRule="auto"/>
              <w:rPr>
                <w:rFonts w:hint="default" w:ascii="Times New Roman" w:hAnsi="Times New Roman" w:eastAsia="宋体"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89" w:hRule="atLeast"/>
          <w:jc w:val="center"/>
        </w:trPr>
        <w:tc>
          <w:tcPr>
            <w:tcW w:w="321" w:type="pct"/>
            <w:vMerge w:val="restart"/>
          </w:tcPr>
          <w:p>
            <w:pPr>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739" w:type="pct"/>
            <w:vMerge w:val="restart"/>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w:t>
            </w:r>
          </w:p>
        </w:tc>
        <w:tc>
          <w:tcPr>
            <w:tcW w:w="1593" w:type="pct"/>
          </w:tcPr>
          <w:p>
            <w:pPr>
              <w:spacing w:line="240" w:lineRule="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氨化车间</w:t>
            </w:r>
          </w:p>
        </w:tc>
        <w:tc>
          <w:tcPr>
            <w:tcW w:w="710" w:type="pct"/>
            <w:vAlign w:val="center"/>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664" w:type="pct"/>
            <w:vMerge w:val="restart"/>
            <w:vAlign w:val="center"/>
          </w:tcPr>
          <w:p>
            <w:pPr>
              <w:spacing w:line="240" w:lineRule="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98%</w:t>
            </w:r>
          </w:p>
        </w:tc>
        <w:tc>
          <w:tcPr>
            <w:tcW w:w="970" w:type="pct"/>
            <w:vMerge w:val="restart"/>
            <w:vAlign w:val="center"/>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Ⅲ级（中度危害）</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89" w:hRule="atLeast"/>
          <w:jc w:val="center"/>
        </w:trPr>
        <w:tc>
          <w:tcPr>
            <w:tcW w:w="321" w:type="pct"/>
            <w:vMerge w:val="continue"/>
          </w:tcPr>
          <w:p>
            <w:pPr>
              <w:spacing w:line="240" w:lineRule="auto"/>
              <w:rPr>
                <w:rFonts w:hint="default" w:ascii="Times New Roman" w:hAnsi="Times New Roman" w:eastAsia="宋体" w:cs="Times New Roman"/>
                <w:color w:val="auto"/>
              </w:rPr>
            </w:pPr>
          </w:p>
        </w:tc>
        <w:tc>
          <w:tcPr>
            <w:tcW w:w="739" w:type="pct"/>
            <w:vMerge w:val="continue"/>
            <w:vAlign w:val="center"/>
          </w:tcPr>
          <w:p>
            <w:pPr>
              <w:spacing w:line="240" w:lineRule="auto"/>
              <w:rPr>
                <w:rFonts w:hint="default" w:ascii="Times New Roman" w:hAnsi="Times New Roman" w:eastAsia="宋体" w:cs="Times New Roman"/>
                <w:color w:val="auto"/>
              </w:rPr>
            </w:pPr>
          </w:p>
        </w:tc>
        <w:tc>
          <w:tcPr>
            <w:tcW w:w="1593" w:type="pct"/>
          </w:tcPr>
          <w:p>
            <w:pPr>
              <w:spacing w:line="240" w:lineRule="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硫酸</w:t>
            </w:r>
            <w:r>
              <w:rPr>
                <w:rFonts w:hint="default" w:ascii="Times New Roman" w:hAnsi="Times New Roman" w:eastAsia="宋体" w:cs="Times New Roman"/>
                <w:color w:val="auto"/>
                <w:sz w:val="21"/>
                <w:szCs w:val="21"/>
              </w:rPr>
              <w:t>罐区</w:t>
            </w:r>
          </w:p>
        </w:tc>
        <w:tc>
          <w:tcPr>
            <w:tcW w:w="710" w:type="pct"/>
            <w:vAlign w:val="center"/>
          </w:tcPr>
          <w:p>
            <w:pPr>
              <w:spacing w:line="240" w:lineRule="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1464</w:t>
            </w:r>
          </w:p>
        </w:tc>
        <w:tc>
          <w:tcPr>
            <w:tcW w:w="664" w:type="pct"/>
            <w:vMerge w:val="continue"/>
            <w:vAlign w:val="center"/>
          </w:tcPr>
          <w:p>
            <w:pPr>
              <w:spacing w:line="240" w:lineRule="auto"/>
              <w:rPr>
                <w:rFonts w:hint="default" w:ascii="Times New Roman" w:hAnsi="Times New Roman" w:eastAsia="宋体" w:cs="Times New Roman"/>
                <w:color w:val="auto"/>
                <w:sz w:val="21"/>
                <w:szCs w:val="21"/>
              </w:rPr>
            </w:pPr>
          </w:p>
        </w:tc>
        <w:tc>
          <w:tcPr>
            <w:tcW w:w="970" w:type="pct"/>
            <w:vMerge w:val="continue"/>
            <w:vAlign w:val="center"/>
          </w:tcPr>
          <w:p>
            <w:pPr>
              <w:spacing w:line="240" w:lineRule="auto"/>
              <w:rPr>
                <w:rFonts w:hint="default" w:ascii="Times New Roman" w:hAnsi="Times New Roman" w:eastAsia="宋体"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89" w:hRule="atLeast"/>
          <w:jc w:val="center"/>
        </w:trPr>
        <w:tc>
          <w:tcPr>
            <w:tcW w:w="321" w:type="pct"/>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739" w:type="pct"/>
            <w:vAlign w:val="center"/>
          </w:tcPr>
          <w:p>
            <w:pPr>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氯化氢</w:t>
            </w:r>
          </w:p>
        </w:tc>
        <w:tc>
          <w:tcPr>
            <w:tcW w:w="1593" w:type="pct"/>
          </w:tcPr>
          <w:p>
            <w:pPr>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氨化车间</w:t>
            </w:r>
          </w:p>
        </w:tc>
        <w:tc>
          <w:tcPr>
            <w:tcW w:w="710" w:type="pct"/>
            <w:vAlign w:val="center"/>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0.9</w:t>
            </w:r>
          </w:p>
        </w:tc>
        <w:tc>
          <w:tcPr>
            <w:tcW w:w="664" w:type="pct"/>
            <w:vAlign w:val="center"/>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99%</w:t>
            </w:r>
          </w:p>
        </w:tc>
        <w:tc>
          <w:tcPr>
            <w:tcW w:w="970" w:type="pct"/>
            <w:vAlign w:val="center"/>
          </w:tcPr>
          <w:p>
            <w:pPr>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Ⅲ级（中度危害）</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89" w:hRule="atLeast"/>
          <w:jc w:val="center"/>
        </w:trPr>
        <w:tc>
          <w:tcPr>
            <w:tcW w:w="321" w:type="pct"/>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739" w:type="pct"/>
            <w:vAlign w:val="center"/>
          </w:tcPr>
          <w:p>
            <w:pPr>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氨</w:t>
            </w:r>
          </w:p>
        </w:tc>
        <w:tc>
          <w:tcPr>
            <w:tcW w:w="1593" w:type="pct"/>
          </w:tcPr>
          <w:p>
            <w:pPr>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氨化车间</w:t>
            </w:r>
          </w:p>
        </w:tc>
        <w:tc>
          <w:tcPr>
            <w:tcW w:w="710" w:type="pct"/>
            <w:vAlign w:val="center"/>
          </w:tcPr>
          <w:p>
            <w:pPr>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w:t>
            </w:r>
          </w:p>
        </w:tc>
        <w:tc>
          <w:tcPr>
            <w:tcW w:w="664" w:type="pct"/>
            <w:vAlign w:val="center"/>
          </w:tcPr>
          <w:p>
            <w:pPr>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99%</w:t>
            </w:r>
          </w:p>
        </w:tc>
        <w:tc>
          <w:tcPr>
            <w:tcW w:w="970" w:type="pct"/>
            <w:vAlign w:val="center"/>
          </w:tcPr>
          <w:p>
            <w:pPr>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Ⅲ级（中度危害）</w:t>
            </w:r>
          </w:p>
        </w:tc>
      </w:tr>
    </w:tbl>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6.1.2.4具有腐蚀性的化学品的浓度及质量</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该项目存在的具有腐蚀品的化学品为硫酸、盐酸等。</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表6.1-5 具有腐蚀性的化学品的浓度及质量</w:t>
      </w:r>
    </w:p>
    <w:tbl>
      <w:tblPr>
        <w:tblStyle w:val="19"/>
        <w:tblW w:w="4996"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739"/>
        <w:gridCol w:w="2331"/>
        <w:gridCol w:w="3046"/>
        <w:gridCol w:w="1636"/>
        <w:gridCol w:w="1529"/>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398" w:type="pct"/>
            <w:tcBorders>
              <w:top w:val="single" w:color="000000" w:sz="4" w:space="0"/>
            </w:tcBorders>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255" w:type="pct"/>
            <w:tcBorders>
              <w:top w:val="single" w:color="000000" w:sz="4" w:space="0"/>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存在物质</w:t>
            </w:r>
          </w:p>
        </w:tc>
        <w:tc>
          <w:tcPr>
            <w:tcW w:w="1640" w:type="pct"/>
            <w:tcBorders>
              <w:top w:val="single" w:color="000000" w:sz="4" w:space="0"/>
            </w:tcBorders>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存在场所</w:t>
            </w:r>
          </w:p>
        </w:tc>
        <w:tc>
          <w:tcPr>
            <w:tcW w:w="881" w:type="pct"/>
            <w:tcBorders>
              <w:top w:val="single" w:color="000000" w:sz="4" w:space="0"/>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最大在线量（t）</w:t>
            </w:r>
          </w:p>
        </w:tc>
        <w:tc>
          <w:tcPr>
            <w:tcW w:w="823" w:type="pct"/>
            <w:tcBorders>
              <w:top w:val="single" w:color="000000" w:sz="4" w:space="0"/>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97" w:hRule="atLeast"/>
          <w:jc w:val="center"/>
        </w:trPr>
        <w:tc>
          <w:tcPr>
            <w:tcW w:w="398" w:type="pct"/>
            <w:vMerge w:val="restart"/>
          </w:tcPr>
          <w:p>
            <w:pPr>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1255" w:type="pct"/>
            <w:vMerge w:val="restart"/>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盐酸</w:t>
            </w:r>
          </w:p>
        </w:tc>
        <w:tc>
          <w:tcPr>
            <w:tcW w:w="1640" w:type="pct"/>
            <w:vAlign w:val="top"/>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氨化车间</w:t>
            </w:r>
          </w:p>
        </w:tc>
        <w:tc>
          <w:tcPr>
            <w:tcW w:w="1636" w:type="dxa"/>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18</w:t>
            </w:r>
            <w:r>
              <w:rPr>
                <w:rFonts w:hint="default" w:ascii="Times New Roman" w:hAnsi="Times New Roman" w:eastAsia="宋体" w:cs="Times New Roman"/>
                <w:color w:val="auto"/>
                <w:sz w:val="21"/>
                <w:szCs w:val="21"/>
              </w:rPr>
              <w:t>0</w:t>
            </w:r>
          </w:p>
        </w:tc>
        <w:tc>
          <w:tcPr>
            <w:tcW w:w="823" w:type="pct"/>
            <w:vMerge w:val="restart"/>
            <w:vAlign w:val="center"/>
          </w:tcPr>
          <w:p>
            <w:pPr>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31%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97" w:hRule="atLeast"/>
          <w:jc w:val="center"/>
        </w:trPr>
        <w:tc>
          <w:tcPr>
            <w:tcW w:w="398" w:type="pct"/>
            <w:vMerge w:val="continue"/>
          </w:tcPr>
          <w:p>
            <w:pPr>
              <w:spacing w:line="240" w:lineRule="auto"/>
              <w:rPr>
                <w:rFonts w:hint="default" w:ascii="Times New Roman" w:hAnsi="Times New Roman" w:eastAsia="宋体" w:cs="Times New Roman"/>
                <w:color w:val="auto"/>
                <w:sz w:val="21"/>
                <w:szCs w:val="21"/>
              </w:rPr>
            </w:pPr>
          </w:p>
        </w:tc>
        <w:tc>
          <w:tcPr>
            <w:tcW w:w="1255" w:type="pct"/>
            <w:vMerge w:val="continue"/>
            <w:vAlign w:val="center"/>
          </w:tcPr>
          <w:p>
            <w:pPr>
              <w:spacing w:line="240" w:lineRule="auto"/>
              <w:rPr>
                <w:rFonts w:hint="default" w:ascii="Times New Roman" w:hAnsi="Times New Roman" w:eastAsia="宋体" w:cs="Times New Roman"/>
                <w:color w:val="auto"/>
                <w:sz w:val="21"/>
                <w:szCs w:val="21"/>
              </w:rPr>
            </w:pPr>
          </w:p>
        </w:tc>
        <w:tc>
          <w:tcPr>
            <w:tcW w:w="1640" w:type="pct"/>
            <w:vAlign w:val="top"/>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盐酸</w:t>
            </w:r>
            <w:r>
              <w:rPr>
                <w:rFonts w:hint="default" w:ascii="Times New Roman" w:hAnsi="Times New Roman" w:eastAsia="宋体" w:cs="Times New Roman"/>
                <w:color w:val="auto"/>
                <w:sz w:val="21"/>
                <w:szCs w:val="21"/>
              </w:rPr>
              <w:t>罐区</w:t>
            </w:r>
          </w:p>
        </w:tc>
        <w:tc>
          <w:tcPr>
            <w:tcW w:w="1636" w:type="dxa"/>
            <w:vAlign w:val="center"/>
          </w:tcPr>
          <w:p>
            <w:pPr>
              <w:spacing w:line="240" w:lineRule="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1888</w:t>
            </w:r>
          </w:p>
        </w:tc>
        <w:tc>
          <w:tcPr>
            <w:tcW w:w="823" w:type="pct"/>
            <w:vMerge w:val="continue"/>
            <w:vAlign w:val="center"/>
          </w:tcPr>
          <w:p>
            <w:pPr>
              <w:spacing w:line="240" w:lineRule="auto"/>
              <w:rPr>
                <w:rFonts w:hint="default" w:ascii="Times New Roman" w:hAnsi="Times New Roman" w:eastAsia="宋体"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89" w:hRule="atLeast"/>
          <w:jc w:val="center"/>
        </w:trPr>
        <w:tc>
          <w:tcPr>
            <w:tcW w:w="398" w:type="pct"/>
            <w:vMerge w:val="restart"/>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255" w:type="pct"/>
            <w:vMerge w:val="restart"/>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w:t>
            </w:r>
          </w:p>
        </w:tc>
        <w:tc>
          <w:tcPr>
            <w:tcW w:w="1640" w:type="pct"/>
            <w:vAlign w:val="top"/>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氨化车间</w:t>
            </w:r>
          </w:p>
        </w:tc>
        <w:tc>
          <w:tcPr>
            <w:tcW w:w="1636" w:type="dxa"/>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60</w:t>
            </w:r>
          </w:p>
        </w:tc>
        <w:tc>
          <w:tcPr>
            <w:tcW w:w="823" w:type="pct"/>
            <w:vMerge w:val="restart"/>
            <w:vAlign w:val="center"/>
          </w:tcPr>
          <w:p>
            <w:pPr>
              <w:spacing w:line="240" w:lineRule="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98%</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89" w:hRule="atLeast"/>
          <w:jc w:val="center"/>
        </w:trPr>
        <w:tc>
          <w:tcPr>
            <w:tcW w:w="398" w:type="pct"/>
            <w:vMerge w:val="continue"/>
          </w:tcPr>
          <w:p>
            <w:pPr>
              <w:spacing w:line="240" w:lineRule="auto"/>
              <w:rPr>
                <w:rFonts w:hint="default" w:ascii="Times New Roman" w:hAnsi="Times New Roman" w:eastAsia="宋体" w:cs="Times New Roman"/>
                <w:color w:val="auto"/>
              </w:rPr>
            </w:pPr>
          </w:p>
        </w:tc>
        <w:tc>
          <w:tcPr>
            <w:tcW w:w="1255" w:type="pct"/>
            <w:vMerge w:val="continue"/>
            <w:vAlign w:val="center"/>
          </w:tcPr>
          <w:p>
            <w:pPr>
              <w:spacing w:line="240" w:lineRule="auto"/>
              <w:rPr>
                <w:rFonts w:hint="default" w:ascii="Times New Roman" w:hAnsi="Times New Roman" w:eastAsia="宋体" w:cs="Times New Roman"/>
                <w:color w:val="auto"/>
              </w:rPr>
            </w:pPr>
          </w:p>
        </w:tc>
        <w:tc>
          <w:tcPr>
            <w:tcW w:w="1640" w:type="pct"/>
            <w:vAlign w:val="top"/>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原料</w:t>
            </w:r>
            <w:r>
              <w:rPr>
                <w:rFonts w:hint="default" w:ascii="Times New Roman" w:hAnsi="Times New Roman" w:eastAsia="宋体" w:cs="Times New Roman"/>
                <w:color w:val="auto"/>
                <w:sz w:val="21"/>
                <w:szCs w:val="21"/>
              </w:rPr>
              <w:t>罐区</w:t>
            </w:r>
          </w:p>
        </w:tc>
        <w:tc>
          <w:tcPr>
            <w:tcW w:w="1636" w:type="dxa"/>
            <w:vAlign w:val="center"/>
          </w:tcPr>
          <w:p>
            <w:pPr>
              <w:spacing w:line="240" w:lineRule="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1464</w:t>
            </w:r>
          </w:p>
        </w:tc>
        <w:tc>
          <w:tcPr>
            <w:tcW w:w="823" w:type="pct"/>
            <w:vMerge w:val="continue"/>
            <w:vAlign w:val="center"/>
          </w:tcPr>
          <w:p>
            <w:pPr>
              <w:spacing w:line="240" w:lineRule="auto"/>
              <w:rPr>
                <w:rFonts w:hint="default" w:ascii="Times New Roman" w:hAnsi="Times New Roman" w:eastAsia="宋体" w:cs="Times New Roman"/>
                <w:color w:val="auto"/>
                <w:sz w:val="21"/>
                <w:szCs w:val="21"/>
              </w:rPr>
            </w:pPr>
          </w:p>
        </w:tc>
      </w:tr>
    </w:tbl>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94" w:name="_Toc29327"/>
      <w:bookmarkStart w:id="95" w:name="_Toc25870"/>
      <w:r>
        <w:rPr>
          <w:rFonts w:hint="default" w:ascii="Times New Roman" w:hAnsi="Times New Roman" w:eastAsia="楷体" w:cs="Times New Roman"/>
          <w:b/>
          <w:bCs/>
          <w:color w:val="auto"/>
          <w:kern w:val="2"/>
          <w:sz w:val="32"/>
          <w:szCs w:val="32"/>
          <w:lang w:val="en-US" w:eastAsia="zh-CN" w:bidi="ar-SA"/>
        </w:rPr>
        <w:t>6.2风险程度的分析结果</w:t>
      </w:r>
      <w:bookmarkEnd w:id="94"/>
      <w:bookmarkEnd w:id="95"/>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bookmarkStart w:id="96" w:name="_Toc211678954"/>
      <w:bookmarkStart w:id="97" w:name="_Toc29308922"/>
      <w:bookmarkStart w:id="98" w:name="_Toc380587621"/>
      <w:bookmarkStart w:id="99" w:name="_Toc336214824"/>
      <w:r>
        <w:rPr>
          <w:rFonts w:hint="default" w:ascii="Times New Roman" w:hAnsi="Times New Roman" w:eastAsia="黑体" w:cs="Times New Roman"/>
          <w:color w:val="auto"/>
          <w:kern w:val="0"/>
          <w:sz w:val="28"/>
          <w:szCs w:val="28"/>
          <w:lang w:val="en-US" w:eastAsia="zh-CN" w:bidi="ar-SA"/>
        </w:rPr>
        <w:t>6.</w:t>
      </w:r>
      <w:bookmarkEnd w:id="96"/>
      <w:r>
        <w:rPr>
          <w:rFonts w:hint="default" w:ascii="Times New Roman" w:hAnsi="Times New Roman" w:eastAsia="黑体" w:cs="Times New Roman"/>
          <w:color w:val="auto"/>
          <w:kern w:val="0"/>
          <w:sz w:val="28"/>
          <w:szCs w:val="28"/>
          <w:lang w:val="en-US" w:eastAsia="zh-CN" w:bidi="ar-SA"/>
        </w:rPr>
        <w:t>2.1危险化学品泄漏的可能性</w:t>
      </w:r>
      <w:bookmarkEnd w:id="97"/>
      <w:bookmarkEnd w:id="98"/>
      <w:bookmarkEnd w:id="99"/>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可能泄漏危险化学品的地方有设备与管道的连接处、管道与管道的连接处、设备与相关附件连接处、设备本身及密封处等。设备、管道、储罐的法兰垫片损坏、管线连接阀门损坏，机械设备振动过大或地质沉降以及检修过程中操作不当等都可能引起泄漏。该项目生产过程为间歇式生产，原料投放、产品生产大部分采用密闭系统及人工操作，原料及产品输送设备和管道连接处采用可靠的密封措施。因此，在正常生产的情况下，危险化学品泄漏的可能性较小；但在</w:t>
      </w:r>
      <w:r>
        <w:rPr>
          <w:rFonts w:hint="default" w:ascii="Times New Roman" w:hAnsi="Times New Roman" w:cs="Times New Roman"/>
          <w:color w:val="auto"/>
          <w:lang w:eastAsia="zh-CN"/>
        </w:rPr>
        <w:t>造粒和烘干工段</w:t>
      </w:r>
      <w:r>
        <w:rPr>
          <w:rFonts w:hint="default" w:ascii="Times New Roman" w:hAnsi="Times New Roman" w:eastAsia="宋体" w:cs="Times New Roman"/>
          <w:color w:val="auto"/>
        </w:rPr>
        <w:t>等过程中，容易产生</w:t>
      </w:r>
      <w:r>
        <w:rPr>
          <w:rFonts w:hint="default" w:ascii="Times New Roman" w:hAnsi="Times New Roman" w:eastAsia="宋体" w:cs="Times New Roman"/>
          <w:color w:val="auto"/>
          <w:lang w:eastAsia="zh-CN"/>
        </w:rPr>
        <w:t>烟气</w:t>
      </w:r>
      <w:r>
        <w:rPr>
          <w:rFonts w:hint="default" w:ascii="Times New Roman" w:hAnsi="Times New Roman" w:eastAsia="宋体" w:cs="Times New Roman"/>
          <w:color w:val="auto"/>
        </w:rPr>
        <w:t>；在装卸原料或成品，设备损坏或密封点不严、操作失误以及在生产不正常或停工检修过程中存在危险化学品泄漏的可能性较大。由于引起泄漏从而大量释放</w:t>
      </w:r>
      <w:r>
        <w:rPr>
          <w:rFonts w:hint="default" w:ascii="Times New Roman" w:hAnsi="Times New Roman" w:eastAsia="宋体" w:cs="Times New Roman"/>
          <w:color w:val="auto"/>
          <w:lang w:eastAsia="zh-CN"/>
        </w:rPr>
        <w:t>腐蚀性</w:t>
      </w:r>
      <w:r>
        <w:rPr>
          <w:rFonts w:hint="default" w:ascii="Times New Roman" w:hAnsi="Times New Roman" w:eastAsia="宋体" w:cs="Times New Roman"/>
          <w:color w:val="auto"/>
        </w:rPr>
        <w:t>、有毒有害物质，将会导致中毒</w:t>
      </w:r>
      <w:r>
        <w:rPr>
          <w:rFonts w:hint="default" w:ascii="Times New Roman" w:hAnsi="Times New Roman" w:eastAsia="宋体" w:cs="Times New Roman"/>
          <w:color w:val="auto"/>
          <w:lang w:eastAsia="zh-CN"/>
        </w:rPr>
        <w:t>、灼烫</w:t>
      </w:r>
      <w:r>
        <w:rPr>
          <w:rFonts w:hint="default" w:ascii="Times New Roman" w:hAnsi="Times New Roman" w:eastAsia="宋体" w:cs="Times New Roman"/>
          <w:color w:val="auto"/>
        </w:rPr>
        <w:t>等重大事故发生，因此，事故的预测首先应制定严格的操作规程及杜绝生产装置的跑、冒、滴、漏。</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该项目工艺操作温度高，在生产过程中部分设备涉及高温同时存在盐酸、硫酸等腐蚀性物料</w:t>
      </w:r>
      <w:r>
        <w:rPr>
          <w:rFonts w:hint="default" w:ascii="Times New Roman" w:hAnsi="Times New Roman" w:cs="Times New Roman"/>
          <w:color w:val="auto"/>
          <w:lang w:eastAsia="zh-CN"/>
        </w:rPr>
        <w:t>、涉及有毒物料氨</w:t>
      </w:r>
      <w:r>
        <w:rPr>
          <w:rFonts w:hint="default" w:ascii="Times New Roman" w:hAnsi="Times New Roman" w:eastAsia="宋体" w:cs="Times New Roman"/>
          <w:color w:val="auto"/>
        </w:rPr>
        <w:t>，对设备、管道、阀门、密封材料有一定的腐蚀性，存在泄漏的可能；生产装置中有大量的法兰、阀门、螺纹及气体排放系统、液体排放系统，存在较多的静密封点；所以该项目生产装置发生介质泄漏的可能性比较大，且各生产装置操作温度变化较大，可能增加了设备、管道、机泵的动、静密封泄漏几率。</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涉及高温条件下作业，易腐蚀或在高温低温作用下产生疲劳和变形，设备维护保养不当，附件设施受侵蚀，易产生物料泄漏或溢出。试车、开停车阶段，温度变化频繁，会导致接口松动，导致液体大量泄漏；焊接质量差，特别是焊接接头处未焊透，又未进行焊缝探伤检查、爆破试验，导致设备、管道、阀门接头泄漏或产生疲劳断裂，易产生物料泄漏或溢出。</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该项目使用大量的泵作为液体输送设备，如果为了降低造价选用衬胶泵，由于非金属件的几何精度和尺寸精度很难保持不变，而且非金属材料的寿命较短，可靠性差，容易导致轴封泄漏、腐蚀设备。</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因此，该项目最可能泄漏危险化学品的地方有设备与管道的连接处、管道与管道的连接处、设备与相关附件连接处、设备管道本身及密封处等或者操作人员操作失误导致化学品从储罐顶部溢流出来。</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表6.2-1 物料泄漏的可能性分析</w:t>
      </w:r>
    </w:p>
    <w:tbl>
      <w:tblPr>
        <w:tblStyle w:val="19"/>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3622"/>
        <w:gridCol w:w="1391"/>
        <w:gridCol w:w="3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362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发生泄漏的可能原因</w:t>
            </w:r>
          </w:p>
        </w:tc>
        <w:tc>
          <w:tcPr>
            <w:tcW w:w="139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可能性分级</w:t>
            </w:r>
          </w:p>
        </w:tc>
        <w:tc>
          <w:tcPr>
            <w:tcW w:w="38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预防措施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62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设备、管道法兰、阀门密封不严泄漏</w:t>
            </w:r>
          </w:p>
        </w:tc>
        <w:tc>
          <w:tcPr>
            <w:tcW w:w="139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容易发生</w:t>
            </w:r>
          </w:p>
        </w:tc>
        <w:tc>
          <w:tcPr>
            <w:tcW w:w="38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对可能发生泄漏的部位进行经常检查，定期检修、保养。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62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贮罐或设备液位过高发生溢流泄漏</w:t>
            </w:r>
          </w:p>
        </w:tc>
        <w:tc>
          <w:tcPr>
            <w:tcW w:w="139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偶尔发生</w:t>
            </w:r>
          </w:p>
        </w:tc>
        <w:tc>
          <w:tcPr>
            <w:tcW w:w="38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贮罐或设备设置液位高报警装置，或设置溢流口，防止溢流。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62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压力容器超压、防爆板动作、高压物料窜入低压系统</w:t>
            </w:r>
          </w:p>
        </w:tc>
        <w:tc>
          <w:tcPr>
            <w:tcW w:w="139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偶尔发生</w:t>
            </w:r>
          </w:p>
        </w:tc>
        <w:tc>
          <w:tcPr>
            <w:tcW w:w="38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压力容器按规范进行设计，高低压系统之间设置减压阀、安全阀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362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腐蚀泄漏</w:t>
            </w:r>
          </w:p>
        </w:tc>
        <w:tc>
          <w:tcPr>
            <w:tcW w:w="139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容易发生</w:t>
            </w:r>
          </w:p>
        </w:tc>
        <w:tc>
          <w:tcPr>
            <w:tcW w:w="38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选取相应的防腐材料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362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人员误操作导致物料外泄</w:t>
            </w:r>
          </w:p>
        </w:tc>
        <w:tc>
          <w:tcPr>
            <w:tcW w:w="139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容易发生</w:t>
            </w:r>
          </w:p>
        </w:tc>
        <w:tc>
          <w:tcPr>
            <w:tcW w:w="38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按操作规程进行作业</w:t>
            </w:r>
          </w:p>
        </w:tc>
      </w:tr>
    </w:tbl>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6.2.2有毒化学品接触最高限值的时间</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据《职业性接触毒物危害程度分级》，该项目反应中产生的氯化氢具有一定的毒性。需要说明的是，当气体状态有毒物质一旦发生泄漏，在泄漏点附近在短时间内其蒸气浓度已达到中毒极限，对附近的作业人员均可能造成中毒伤害。</w:t>
      </w:r>
      <w:r>
        <w:rPr>
          <w:rFonts w:hint="default" w:ascii="Times New Roman" w:hAnsi="Times New Roman" w:eastAsia="宋体" w:cs="Times New Roman"/>
          <w:color w:val="auto"/>
          <w:lang w:eastAsia="zh-CN"/>
        </w:rPr>
        <w:t>涉及的</w:t>
      </w:r>
      <w:r>
        <w:rPr>
          <w:rFonts w:hint="default" w:ascii="Times New Roman" w:hAnsi="Times New Roman" w:cs="Times New Roman"/>
          <w:color w:val="auto"/>
          <w:lang w:eastAsia="zh-CN"/>
        </w:rPr>
        <w:t>氯化铵</w:t>
      </w:r>
      <w:r>
        <w:rPr>
          <w:rFonts w:hint="default" w:ascii="Times New Roman" w:hAnsi="Times New Roman" w:eastAsia="宋体" w:cs="Times New Roman"/>
          <w:color w:val="auto"/>
          <w:lang w:eastAsia="zh-CN"/>
        </w:rPr>
        <w:t>为</w:t>
      </w:r>
      <w:r>
        <w:rPr>
          <w:rFonts w:hint="default" w:ascii="Times New Roman" w:hAnsi="Times New Roman" w:eastAsia="宋体" w:cs="Times New Roman"/>
          <w:color w:val="auto"/>
        </w:rPr>
        <w:t>固体状态</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健康人应用50g 氯化铵可致重度中毒，有肝病、肾病、慢性心脏病的患者，5g即可引起严重中毒。口服中毒引起化学性胃炎，严重者由于血氨显著增高，诱发肝昏迷。严重中毒时造成肝、肾损害，出现代谢性酸中毒，同时支气管分泌物大量增加。职业性接触，可引起呼吸道粘膜的刺激和灼伤。慢性影响:经常性接触氯化铵，可引起眼结膜及呼吸道粘膜慢性炎症。</w:t>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6.2.3事故模型分析</w:t>
      </w:r>
    </w:p>
    <w:p>
      <w:pPr>
        <w:ind w:firstLine="56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本评价要使用中国安全生产科学研究院研发的 CASST-QRA 评价软件对该项目拟选定的装置可能发生的危险化学品事故后果进行模拟计算评价。</w:t>
      </w:r>
      <w:r>
        <w:rPr>
          <w:rFonts w:hint="default" w:ascii="Times New Roman" w:hAnsi="Times New Roman" w:eastAsia="宋体" w:cs="Times New Roman"/>
          <w:color w:val="auto"/>
          <w:lang w:val="en-US" w:eastAsia="zh-CN"/>
        </w:rPr>
        <w:t>该项目涉及的主要为腐蚀性介质盐酸、硫酸，</w:t>
      </w:r>
      <w:r>
        <w:rPr>
          <w:rFonts w:hint="default" w:ascii="Times New Roman" w:hAnsi="Times New Roman" w:cs="Times New Roman"/>
          <w:color w:val="auto"/>
          <w:lang w:val="en-US" w:eastAsia="zh-CN"/>
        </w:rPr>
        <w:t>涉及的氨和天然气通过管道运输，不涉及储存，因此</w:t>
      </w:r>
      <w:r>
        <w:rPr>
          <w:rFonts w:hint="default" w:ascii="Times New Roman" w:hAnsi="Times New Roman" w:eastAsia="宋体" w:cs="Times New Roman"/>
          <w:color w:val="auto"/>
          <w:lang w:val="en-US" w:eastAsia="zh-CN"/>
        </w:rPr>
        <w:t>无法通过软件模拟计算</w:t>
      </w:r>
      <w:r>
        <w:rPr>
          <w:rFonts w:hint="default" w:ascii="Times New Roman" w:hAnsi="Times New Roman" w:cs="Times New Roman"/>
          <w:color w:val="auto"/>
          <w:lang w:val="en-US" w:eastAsia="zh-CN"/>
        </w:rPr>
        <w:t>。</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但</w:t>
      </w:r>
      <w:r>
        <w:rPr>
          <w:rFonts w:hint="default" w:ascii="Times New Roman" w:hAnsi="Times New Roman" w:eastAsia="宋体" w:cs="Times New Roman"/>
          <w:color w:val="auto"/>
        </w:rPr>
        <w:t>该项目危险性较大的设备设施发生火灾、爆炸、中毒事故；运输过程中发生物料泄漏、交通事故，则必定会对周边群众及工厂的生产生活产生影响；设计时应重点考虑设备选型、泄漏处理及中毒事故的安全设施及措施设计，避免事故发生，减少事故的发生的概率及影响范围。</w:t>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6.2.4多米诺效应分析</w:t>
      </w:r>
    </w:p>
    <w:p>
      <w:pPr>
        <w:ind w:firstLine="560" w:firstLineChars="200"/>
        <w:rPr>
          <w:rFonts w:hint="eastAsia" w:cs="Times New Roman"/>
          <w:color w:val="auto"/>
          <w:lang w:val="en-US" w:eastAsia="zh-CN"/>
        </w:rPr>
      </w:pPr>
      <w:r>
        <w:rPr>
          <w:rFonts w:hint="eastAsia" w:cs="Times New Roman"/>
          <w:color w:val="auto"/>
          <w:lang w:val="en-US" w:eastAsia="zh-CN"/>
        </w:rPr>
        <w:t>该项目位于预留空地内，涉及液氨管线、腐蚀物料、高温物料，易发生火灾事故；而且相邻企业多为化工企业；因此，一旦相关事故发生多米诺效应将加大事故后果的严重性。重大事故多米诺效应属于低概率高风险的事故，发生概率虽然相对较低，但是一旦发生损失惨重，对人民生命和社会财产造成巨大威胁。</w:t>
      </w:r>
    </w:p>
    <w:p>
      <w:pPr>
        <w:ind w:firstLine="560" w:firstLineChars="200"/>
        <w:rPr>
          <w:rFonts w:hint="eastAsia" w:cs="Times New Roman"/>
          <w:color w:val="auto"/>
          <w:lang w:val="en-US" w:eastAsia="zh-CN"/>
        </w:rPr>
      </w:pPr>
      <w:r>
        <w:rPr>
          <w:rFonts w:hint="eastAsia" w:cs="Times New Roman"/>
          <w:color w:val="auto"/>
          <w:lang w:val="en-US" w:eastAsia="zh-CN"/>
        </w:rPr>
        <w:t>多米诺效应主要识别企业间多米诺效应；该项目如发生火灾、爆炸、物理爆炸等事故，其爆炸的冲击波和引起飞体的破坏作用涉及的范围比较大，除可造成事故邻近的设施设备损坏外，还可造成较远的设备设施损坏，从而引发新的事故。该项目生产装置如管式反应器遭受外力或靠近热源，涉及高温高压设备控制不当，发生火灾、爆炸或者危险化学品泄漏扩散事故，这些事故产生的热辐射、超压或碎片以及对员工正常操作的影响可能会对周边邻近装置产生破坏，引发多米诺事故。</w:t>
      </w:r>
    </w:p>
    <w:p>
      <w:pPr>
        <w:ind w:firstLine="560" w:firstLineChars="200"/>
        <w:rPr>
          <w:rFonts w:hint="default" w:ascii="Times New Roman" w:hAnsi="Times New Roman" w:eastAsia="宋体" w:cs="Times New Roman"/>
          <w:color w:val="auto"/>
          <w:lang w:val="en-US"/>
        </w:rPr>
      </w:pPr>
      <w:r>
        <w:rPr>
          <w:rFonts w:hint="eastAsia" w:cs="Times New Roman"/>
          <w:color w:val="auto"/>
          <w:lang w:val="en-US" w:eastAsia="zh-CN"/>
        </w:rPr>
        <w:t>本次评价主要对该项目内可能发生重大的事故采用国家安全生产总局所属安科院开发的计算软件，并以此为基础开展进行模拟计算各种事故情景下的多米诺效应影响范围，因为该项目涉及的主要为腐蚀性介质盐酸、硫酸，涉及的氨和天然气通过管道运输，不涉及储存，因此无法通过软件模拟计算。但设计时应重点考虑涉及使用氨的生产装置的安全设施及措施设计，避免事故发生，减少事故的发生的概率及影响范围。项目建成后企业应将涉及使用氨的生产装置设备设施作为重点监控对象，加强管理，避免事故发生。</w:t>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6.2.5事故案例的后果及原因</w:t>
      </w:r>
    </w:p>
    <w:p>
      <w:pPr>
        <w:spacing w:line="600" w:lineRule="exact"/>
        <w:ind w:firstLine="573"/>
        <w:rPr>
          <w:rFonts w:hint="default" w:ascii="Times New Roman" w:hAnsi="Times New Roman" w:cs="Times New Roman"/>
          <w:color w:val="auto"/>
          <w:spacing w:val="-4"/>
          <w:sz w:val="28"/>
          <w:szCs w:val="28"/>
          <w:lang w:eastAsia="zh-CN"/>
        </w:rPr>
      </w:pPr>
      <w:r>
        <w:rPr>
          <w:rFonts w:hint="default" w:ascii="Times New Roman" w:hAnsi="Times New Roman" w:cs="Times New Roman"/>
          <w:color w:val="auto"/>
          <w:spacing w:val="-4"/>
          <w:sz w:val="28"/>
          <w:szCs w:val="28"/>
          <w:lang w:eastAsia="zh-CN"/>
        </w:rPr>
        <w:t xml:space="preserve">一、湖南中盐红四方肥业有限公司“4.18”机械伤害事故 </w:t>
      </w:r>
    </w:p>
    <w:p>
      <w:pPr>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2016年4月18日凌晨5:30左右，湖南中盐红四方肥业有限公司发生一起机械伤害事故，造成1人死亡，直接经济损失85万元。</w:t>
      </w:r>
    </w:p>
    <w:p>
      <w:pPr>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lang w:eastAsia="zh-CN"/>
        </w:rPr>
        <w:t>①</w:t>
      </w:r>
      <w:r>
        <w:rPr>
          <w:rFonts w:hint="default" w:ascii="Times New Roman" w:hAnsi="Times New Roman" w:cs="Times New Roman"/>
          <w:color w:val="auto"/>
          <w:spacing w:val="-4"/>
          <w:sz w:val="28"/>
          <w:szCs w:val="28"/>
        </w:rPr>
        <w:t>事故概述</w:t>
      </w:r>
    </w:p>
    <w:p>
      <w:pPr>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（一）事故发生单位：湖南中盐红四方肥业有限公司；</w:t>
      </w:r>
    </w:p>
    <w:p>
      <w:pPr>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（二）事故发生时间：2016年4月18日凌晨5：30左右；</w:t>
      </w:r>
    </w:p>
    <w:p>
      <w:pPr>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（三）事故发生地点：湖南中盐红四方肥业有限公司氨化线5#皮带机被动轮；</w:t>
      </w:r>
    </w:p>
    <w:p>
      <w:pPr>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（四）事故类别：机械伤害；</w:t>
      </w:r>
    </w:p>
    <w:p>
      <w:pPr>
        <w:ind w:firstLine="544" w:firstLineChars="200"/>
        <w:rPr>
          <w:rFonts w:hint="default" w:ascii="Times New Roman" w:hAnsi="Times New Roman" w:cs="Times New Roman"/>
          <w:color w:val="auto"/>
          <w:lang w:eastAsia="zh-CN"/>
        </w:rPr>
      </w:pPr>
      <w:r>
        <w:rPr>
          <w:rFonts w:hint="default" w:ascii="Times New Roman" w:hAnsi="Times New Roman" w:cs="Times New Roman"/>
          <w:color w:val="auto"/>
          <w:spacing w:val="-4"/>
          <w:sz w:val="28"/>
          <w:szCs w:val="28"/>
        </w:rPr>
        <w:t>（五）伤亡情况：死亡1人。</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②相关单位、个人、设备工艺基本情况</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湖南中盐红四方肥业有限公司，地址:株洲市石峰区清水塘（原株化厂区内），法定代表人陈勇，企业负责人（总经理）：丁茂，男，汉族，43岁，安徽省合肥市蜀山区祁门路93号，安全资格证书编号是第14043060200020号，有效期2014年6月20日至2017年6月20日。公司注册资本6168万元整，营业期限：2011年3月14日至2021年3月13日。经营范围：多元复合肥、复混肥、有机肥料、土壤调节剂的研发、生产、销售。公司提供了安全生产责任制；“安全隐患”排查记录；劳动防护用具发放记录；设施、设备维护保养记录；编制了应急救援预案；对员工进行了岗前培训，但未进行“三级”教育，未建立安全生产教育和培训档案；未制定公司安全生产规章制度和操作规程。</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株洲县龙凤乡劳动服务公司，地址：株洲县龙凤乡政府院内，法定代表人：何伏桂，男，汉族，51岁，湖南省株洲县渌口镇梅范小区新二区31号501室。公司注册资本50万元整，经营期限为2010年12月9日至2040年12月8日，经营范围为劳动服务、劳动咨询、土地平整、货物装卸。</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湖南中盐红四方肥业有限公司与株洲县龙凤乡劳动服务公司于2016年1月1日签订了《劳务承揽合同书》，由株洲县龙凤乡劳动服务公司组织人员，派遣至湖南中盐红四方肥业有限公司，从事氨化复合肥生产线工作。有效期至2016年12月31日止。</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3、邹雨文，男，49岁，株洲县龙潭乡大花村人，身份证号为430221196701241414。</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2015年12月30日，邹雨文与株洲县龙凤乡劳动服务公司签订了《劳务承揽合同》，由株洲县龙凤乡劳动服务公司派遣邹雨文至湖南中盐红四方肥业有限公司从事生产线岗位工作。合同期限至2016年1月1日起至2016年12月31日止。湖南中盐红四方肥业有限公司和株洲县龙凤乡劳动服务有限公司新进人员邹雨文等人进行了岗前安全教育培训，并做好了记录。</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4、5#运输机基本情况及氨化线成品工艺流程</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型号：B650,TD75型，运输距离：8.6米；机架总长：9.5米；皮带规格：B650*6(4.5+1.5)尼龙橡胶皮带；皮带长度：18米（含接头位置600mm）；被动轮尺寸：320*750，轴承内镶式；被动轮刮刀材料：∠75角钢；被动轮刮刀与被动轮之间间距：5mm，运输机周边未设置明显的安全警示标志。将原料中使用的大粒物料及筛分岗位送来的大粒（＞4.75m粒径）物料通过1#皮带和1#提升机至2#皮带进一步粉碎，再经3#提升机运输，并进行一、二级筛分后，大颗粒（＞4.75m）经返料破碎后，与细返料经溜槽进入造粒系统；半成品经5#皮带运输进入冷却机冷却后，物料经4#提升机提升，经精筛筛分后，进入包膜系统包膜进入成品仓。</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③事故发生经过及善后处理</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经调查认证，2016年4月17日19:30左右，湖南中盐红四方肥业有限公司氨化线岗位，谭曙光（车间副主任）、邹雨文（岗位主操）、邹新平（岗位员工）、王正根（岗位员工）到岗并值当天晚班，原预定在次日上午7:30下班。</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2016年4月18日凌晨5:30左右，正在2#运输带打扫卫生的邹新平突然听到5#运输带工作的邹雨文大声呼叫，邹新平马上跑到5#运输带的位置，看到邹雨文平躺在离5#皮带轮被动轮1米左右的地上，头向外脚向内，邹雨文右手位置地面上有一滩血，右肢残失，邹雨文当时在哼叫，同时离5#运输带10米左右工作的王正根听到呼叫后也赶到现场。邹新平立即去喊当班主任谭曙光，谭曙光到达现场后马上拨打120急救电话，当时也看见邹雨文右肢残失，身体右侧位置地上很多血，身体断手位置没有流血了，断了的手臂在被动轮下方的地面上，人当时没有死亡。120急救在大约20分钟后赶到现场，对邹雨文进行伤口处理后，就把邹雨文抬到救护车上并送往医院。大约在2016年4月18日6:40左右，经抢救无效，邹雨文失血休克性死亡。</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经区政府有关部门协调，2016年4月18日，湖南中盐红四方肥业有限公司及株洲县龙凤乡劳动服务有限公司与死者家属方达成赔偿协议，协议已履行完毕。死者家属情绪稳定。</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④事故原因</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一）直接原因：经对现场情况及证人证言分析，邹雨文违反公司《现场操作及安全注意事项》第18条（严禁检修运转设备，运转部位不得清理、维护），违规检修设施设备，右手绞入5#传输带被动轮内，巨大拉力导致断臂，因失血过多，不治身亡。</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（二）间接原因：</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湖南中盐红四方肥业有限公司安全生产主体责任落实不到位。</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1）、公司违反《安全生产法》第三十二条，没有在较大危险因素的生产经营场所和有关设施、设备上，设置明显的安全警示标志；</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公司违反《安全生产法》第二十五条，对从业人员及使用被派遣劳动者安全生产教育和培训不到位，没有建立安全生产教育和培训档案，并如实记录安全生产教育和培训的时间、内容、参加人员以及考核结果等情况；</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3）、公司违反《安全生产法》第十八条，未组织制定本单位安全生产规章制度和操作规程（公司所提供材料中为原湖南永利化工股份有限公司《岗位操作法》）。</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⑤事故性质</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经分析，湖南中盐红四方肥业有限公司虽然和株洲县龙凤乡劳务服务公司签订了《劳务承揽合同书》，但依据《劳务派遣暂行规定》（人社部令第22号）第二十七条：“用人单位以承揽、外包等名义，按劳务派遣用工形式使用劳动者的，按照本规定处理”，即双方实施了劳务派遣行为。依据《安全生产法》第二十五条第二款：“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湖南中盐红四方肥业有限公司未在较大危险因素的生产经营场所和有关设施、设备上，设置明显的安全警示标志；对从业人员及使用被派遣劳动者安全生产教育和培训不到位，没有建立安全生产教育和培训档案；未组织制定本单位安全生产规章制度和操作规程，对事故负有责任。依据《生产安全事故报告与调查处理条例》第二条（生产经营活动中发生的造成人身伤亡或者直接经济损失的生产安全事故的报告和调查处理，适用本条例），经研究认定，“4.18”机械伤害事故是一起生产安全责任事故，事故等级为一般事故。</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⑥责任分析及处理意见</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（一）建议不再追究责任的人员</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邹雨文，在工作期间，违章操作，右手被绞入5#皮带被动轮，导致右手手臂脱落，因失血过多而死亡。对事故负有主要责任，因其已死亡，建议不再追究。</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（二）建议予以行政处罚的单位和个人</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湖南中盐红四方肥业有限公司。违反《安全生产法》第三十二、二十五、十八条，主体责任不落实，对事故负有次要责任，建议由区安监局依据《安全生产法》第一百零九条予以行政处罚。</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丁茂，湖南中盐红四方肥业有限公司总经理。违反《安全生产法》第十八条，履行安全生产职责不力，对事故负有主要领导责任，建议区安监局依据《安全生产法》第九十二条予以行政处罚。</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（三）建议给予党纪处分及由企业内部处理的人员</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方向前，中共党员,湖南中盐红四方肥业有限公司副总经理（负责安全生产工作）。违反《安全生产法》第十八条，履行安全生产职责不力，对事故负有直接领导责任，建议按照《中国共产党纪律处分条例》予以党纪处分及企业依据相关制度处理。</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胡书源，中共党员，湖南中盐红四方肥业有限公司安全员。违反《安全生产法》第二十二条，履行安全生产职责不力，对事故负有直接管理责任，建议按照《中国共产党纪律处分条例》予以党纪处分及企业依据相关制度处理。</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⑦防范措施</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1、责成事故责任方依据“四不放过”原则，认真组织学习安全生产的有关法律法规，加强安全生产制度建设，加强安全生产管理，杜绝事故的发生。</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2、责成事故责任方认真组织员工安全教育培训，核查并消除各类事故隐患。</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二、江西之江化工“7•2” 压力容器爆炸事故</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1、事故经过</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2017年7月2日4时30分，之江化工公司对（邻）硝车间7#反应釜投加原料工作结束。操作工甲打开蒸汽阀对7#反应釜进行缓慢升温，7时20分左右，升温至160℃、压力为4.6MPa，关闭蒸汽阀门，让物料进入自然反应阶段，7时30分操作工甲与下一班操作工乙进行交接班。</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操作工乙接班后，按照班长的指令对7#反应釜进行操作。在8~9时之间，对该反应釜进行了短暂的搅拌，并为反应釜升温，当压力达4.7MPa时停止升温。11时左右，车间主任和当班班长发现7#反应釜温度只有140℃，指示操作工乙将温度控制在168~170℃，压力控制在5.2MPa以下。操作工乙将温度升至168~170℃之后，就去查看其它的反应釜。16时左右，操作工乙发现7#反应釜温度降至150℃，随即打开蒸汽阀门再次进行升温，并开启搅拌，16时30分左右，7#反应釜第一台安全阀起跳（整定压力为6.2~6.4MPa）。安全阀起跳后，车间主任带领当班班长、操作工丙立即赶到现场，打开冷却水阀，撬开保温层，用冷却水冲淋反应釜壳体进行紧急降温。约3分钟后，起跳的安全阀回座（安全阀密封试验压力为5.58~5.76MPa），但此时反应釜的温度仍然较高（约200℃左右），车间主任就继续带领当班班长和操作工丙对反应釜进行降温。17时左右，7#反应釜第一台安全阀第二次起跳，2分钟后第二台安全阀也接连起跳，4秒后发生爆炸。爆炸造成正在现场处置的车间主任、当班班长、操作工丙3人死亡，正在车间岗位上作业的操作工乙、蒸氨工、打料工3人受伤。</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2、事故原因分析</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（一）直接原因。</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之江化工公司违法购买、安装和使用已报废且存在严重质量缺陷的反应釜，搅拌桨不能持续进行搅拌，导致反应釜内物料局部反应较为激烈，速率难以控制，且该公司在生产过程中违规停用了控制压力、温度的安全联锁装置，致使反应釜温度、压力的异常升高不能得到及时有效控制，超过了工艺要求的安全控制范围，最终导致温度、压力异常升高而发生爆炸。</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（二）间接原因</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企业安全生产主体责任未落实，法制观念淡薄。</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企业重经济效益、轻安全。公司主要负责人、管理人员安全意识、法律意识淡薄，为节省成本，以物换物置换报废的反应釜，伪造相关资料，将报废反应釜“变成”新反应釜，规避监督检验并投入使用；未经相关部门批准，擅自将容积更小的反应釜更换为容积大的反应釜。</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（2）企业对重点监管的危险化工工艺管控不到位。企业擅自停用压力、温度监控和联锁装置。</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（3）特种设备管理人员、操作人员无证操作。对（邻）硝车间共有员工37人，其中管理人员5人，均未取得特种设备管理资格；操作工32人，仅2人取得了特种设备操作资格。</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企业安全教育培训不到位。未按规定对特种设备作业人员进行三级安全教育和岗前培训，未有效开展特种设备规章制度和安全操作规程、危险因素、防范措施和事故应急措施等方面的安全生产教育和培训，对（邻）硝车间操作人员安全意识淡薄，对事故隐患缺乏排查和处置能力。</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5）南昌市特种设备安装公司安全生产责任制落实不到位。该公司对其下属的九江工程处和第二工程处落实安全生产及特种设备法律法规工作督导不力，对下属单位存在特种设备安全管理严重缺失、长期使用伪造的公司印章办理压力容器安装手续及压力容器安装工作层层分包、转包等问题失察。</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3、事故启示和建议</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（一）企业应深刻吸取同类事故教训，强化安全意识、法制意识，坚决克服重效益、轻安全的思想，摆正安全与生产、安全与发展的位置，切实加强安全责任体系建设，明确各岗位的安全生产职责并严格落实。</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二）加强设备完整性管理，坚决杜绝特种设备、生产设备带“病”运行。建立健全特种设备安全技术档案，对特种设备定期进行检查维护，发现问题及时解决，对达到使用寿命或报废条件的要及时申请报废，已报废设备绝不再用。</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三）企业应重视特种设备操作人员安全培训教育。制定特种设备作业人员和管理人员的教育培训计划，并加以实施，全面提高特种设备安全管理水平，提高操作人员的安全意识、安全操作技能和遵章守纪的自觉性，坚决杜绝无证人员上岗操作。</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四）强化重点监管危险化工工艺的安全管理。涉及重点监管危险化工工艺的企业，应认真分析危险化工工艺的控制方式，完善自动化控制系统、紧急停车系统、安全仪表系统的控制方案，使其功能满足《关于公布首批重点监管的危险化工工艺目录的通知》（安监总管三〔2009〕116号）、《关于公布第二批重点监管危险化工工艺目录的通知》（安监总管三〔2013〕3号）的要求，确保控制系统处于正常投用状态，严禁擅自摘除联锁，应将生产过程中各类监控参数、各种紧急状态均处于可控范围之内。</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五）企业应加强应急管理，在综合应急和专项应急方案的基础上，制定重点岗位的现场应急处置方案，并定期开展应急演练。明确应急处置的总体原则，应将人身安全摆放在应急处置的首要位置，发生场面失控的征兆，应及时组织应急处置人员撤离现场，保障人身安全，杜绝现场处置措施不当，危险辨识不到位，致使生命安全受到威胁。</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三、因设备、管线、阀门腐蚀而导致的伤亡事故</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（1）事故经过和危害</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2009年，浙江某化学有限公司在送料操作过程中，盐酸贮槽顶部的一根衬PTFE的金属软管发生破裂，导致一名操作工灼伤，伤势较重，经抢救无效死亡。</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（2）事故原因分析</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1)设备管线腐蚀，发生破裂。</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（3）防范措施</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定期对在腐蚀环境中的设备、管线、阀门做防腐措施处理。</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2、因员工操作不当导致的伤亡事故</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（1）事故经过和危害</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2010年8月1日，福建某化工有限公司盐酸自动罐装装置进行罐装试机时，罐装试机用的200升塑料桶，在排气口未打开的情况下，进料泵开启，盐酸进塑料桶时，桶内不能及时排气，造成充装软管从塑料桶进料口跳出，发生盐酸喷溅事故，造成1人死亡2人受伤。</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（2）事故原因分析</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1）员工未按操作规程，违规操作。</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2）应急处置不当。</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（3）防范措施</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1）严格按工艺程序操作，认真遵守热处理工作安全操作规程。塑料桶排气口未打开时禁止充装。</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2）提高自我保护意识，正确穿戴劳动防护用品。</w:t>
      </w:r>
    </w:p>
    <w:p>
      <w:pPr>
        <w:rPr>
          <w:rFonts w:hint="default" w:ascii="Times New Roman" w:hAnsi="Times New Roman" w:eastAsia="黑体" w:cs="Times New Roman"/>
          <w:color w:val="auto"/>
          <w:kern w:val="10"/>
          <w:sz w:val="32"/>
          <w:szCs w:val="32"/>
          <w:lang w:val="en-US" w:eastAsia="zh-CN" w:bidi="ar-SA"/>
        </w:rPr>
      </w:pPr>
      <w:r>
        <w:rPr>
          <w:rFonts w:hint="default" w:ascii="Times New Roman" w:hAnsi="Times New Roman" w:eastAsia="黑体" w:cs="Times New Roman"/>
          <w:color w:val="auto"/>
          <w:kern w:val="10"/>
          <w:sz w:val="32"/>
          <w:szCs w:val="32"/>
          <w:lang w:val="en-US" w:eastAsia="zh-CN" w:bidi="ar-SA"/>
        </w:rPr>
        <w:br w:type="page"/>
      </w:r>
    </w:p>
    <w:p>
      <w:pPr>
        <w:keepNext/>
        <w:keepLines/>
        <w:widowControl w:val="0"/>
        <w:spacing w:line="600" w:lineRule="exact"/>
        <w:jc w:val="center"/>
        <w:outlineLvl w:val="0"/>
        <w:rPr>
          <w:rFonts w:hint="default" w:ascii="Times New Roman" w:hAnsi="Times New Roman" w:eastAsia="黑体" w:cs="Times New Roman"/>
          <w:color w:val="auto"/>
          <w:kern w:val="10"/>
          <w:sz w:val="32"/>
          <w:szCs w:val="32"/>
          <w:lang w:val="en-US" w:eastAsia="zh-CN" w:bidi="ar-SA"/>
        </w:rPr>
      </w:pPr>
      <w:bookmarkStart w:id="100" w:name="_Toc29151"/>
      <w:r>
        <w:rPr>
          <w:rFonts w:hint="default" w:ascii="Times New Roman" w:hAnsi="Times New Roman" w:eastAsia="黑体" w:cs="Times New Roman"/>
          <w:color w:val="auto"/>
          <w:kern w:val="10"/>
          <w:sz w:val="32"/>
          <w:szCs w:val="32"/>
          <w:lang w:val="en-US" w:eastAsia="zh-CN" w:bidi="ar-SA"/>
        </w:rPr>
        <w:t>7建设项目安全生产、安全条件的分析结果</w:t>
      </w:r>
      <w:bookmarkEnd w:id="100"/>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01" w:name="_Toc13971"/>
      <w:bookmarkStart w:id="102" w:name="_Toc27961"/>
      <w:r>
        <w:rPr>
          <w:rFonts w:hint="default" w:ascii="Times New Roman" w:hAnsi="Times New Roman" w:eastAsia="楷体" w:cs="Times New Roman"/>
          <w:b/>
          <w:bCs/>
          <w:color w:val="auto"/>
          <w:kern w:val="2"/>
          <w:sz w:val="32"/>
          <w:szCs w:val="32"/>
          <w:lang w:val="en-US" w:eastAsia="zh-CN" w:bidi="ar-SA"/>
        </w:rPr>
        <w:t>7.1</w:t>
      </w:r>
      <w:bookmarkStart w:id="103" w:name="_Toc458272857"/>
      <w:bookmarkStart w:id="104" w:name="_Toc304148882"/>
      <w:bookmarkStart w:id="105" w:name="_Toc54362853"/>
      <w:bookmarkStart w:id="106" w:name="_Toc331097452"/>
      <w:r>
        <w:rPr>
          <w:rFonts w:hint="default" w:ascii="Times New Roman" w:hAnsi="Times New Roman" w:eastAsia="楷体" w:cs="Times New Roman"/>
          <w:b/>
          <w:bCs/>
          <w:color w:val="auto"/>
          <w:kern w:val="2"/>
          <w:sz w:val="32"/>
          <w:szCs w:val="32"/>
          <w:lang w:val="en-US" w:eastAsia="zh-CN" w:bidi="ar-SA"/>
        </w:rPr>
        <w:t>建设项目的外部情况分析结果</w:t>
      </w:r>
      <w:bookmarkEnd w:id="101"/>
      <w:bookmarkEnd w:id="102"/>
      <w:bookmarkEnd w:id="103"/>
      <w:bookmarkEnd w:id="104"/>
      <w:bookmarkEnd w:id="105"/>
      <w:bookmarkEnd w:id="106"/>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7.1.1自然条件</w:t>
      </w:r>
    </w:p>
    <w:bookmarkEnd w:id="66"/>
    <w:bookmarkEnd w:id="67"/>
    <w:p>
      <w:pPr>
        <w:numPr>
          <w:ilvl w:val="0"/>
          <w:numId w:val="22"/>
        </w:numPr>
        <w:ind w:firstLine="56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地形地貌</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彭泽县域地貌属江南丘陵区，县域地形地势南高北低，由东南逐渐向西北倾斜，东南为山区，中部为丘陵，西北为沿江冲积洲和滨湖平原。县境内地貌形态，深受地质构造、岩性、气候、江河溪流等内外营力作用的控制和影响，地势自东南向西北逐渐倾斜，东南高，西北低，主要由山区和平原岗地所组成。东南部为一长形中低山区，中部是低山丘陵岗地，北部沿长江一带为冲积平原，山区占陆地面积的58.4%，丘陵占36.1%，平原占5.5%。根据地表调查资料，将其地貌景观，按形态和成因，可分为中低山丘陵区、残丘垄岗、江岸及湖滨平原。</w:t>
      </w:r>
    </w:p>
    <w:p>
      <w:pPr>
        <w:bidi w:val="0"/>
        <w:ind w:firstLine="560" w:firstLineChars="200"/>
        <w:rPr>
          <w:rFonts w:hint="default" w:ascii="Times New Roman" w:hAnsi="Times New Roman" w:cs="Times New Roman"/>
          <w:color w:val="auto"/>
        </w:rPr>
      </w:pPr>
      <w:r>
        <w:rPr>
          <w:rFonts w:hint="default" w:ascii="Times New Roman" w:hAnsi="Times New Roman" w:eastAsia="宋体" w:cs="Times New Roman"/>
          <w:color w:val="auto"/>
          <w:lang w:eastAsia="zh-CN"/>
        </w:rPr>
        <w:t>该项目所在地</w:t>
      </w:r>
      <w:r>
        <w:rPr>
          <w:rFonts w:hint="default" w:ascii="Times New Roman" w:hAnsi="Times New Roman" w:cs="Times New Roman"/>
          <w:color w:val="auto"/>
        </w:rPr>
        <w:t>地形为长江冲积平原（I级阶地）和侵蚀剥蚀丘陵。</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1）长江冲积平原（I级阶地）</w:t>
      </w:r>
    </w:p>
    <w:p>
      <w:pPr>
        <w:bidi w:val="0"/>
        <w:ind w:firstLine="560" w:firstLineChars="200"/>
        <w:rPr>
          <w:rFonts w:hint="default" w:ascii="Times New Roman" w:hAnsi="Times New Roman" w:cs="Times New Roman"/>
          <w:color w:val="auto"/>
        </w:rPr>
      </w:pPr>
      <w:r>
        <w:rPr>
          <w:rFonts w:hint="default" w:ascii="Times New Roman" w:hAnsi="Times New Roman" w:eastAsia="宋体" w:cs="Times New Roman"/>
          <w:color w:val="auto"/>
          <w:lang w:eastAsia="zh-CN"/>
        </w:rPr>
        <w:t>该项目所在地</w:t>
      </w:r>
      <w:r>
        <w:rPr>
          <w:rFonts w:hint="default" w:ascii="Times New Roman" w:hAnsi="Times New Roman" w:cs="Times New Roman"/>
          <w:color w:val="auto"/>
        </w:rPr>
        <w:t>主要为长江冲积平原（I级阶地），沿江岸呈近东西向带状展布，窄而不连续，标高一般11.80~23.30m，地形坡度一般小于5°，其外侧长江南岸为侵蚀冲刷岸，岸坡坡度约15~25°。</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2、侵蚀剥蚀丘陵</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主要分布于评估区南侧，丘陵呈长条形，山脉总体走向北东向，丘顶一般高程为12.70~135.20m，相对高差一般为110m左右，地形坡度一般为15~30°，植被较发育，主要为松、杉、灌木等。</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2.工程地质</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评价区在区域大地区域位置上属于中下扬子拗陷带南缘九江拗陷的中部、赣江断裂带北端东侧，褶皱构造属九江～彭泽复向斜。</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第四纪以来，区内新构造运动仍在继续，地壳运动以垂直升降运动为主，差异断块活动明显，主要表现为断裂活动和地震。评价区地表大部分为第四系覆盖，据《1/20万区域水文地质普查报告（彭泽幅）》区域资料反映，评价区外侧发育一条的北东向压扭性断裂F8，走向为北东40~50°，倾向北西320~350°，倾角50~70°。</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该公司厂址所在地属丘陵地区，地质的土壤类型复杂多样，内地层主要有第四系、二叠系、石炭系、泥盆系和志留系。</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1）第四系</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全新统冲湖积层（Q4al）：分布于评估区中西部地区。据区域性地质资料，岩性上部为黄褐色，呈可塑～软塑状，饱和，厚度一般2.0~6.1m；下部为灰褐、深灰色淤泥质粉质粘土，软塑状，厚度14.5~30.5m。</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上更新统冲积层（Q3al）：分布于评估区西部及东北部。岩性上部为冲积形成的灰褐色含碎石粉质粘土。据区域地质资料及周边工程岩土勘察资料，厚度2.1~17.9m，较密实。</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2）二叠系下统茅口组（P1m）</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分布于评价区西北或隐伏于江边第四系之下，仅在拟建区部分场地有露头。岩性上部为灰色厚至巨厚层状含燧石结核夹长石石英砂岩；中部为肉红色岩薄层硅质、粉砂质泥岩与厚层状灰岩互层；下部为深灰色巨厚层砂屑亮晶灰岩。区域厚度大于280.0m。</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2）二叠系下统栖霞组（P1q）</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分布于评价区中部以及隐伏于江边第四系之下，构成低丘地貌。岩性上部为深灰至黑色薄至巨厚层状灰岩夹燧石团块及条带；中部为中厚层状灰岩与黑色沥青质灰岩互层；下部为灰至深灰色薄至巨厚层状灰岩夹燧石团块及条带；底部为灰白色略带肉红色厚至巨厚层状灰岩。隐晶质结构，地表溶蚀现象较发育，常见溶沟、溶槽、溶隙，宽0.10~0.40m不等，由粉质粘土充填。总体产状340°∠81°，拟建区内受东西向断裂作用使产状变化较大，节理发育一般，区域厚度303m。据区域资料，钻孔见洞率66.67%，线岩溶率3.54%，区域厚度310.44m。</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4）石炭系中统黄龙组（C2h）</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分布于评估区东部及南部、隐伏于第四系之下，评价区未见分布。岩性为灰色、浅肉红色厚层状灰岩、白云质灰岩、白云岩，产状320°∠45°，与志留系五通组砂岩呈断层接触。区域厚度小于62 m。</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5）泥盆系上统五通组（D3w）</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分布于评价区南部，岩性上部为白、灰白色中厚至巨厚层状石英砂岩夹紫红色、黄绿色薄层状砂质页岩及粉砂岩，厚度84.1m；中部为白、灰白色中厚层状石英砾岩，含砾石英砂岩夹少量紫红色石英砂岩和砂质页岩，厚度35.9m；下部为乳白、灰绿、紫红色厚至巨厚层状长石石英砂岩，中粗粒石英砂岩夹少量砂质页岩，厚度202.9m。受构造影响，岩层产状发生倒转，总体岩层产状为160~137°∠39~52°。</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6）志留系上统茅山组（S3m）</w:t>
      </w:r>
    </w:p>
    <w:p>
      <w:pPr>
        <w:bidi w:val="0"/>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rPr>
        <w:t>分布于评价区南部，总体颜色呈紫红、黄绿色。岩性上部为粉砂岩泥岩；中部由粉砂岩粉砂质泥岩、泥岩组成；下部为泥岩、粉砂质泥岩、长石石英砂岩。产状160°~210°∠60°~77°，总厚度大于252.49m</w:t>
      </w:r>
      <w:r>
        <w:rPr>
          <w:rFonts w:hint="default" w:ascii="Times New Roman" w:hAnsi="Times New Roman" w:eastAsia="宋体" w:cs="Times New Roman"/>
          <w:color w:val="auto"/>
          <w:lang w:eastAsia="zh-CN"/>
        </w:rPr>
        <w:t>。</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3、水文地质</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1）地表水</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该公司所在地河段上承长江和鄱阳湖来水，距长江与鄱阳湖交汇处约25公里，鄱阳湖为季节性吞型湖泊，一般情况下鄱阳湖的汛、枯期比长江提前1~2个月，在长江流量较大的7、8、9三个月，鄱阳湖内常因长江水位较高而出现江水倒灌现象。项目所在地长江河段历年最大流量58800m</w:t>
      </w:r>
      <w:r>
        <w:rPr>
          <w:rFonts w:hint="default" w:ascii="Times New Roman" w:hAnsi="Times New Roman" w:cs="Times New Roman"/>
          <w:color w:val="auto"/>
          <w:vertAlign w:val="superscript"/>
        </w:rPr>
        <w:t>3</w:t>
      </w:r>
      <w:r>
        <w:rPr>
          <w:rFonts w:hint="default" w:ascii="Times New Roman" w:hAnsi="Times New Roman" w:cs="Times New Roman"/>
          <w:color w:val="auto"/>
        </w:rPr>
        <w:t>/s，多年平均流量24300m</w:t>
      </w:r>
      <w:r>
        <w:rPr>
          <w:rFonts w:hint="default" w:ascii="Times New Roman" w:hAnsi="Times New Roman" w:cs="Times New Roman"/>
          <w:color w:val="auto"/>
          <w:vertAlign w:val="superscript"/>
        </w:rPr>
        <w:t>3</w:t>
      </w:r>
      <w:r>
        <w:rPr>
          <w:rFonts w:hint="default" w:ascii="Times New Roman" w:hAnsi="Times New Roman" w:cs="Times New Roman"/>
          <w:color w:val="auto"/>
        </w:rPr>
        <w:t>/s，平均流速1.86米/秒，江面宽度1.3~1.8公里，水深4.10米。场地属岗间沟谷地貌单元，主要接受大气降水补给，场地环境类型为</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ROMAN </w:instrText>
      </w:r>
      <w:r>
        <w:rPr>
          <w:rFonts w:hint="default" w:ascii="Times New Roman" w:hAnsi="Times New Roman" w:cs="Times New Roman"/>
          <w:color w:val="auto"/>
        </w:rPr>
        <w:fldChar w:fldCharType="separate"/>
      </w:r>
      <w:r>
        <w:rPr>
          <w:rFonts w:hint="default" w:ascii="Times New Roman" w:hAnsi="Times New Roman" w:cs="Times New Roman"/>
          <w:color w:val="auto"/>
        </w:rPr>
        <w:t>II</w:t>
      </w:r>
      <w:r>
        <w:rPr>
          <w:rFonts w:hint="default" w:ascii="Times New Roman" w:hAnsi="Times New Roman" w:cs="Times New Roman"/>
          <w:color w:val="auto"/>
        </w:rPr>
        <w:fldChar w:fldCharType="end"/>
      </w:r>
      <w:r>
        <w:rPr>
          <w:rFonts w:hint="default" w:ascii="Times New Roman" w:hAnsi="Times New Roman" w:cs="Times New Roman"/>
          <w:color w:val="auto"/>
        </w:rPr>
        <w:t>类。</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评价区内主要地表水体为长江。位于评价区的北端，根据《江西省彭泽县地质灾害调查与区划报告》，长江彭泽段河道宽0.6~3km，深35~70m，边岸坡度一般为1：2~1：3。1971~2001年年平均水位标高9.93m米（黄海高程，下同），最高水位19.72m（1998年8月1日）。彭泽水位站不同重现期洪水位见下表。</w:t>
      </w:r>
    </w:p>
    <w:p>
      <w:pPr>
        <w:bidi w:val="0"/>
        <w:ind w:firstLine="560" w:firstLineChars="200"/>
        <w:jc w:val="center"/>
        <w:rPr>
          <w:rFonts w:hint="default" w:ascii="Times New Roman" w:hAnsi="Times New Roman" w:cs="Times New Roman"/>
          <w:color w:val="auto"/>
        </w:rPr>
      </w:pPr>
      <w:r>
        <w:rPr>
          <w:rFonts w:hint="default" w:ascii="Times New Roman" w:hAnsi="Times New Roman" w:cs="Times New Roman"/>
          <w:color w:val="auto"/>
        </w:rPr>
        <w:t>表2.</w:t>
      </w:r>
      <w:r>
        <w:rPr>
          <w:rFonts w:hint="default" w:ascii="Times New Roman" w:hAnsi="Times New Roman" w:eastAsia="宋体" w:cs="Times New Roman"/>
          <w:color w:val="auto"/>
          <w:lang w:val="en-US" w:eastAsia="zh-CN"/>
        </w:rPr>
        <w:t>3</w:t>
      </w:r>
      <w:r>
        <w:rPr>
          <w:rFonts w:hint="default" w:ascii="Times New Roman" w:hAnsi="Times New Roman"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cs="Times New Roman"/>
          <w:color w:val="auto"/>
        </w:rPr>
        <w:t xml:space="preserve"> 彭泽水位站不同重现期水位表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701"/>
        <w:gridCol w:w="1356"/>
        <w:gridCol w:w="1356"/>
        <w:gridCol w:w="1356"/>
        <w:gridCol w:w="1163"/>
        <w:gridCol w:w="135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454" w:type="pct"/>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重现期（年）</w:t>
            </w:r>
          </w:p>
        </w:tc>
        <w:tc>
          <w:tcPr>
            <w:tcW w:w="730" w:type="pct"/>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730" w:type="pct"/>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730" w:type="pct"/>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626" w:type="pct"/>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730" w:type="pct"/>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4" w:type="pct"/>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水位（m）</w:t>
            </w:r>
          </w:p>
        </w:tc>
        <w:tc>
          <w:tcPr>
            <w:tcW w:w="730" w:type="pct"/>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20.64</w:t>
            </w:r>
          </w:p>
        </w:tc>
        <w:tc>
          <w:tcPr>
            <w:tcW w:w="730" w:type="pct"/>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20.04</w:t>
            </w:r>
          </w:p>
        </w:tc>
        <w:tc>
          <w:tcPr>
            <w:tcW w:w="730" w:type="pct"/>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19.18</w:t>
            </w:r>
          </w:p>
        </w:tc>
        <w:tc>
          <w:tcPr>
            <w:tcW w:w="626" w:type="pct"/>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18.4</w:t>
            </w:r>
          </w:p>
        </w:tc>
        <w:tc>
          <w:tcPr>
            <w:tcW w:w="730" w:type="pct"/>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17.55</w:t>
            </w:r>
          </w:p>
        </w:tc>
      </w:tr>
    </w:tbl>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长江防洪大堤堤顶高程约21米，（设计防洪标准标高19.84m，1998年特大洪水后，对该段坝体进行了加固，加固后未发生过水漫堤顶现象）。</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2）地下水</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厂区内场地已由园区进行了初步平整，地势平坦。根据当地工程地质勘查单位的初步勘查结果显示：勘查深度范围内土层存空隙潜水，地下水位变幅受大气降水及农田灌溉水影响较大，勘查期间水位埋深在自然地面下0.6m左右，距区域水质分析资料，地下水对混凝土无腐蚀性。</w:t>
      </w:r>
    </w:p>
    <w:p>
      <w:pPr>
        <w:bidi w:val="0"/>
        <w:ind w:firstLine="560" w:firstLineChars="200"/>
        <w:rPr>
          <w:rFonts w:hint="default" w:ascii="Times New Roman" w:hAnsi="Times New Roman" w:cs="Times New Roman"/>
          <w:color w:val="auto"/>
        </w:rPr>
      </w:pP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4.气象条件</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该项目北临长江，地处中亚热带和北亚热带边缘过渡地带。该区域气候温和多雨，春暖、夏热、秋燥、冬冷，四季分明。年平均温度17℃，极端最高温度42.8℃，极端最低温度-5.6℃；年相对湿度81%；最大积雪深度25cm；年平均降水量为1421.1mm，最多的年降水量为2298.4mm，出现在1999年，最少的年降水量为898.2mm，出现在1963年，且雨量随季节分布不均，第二季度雨量集中，为汛期，占年降水量44.2%。—小时最大降水量108.8毫米，出现在1996年7月10日23时56分；一日最大降水量205.3毫米，出现在1996年7月10日。雷暴日57.2天。</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全年主风向为东北风，频率38.9%，全年静风频率占2.6%。年平均风速2.8m/s，最大风速28m/s（1967年3月4日），县内出现大风季节主要在4～8月，占全年大风61%，常见于春插时。</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冬春为偏北风，有寒潮霜冻；春夏相交，季风转换，有连续梅雨，常伴有洪涝灾害；盛夏初秋为偏南风，受副热带高压控制，夏热干燥，伴有持续干旱。由于降雨分配不均匀，导致水域出现明显的丰、枯、平现象，对区域环境质量的影响差异很大。</w:t>
      </w:r>
    </w:p>
    <w:p>
      <w:pPr>
        <w:bidi w:val="0"/>
        <w:ind w:firstLine="56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雷暴日数：</w:t>
      </w:r>
      <w:r>
        <w:rPr>
          <w:rFonts w:hint="default" w:ascii="Times New Roman" w:hAnsi="Times New Roman" w:cs="Times New Roman"/>
          <w:bCs/>
          <w:color w:val="auto"/>
          <w:szCs w:val="28"/>
        </w:rPr>
        <w:t>该地区全年雷暴日数为57.2d/年。</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5.地震烈度</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本区属华南地震区长江中下游地震亚区，影响本区的地震带主要为九江~靖安地震亚带。历史上有记录的地震53次，有记载的地震震级一般小于Ⅵ级。据《江西省地震志》等资料，九江地震主要发生在断裂和断块差异活动显著的赣西北断块差异上升区。九江市由记载的地震始于公元409年2月9日。</w:t>
      </w:r>
      <w:r>
        <w:rPr>
          <w:rFonts w:hint="default" w:ascii="Times New Roman" w:hAnsi="Times New Roman" w:cs="Times New Roman"/>
          <w:color w:val="auto"/>
          <w:szCs w:val="28"/>
        </w:rPr>
        <w:t>根据《建筑抗震设计规范》GB50011-2010（2016版）附录A，彭泽县抗震烈度为6度，</w:t>
      </w:r>
      <w:r>
        <w:rPr>
          <w:rFonts w:hint="default" w:ascii="Times New Roman" w:hAnsi="Times New Roman" w:cs="Times New Roman"/>
          <w:color w:val="auto"/>
        </w:rPr>
        <w:t>设计地震分组为第一组，可不考虑饱和砂土液化及软土震陷的影响，设计基本地震加速度为0.05g，设计特征周期为0.35s，拟建工程应按相关规范和规定进行抗震设防。</w:t>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7.1.2周边环境</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1）项目周边居民区分布情况</w:t>
      </w:r>
    </w:p>
    <w:p>
      <w:pPr>
        <w:bidi w:val="0"/>
        <w:ind w:firstLine="560" w:firstLineChars="20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rPr>
        <w:t>依据现场踏勘情况和该公司提供资料，</w:t>
      </w:r>
      <w:r>
        <w:rPr>
          <w:rFonts w:hint="default" w:ascii="Times New Roman" w:hAnsi="Times New Roman" w:cs="Times New Roman"/>
          <w:color w:val="auto"/>
          <w:kern w:val="2"/>
          <w:sz w:val="28"/>
          <w:szCs w:val="28"/>
        </w:rPr>
        <w:t>拟建厂址位于</w:t>
      </w:r>
      <w:r>
        <w:rPr>
          <w:rFonts w:hint="default" w:ascii="Times New Roman" w:hAnsi="Times New Roman" w:cs="Times New Roman"/>
          <w:color w:val="auto"/>
          <w:sz w:val="28"/>
          <w:szCs w:val="28"/>
        </w:rPr>
        <w:t>彭泽工业园矶山工业区</w:t>
      </w:r>
      <w:r>
        <w:rPr>
          <w:rFonts w:hint="default" w:ascii="Times New Roman" w:hAnsi="Times New Roman" w:cs="Times New Roman"/>
          <w:color w:val="auto"/>
          <w:kern w:val="2"/>
          <w:sz w:val="28"/>
          <w:szCs w:val="28"/>
        </w:rPr>
        <w:t>，</w:t>
      </w:r>
      <w:r>
        <w:rPr>
          <w:rFonts w:hint="default" w:ascii="Times New Roman" w:hAnsi="Times New Roman" w:cs="Times New Roman"/>
          <w:color w:val="auto"/>
          <w:sz w:val="28"/>
          <w:szCs w:val="28"/>
        </w:rPr>
        <w:t>拟建厂址</w:t>
      </w:r>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lang w:eastAsia="zh-CN"/>
        </w:rPr>
        <w:t>000m范围内存在居民区</w:t>
      </w:r>
      <w:r>
        <w:rPr>
          <w:rFonts w:hint="default" w:ascii="Times New Roman" w:hAnsi="Times New Roman" w:cs="Times New Roman"/>
          <w:color w:val="auto"/>
          <w:sz w:val="28"/>
          <w:szCs w:val="28"/>
        </w:rPr>
        <w:t>。该</w:t>
      </w:r>
      <w:r>
        <w:rPr>
          <w:rFonts w:hint="default" w:ascii="Times New Roman" w:hAnsi="Times New Roman" w:cs="Times New Roman"/>
          <w:color w:val="auto"/>
          <w:kern w:val="2"/>
          <w:sz w:val="28"/>
          <w:szCs w:val="28"/>
        </w:rPr>
        <w:t>厂址</w:t>
      </w:r>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lang w:eastAsia="zh-CN"/>
        </w:rPr>
        <w:t>000m范围内周边居民区</w:t>
      </w:r>
      <w:r>
        <w:rPr>
          <w:rFonts w:hint="default" w:ascii="Times New Roman" w:hAnsi="Times New Roman" w:cs="Times New Roman"/>
          <w:color w:val="auto"/>
          <w:sz w:val="28"/>
          <w:szCs w:val="28"/>
        </w:rPr>
        <w:t>见表</w:t>
      </w:r>
      <w:r>
        <w:rPr>
          <w:rFonts w:hint="default" w:ascii="Times New Roman" w:hAnsi="Times New Roman" w:cs="Times New Roman"/>
          <w:color w:val="auto"/>
          <w:sz w:val="28"/>
          <w:szCs w:val="28"/>
          <w:lang w:val="en-US" w:eastAsia="zh-CN"/>
        </w:rPr>
        <w:t>7.1</w:t>
      </w:r>
      <w:r>
        <w:rPr>
          <w:rFonts w:hint="default" w:ascii="Times New Roman" w:hAnsi="Times New Roman" w:cs="Times New Roman"/>
          <w:color w:val="auto"/>
          <w:sz w:val="28"/>
          <w:szCs w:val="28"/>
        </w:rPr>
        <w:t>-</w:t>
      </w:r>
      <w:r>
        <w:rPr>
          <w:rFonts w:hint="default" w:ascii="Times New Roman" w:hAnsi="Times New Roman" w:eastAsia="宋体" w:cs="Times New Roman"/>
          <w:color w:val="auto"/>
          <w:sz w:val="28"/>
          <w:szCs w:val="28"/>
          <w:lang w:val="en-US" w:eastAsia="zh-CN"/>
        </w:rPr>
        <w:t>1。</w:t>
      </w:r>
    </w:p>
    <w:p>
      <w:pPr>
        <w:bidi w:val="0"/>
        <w:jc w:val="center"/>
        <w:rPr>
          <w:rFonts w:hint="default" w:ascii="Times New Roman" w:hAnsi="Times New Roman"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表7.1-1 拟建项目周边居民区分布表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678"/>
        <w:gridCol w:w="1315"/>
        <w:gridCol w:w="2335"/>
        <w:gridCol w:w="1441"/>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66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周边敏感目标</w:t>
            </w:r>
          </w:p>
        </w:tc>
        <w:tc>
          <w:tcPr>
            <w:tcW w:w="36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方位</w:t>
            </w:r>
          </w:p>
        </w:tc>
        <w:tc>
          <w:tcPr>
            <w:tcW w:w="708"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厂界距离（m）</w:t>
            </w:r>
          </w:p>
        </w:tc>
        <w:tc>
          <w:tcPr>
            <w:tcW w:w="1257"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距离生产设施距离（m）</w:t>
            </w:r>
          </w:p>
        </w:tc>
        <w:tc>
          <w:tcPr>
            <w:tcW w:w="776"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规模（人）</w:t>
            </w:r>
          </w:p>
        </w:tc>
        <w:tc>
          <w:tcPr>
            <w:tcW w:w="1222"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6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茅屋里</w:t>
            </w:r>
          </w:p>
        </w:tc>
        <w:tc>
          <w:tcPr>
            <w:tcW w:w="36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WS</w:t>
            </w:r>
          </w:p>
        </w:tc>
        <w:tc>
          <w:tcPr>
            <w:tcW w:w="708"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1320</w:t>
            </w:r>
          </w:p>
        </w:tc>
        <w:tc>
          <w:tcPr>
            <w:tcW w:w="1257"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1420</w:t>
            </w:r>
          </w:p>
        </w:tc>
        <w:tc>
          <w:tcPr>
            <w:tcW w:w="776"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130人</w:t>
            </w:r>
          </w:p>
        </w:tc>
        <w:tc>
          <w:tcPr>
            <w:tcW w:w="1222"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6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南山村</w:t>
            </w:r>
          </w:p>
        </w:tc>
        <w:tc>
          <w:tcPr>
            <w:tcW w:w="36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708"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2160</w:t>
            </w:r>
          </w:p>
        </w:tc>
        <w:tc>
          <w:tcPr>
            <w:tcW w:w="1257"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2190</w:t>
            </w:r>
          </w:p>
        </w:tc>
        <w:tc>
          <w:tcPr>
            <w:tcW w:w="776"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506人</w:t>
            </w:r>
          </w:p>
        </w:tc>
        <w:tc>
          <w:tcPr>
            <w:tcW w:w="1222"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6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红星村</w:t>
            </w:r>
          </w:p>
        </w:tc>
        <w:tc>
          <w:tcPr>
            <w:tcW w:w="36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708"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2600</w:t>
            </w:r>
          </w:p>
        </w:tc>
        <w:tc>
          <w:tcPr>
            <w:tcW w:w="1257"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2732</w:t>
            </w:r>
          </w:p>
        </w:tc>
        <w:tc>
          <w:tcPr>
            <w:tcW w:w="776"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828人</w:t>
            </w:r>
          </w:p>
        </w:tc>
        <w:tc>
          <w:tcPr>
            <w:tcW w:w="1222"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66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西边邬家</w:t>
            </w:r>
          </w:p>
        </w:tc>
        <w:tc>
          <w:tcPr>
            <w:tcW w:w="36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WS</w:t>
            </w:r>
          </w:p>
        </w:tc>
        <w:tc>
          <w:tcPr>
            <w:tcW w:w="708"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771</w:t>
            </w:r>
          </w:p>
        </w:tc>
        <w:tc>
          <w:tcPr>
            <w:tcW w:w="1257"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866</w:t>
            </w:r>
          </w:p>
        </w:tc>
        <w:tc>
          <w:tcPr>
            <w:tcW w:w="776"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180人</w:t>
            </w:r>
          </w:p>
        </w:tc>
        <w:tc>
          <w:tcPr>
            <w:tcW w:w="1222"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6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东边邬家</w:t>
            </w:r>
          </w:p>
        </w:tc>
        <w:tc>
          <w:tcPr>
            <w:tcW w:w="365"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WS</w:t>
            </w:r>
          </w:p>
        </w:tc>
        <w:tc>
          <w:tcPr>
            <w:tcW w:w="708"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600</w:t>
            </w:r>
          </w:p>
        </w:tc>
        <w:tc>
          <w:tcPr>
            <w:tcW w:w="1257"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789</w:t>
            </w:r>
          </w:p>
        </w:tc>
        <w:tc>
          <w:tcPr>
            <w:tcW w:w="776"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100人</w:t>
            </w:r>
          </w:p>
        </w:tc>
        <w:tc>
          <w:tcPr>
            <w:tcW w:w="1222"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p>
        </w:tc>
      </w:tr>
    </w:tbl>
    <w:p>
      <w:pPr>
        <w:numPr>
          <w:ilvl w:val="0"/>
          <w:numId w:val="0"/>
        </w:numPr>
        <w:bidi w:val="0"/>
        <w:ind w:firstLine="560" w:firstLineChars="200"/>
        <w:jc w:val="both"/>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2）</w:t>
      </w:r>
      <w:r>
        <w:rPr>
          <w:rFonts w:hint="default" w:ascii="Times New Roman" w:hAnsi="Times New Roman" w:eastAsia="宋体" w:cs="Times New Roman"/>
          <w:color w:val="auto"/>
          <w:sz w:val="28"/>
          <w:szCs w:val="28"/>
          <w:lang w:val="en-US" w:eastAsia="zh-CN"/>
        </w:rPr>
        <w:t>项目周边企业分布情况</w:t>
      </w:r>
    </w:p>
    <w:p>
      <w:pPr>
        <w:numPr>
          <w:ilvl w:val="0"/>
          <w:numId w:val="0"/>
        </w:numPr>
        <w:bidi w:val="0"/>
        <w:ind w:firstLine="560" w:firstLineChars="200"/>
        <w:jc w:val="both"/>
        <w:rPr>
          <w:rFonts w:hint="default" w:ascii="Times New Roman" w:hAnsi="Times New Roman"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该拟建项目所在地为彭泽矶山工业园的南界，东北侧为九江杜威橡胶科技有限公司和江西善水科技发展有限公司预留用地；西北侧为江西善渊药业有限公司；西侧为山地；南侧为空地。</w:t>
      </w:r>
    </w:p>
    <w:p>
      <w:pPr>
        <w:numPr>
          <w:ilvl w:val="0"/>
          <w:numId w:val="0"/>
        </w:numPr>
        <w:bidi w:val="0"/>
        <w:jc w:val="center"/>
        <w:rPr>
          <w:rFonts w:hint="default" w:ascii="Times New Roman" w:hAnsi="Times New Roman"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表2.3-2 拟建项目周边企业分布表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44"/>
        <w:gridCol w:w="3577"/>
        <w:gridCol w:w="1365"/>
        <w:gridCol w:w="1800"/>
        <w:gridCol w:w="129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0" w:type="pct"/>
            <w:shd w:val="clear" w:color="auto" w:fill="auto"/>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序号</w:t>
            </w:r>
          </w:p>
        </w:tc>
        <w:tc>
          <w:tcPr>
            <w:tcW w:w="1926" w:type="pct"/>
            <w:shd w:val="clear" w:color="auto" w:fill="auto"/>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周边企业</w:t>
            </w:r>
          </w:p>
        </w:tc>
        <w:tc>
          <w:tcPr>
            <w:tcW w:w="735" w:type="pct"/>
            <w:shd w:val="clear" w:color="auto" w:fill="auto"/>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方位</w:t>
            </w:r>
          </w:p>
        </w:tc>
        <w:tc>
          <w:tcPr>
            <w:tcW w:w="969" w:type="pct"/>
            <w:shd w:val="clear" w:color="auto" w:fill="auto"/>
            <w:noWrap w:val="0"/>
            <w:vAlign w:val="center"/>
          </w:tcPr>
          <w:p>
            <w:pPr>
              <w:spacing w:line="240" w:lineRule="auto"/>
              <w:ind w:firstLine="6" w:firstLineChars="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厂址距离（m）</w:t>
            </w:r>
          </w:p>
        </w:tc>
        <w:tc>
          <w:tcPr>
            <w:tcW w:w="697" w:type="pct"/>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0" w:type="pct"/>
            <w:shd w:val="clear" w:color="auto" w:fill="auto"/>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926" w:type="pct"/>
            <w:shd w:val="clear" w:color="auto" w:fill="auto"/>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九江杜威橡胶科技有限公司</w:t>
            </w:r>
          </w:p>
        </w:tc>
        <w:tc>
          <w:tcPr>
            <w:tcW w:w="735" w:type="pct"/>
            <w:shd w:val="clear" w:color="auto" w:fill="auto"/>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东北</w:t>
            </w:r>
          </w:p>
        </w:tc>
        <w:tc>
          <w:tcPr>
            <w:tcW w:w="1800" w:type="dxa"/>
            <w:shd w:val="clear" w:color="auto" w:fill="auto"/>
            <w:noWrap w:val="0"/>
            <w:vAlign w:val="center"/>
          </w:tcPr>
          <w:p>
            <w:pPr>
              <w:spacing w:line="240" w:lineRule="auto"/>
              <w:ind w:firstLine="6" w:firstLineChars="3"/>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170</w:t>
            </w:r>
          </w:p>
        </w:tc>
        <w:tc>
          <w:tcPr>
            <w:tcW w:w="697" w:type="pct"/>
            <w:noWrap w:val="0"/>
            <w:vAlign w:val="center"/>
          </w:tcPr>
          <w:p>
            <w:pPr>
              <w:spacing w:line="240" w:lineRule="auto"/>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0" w:type="pct"/>
            <w:shd w:val="clear" w:color="auto" w:fill="auto"/>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926" w:type="pct"/>
            <w:shd w:val="clear" w:color="auto" w:fill="auto"/>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江西善渊药业有限公司</w:t>
            </w:r>
          </w:p>
        </w:tc>
        <w:tc>
          <w:tcPr>
            <w:tcW w:w="735" w:type="pct"/>
            <w:shd w:val="clear" w:color="auto" w:fill="auto"/>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西北</w:t>
            </w:r>
          </w:p>
        </w:tc>
        <w:tc>
          <w:tcPr>
            <w:tcW w:w="1800" w:type="dxa"/>
            <w:shd w:val="clear" w:color="auto" w:fill="auto"/>
            <w:noWrap w:val="0"/>
            <w:vAlign w:val="center"/>
          </w:tcPr>
          <w:p>
            <w:pPr>
              <w:spacing w:line="240" w:lineRule="auto"/>
              <w:ind w:firstLine="6" w:firstLineChars="3"/>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290</w:t>
            </w:r>
          </w:p>
        </w:tc>
        <w:tc>
          <w:tcPr>
            <w:tcW w:w="697" w:type="pct"/>
            <w:noWrap w:val="0"/>
            <w:vAlign w:val="center"/>
          </w:tcPr>
          <w:p>
            <w:pPr>
              <w:spacing w:line="240" w:lineRule="auto"/>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670" w:type="pct"/>
            <w:shd w:val="clear" w:color="auto" w:fill="auto"/>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926" w:type="pct"/>
            <w:shd w:val="clear" w:color="auto" w:fill="auto"/>
            <w:noWrap w:val="0"/>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江西善水科技发展有限公司预留用地</w:t>
            </w:r>
          </w:p>
        </w:tc>
        <w:tc>
          <w:tcPr>
            <w:tcW w:w="735" w:type="pct"/>
            <w:shd w:val="clear" w:color="auto" w:fill="auto"/>
            <w:noWrap w:val="0"/>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东北</w:t>
            </w:r>
          </w:p>
        </w:tc>
        <w:tc>
          <w:tcPr>
            <w:tcW w:w="1800" w:type="dxa"/>
            <w:shd w:val="clear" w:color="auto" w:fill="auto"/>
            <w:noWrap w:val="0"/>
            <w:vAlign w:val="center"/>
          </w:tcPr>
          <w:p>
            <w:pPr>
              <w:spacing w:line="240" w:lineRule="auto"/>
              <w:ind w:firstLine="6" w:firstLineChars="3"/>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697" w:type="pct"/>
            <w:noWrap w:val="0"/>
            <w:vAlign w:val="center"/>
          </w:tcPr>
          <w:p>
            <w:pPr>
              <w:spacing w:line="240" w:lineRule="auto"/>
              <w:jc w:val="center"/>
              <w:rPr>
                <w:rFonts w:hint="default" w:ascii="Times New Roman" w:hAnsi="Times New Roman" w:cs="Times New Roman"/>
                <w:color w:val="auto"/>
                <w:sz w:val="21"/>
                <w:szCs w:val="21"/>
              </w:rPr>
            </w:pPr>
          </w:p>
        </w:tc>
      </w:tr>
    </w:tbl>
    <w:p>
      <w:pPr>
        <w:numPr>
          <w:ilvl w:val="0"/>
          <w:numId w:val="2"/>
        </w:numPr>
        <w:bidi w:val="0"/>
        <w:ind w:left="0" w:leftChars="0" w:firstLine="560" w:firstLineChars="200"/>
        <w:jc w:val="both"/>
        <w:rPr>
          <w:rFonts w:hint="default" w:ascii="Times New Roman" w:hAnsi="Times New Roman"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项目周边交通、河流等其他分布情况</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依据</w:t>
      </w:r>
      <w:r>
        <w:rPr>
          <w:rFonts w:hint="default" w:ascii="Times New Roman" w:hAnsi="Times New Roman" w:cs="Times New Roman"/>
          <w:color w:val="auto"/>
        </w:rPr>
        <w:t>现场踏勘情况和该公司提供资料</w:t>
      </w:r>
      <w:r>
        <w:rPr>
          <w:rFonts w:hint="default" w:ascii="Times New Roman" w:hAnsi="Times New Roman" w:eastAsia="宋体" w:cs="Times New Roman"/>
          <w:color w:val="auto"/>
          <w:lang w:eastAsia="zh-CN"/>
        </w:rPr>
        <w:t>，该项目</w:t>
      </w:r>
      <w:r>
        <w:rPr>
          <w:rFonts w:hint="default" w:ascii="Times New Roman" w:hAnsi="Times New Roman" w:cs="Times New Roman"/>
          <w:color w:val="auto"/>
          <w:lang w:eastAsia="zh-CN"/>
        </w:rPr>
        <w:t>东</w:t>
      </w:r>
      <w:r>
        <w:rPr>
          <w:rFonts w:hint="default" w:ascii="Times New Roman" w:hAnsi="Times New Roman" w:eastAsia="宋体" w:cs="Times New Roman"/>
          <w:color w:val="auto"/>
          <w:lang w:eastAsia="zh-CN"/>
        </w:rPr>
        <w:t>面</w:t>
      </w:r>
      <w:r>
        <w:rPr>
          <w:rFonts w:hint="default" w:ascii="Times New Roman" w:hAnsi="Times New Roman" w:cs="Times New Roman"/>
          <w:color w:val="auto"/>
          <w:lang w:eastAsia="zh-CN"/>
        </w:rPr>
        <w:t>距</w:t>
      </w:r>
      <w:r>
        <w:rPr>
          <w:rFonts w:hint="default" w:ascii="Times New Roman" w:hAnsi="Times New Roman" w:cs="Times New Roman"/>
          <w:color w:val="auto"/>
          <w:lang w:val="en-US" w:eastAsia="zh-CN"/>
        </w:rPr>
        <w:t>园区道路大于30m</w:t>
      </w:r>
      <w:r>
        <w:rPr>
          <w:rFonts w:hint="default" w:ascii="Times New Roman" w:hAnsi="Times New Roman" w:eastAsia="宋体" w:cs="Times New Roman"/>
          <w:color w:val="auto"/>
          <w:lang w:val="en-US" w:eastAsia="zh-CN"/>
        </w:rPr>
        <w:t>，规划红线距离长江</w:t>
      </w:r>
      <w:r>
        <w:rPr>
          <w:rFonts w:hint="default" w:ascii="Times New Roman" w:hAnsi="Times New Roman" w:cs="Times New Roman"/>
          <w:color w:val="auto"/>
          <w:lang w:val="en-US" w:eastAsia="zh-CN"/>
        </w:rPr>
        <w:t>大于1</w:t>
      </w:r>
      <w:r>
        <w:rPr>
          <w:rFonts w:hint="default" w:ascii="Times New Roman" w:hAnsi="Times New Roman" w:eastAsia="宋体" w:cs="Times New Roman"/>
          <w:color w:val="auto"/>
          <w:lang w:val="en-US" w:eastAsia="zh-CN"/>
        </w:rPr>
        <w:t>km。</w:t>
      </w:r>
    </w:p>
    <w:p>
      <w:pPr>
        <w:bidi w:val="0"/>
        <w:ind w:firstLine="560" w:firstLineChars="200"/>
        <w:rPr>
          <w:rFonts w:hint="default" w:ascii="Times New Roman" w:hAnsi="Times New Roman" w:cs="Times New Roman"/>
          <w:color w:val="auto"/>
        </w:rPr>
      </w:pPr>
      <w:r>
        <w:rPr>
          <w:rFonts w:hint="default" w:ascii="Times New Roman" w:hAnsi="Times New Roman" w:cs="Times New Roman"/>
          <w:color w:val="auto"/>
        </w:rPr>
        <w:t>厂址周边1000m范围内无商业中心、公园及重要公共设施。项目周边1000m范围内无基本农田保护区、基本草原、畜禽遗传资源保护区、畜禽规模化养殖场（养殖小区）、渔业水域以及种子、种畜禽、水产苗种生产基地；项目周边1000m范围内无湖泊、风景名胜区和自然保护区。项目周边无军事禁区、军事管理区；项目周边无法律、行政法规规定予以保护的其他区域。</w:t>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7.1.3重大危险源与“八类场所”的距离情况</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根据《危险化学品重大危险源辨识》对该项目中重大危险源进行辨识。经过辨识，该项目</w:t>
      </w:r>
      <w:r>
        <w:rPr>
          <w:rFonts w:hint="default" w:ascii="Times New Roman" w:hAnsi="Times New Roman" w:eastAsia="宋体" w:cs="Times New Roman"/>
          <w:color w:val="auto"/>
          <w:lang w:eastAsia="zh-CN"/>
        </w:rPr>
        <w:t>不</w:t>
      </w:r>
      <w:r>
        <w:rPr>
          <w:rFonts w:hint="default" w:ascii="Times New Roman" w:hAnsi="Times New Roman" w:eastAsia="宋体" w:cs="Times New Roman"/>
          <w:color w:val="auto"/>
        </w:rPr>
        <w:t>涉及危险化学品重大危险源。</w:t>
      </w: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07" w:name="_Toc30334"/>
      <w:bookmarkStart w:id="108" w:name="_Toc9083"/>
      <w:r>
        <w:rPr>
          <w:rFonts w:hint="default" w:ascii="Times New Roman" w:hAnsi="Times New Roman" w:eastAsia="楷体" w:cs="Times New Roman"/>
          <w:b/>
          <w:bCs/>
          <w:color w:val="auto"/>
          <w:kern w:val="2"/>
          <w:sz w:val="32"/>
          <w:szCs w:val="32"/>
          <w:lang w:val="en-US" w:eastAsia="zh-CN" w:bidi="ar-SA"/>
        </w:rPr>
        <w:t>7.2建设项目安全条件分析</w:t>
      </w:r>
      <w:bookmarkEnd w:id="107"/>
      <w:bookmarkEnd w:id="108"/>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7.2.1建设项目与国家和当地政府产业政策与布局符合性分析</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1.与产业政策的符合性</w:t>
      </w:r>
    </w:p>
    <w:p>
      <w:pPr>
        <w:numPr>
          <w:ilvl w:val="0"/>
          <w:numId w:val="0"/>
        </w:numPr>
        <w:bidi w:val="0"/>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依照《产业结构调整指导目录》（发展和改革委员会令第</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9号），该项目生产装置及产品不属于限制类和淘汰类，</w:t>
      </w:r>
      <w:r>
        <w:rPr>
          <w:rFonts w:hint="default" w:ascii="Times New Roman" w:hAnsi="Times New Roman" w:eastAsia="宋体" w:cs="Times New Roman"/>
          <w:color w:val="auto"/>
          <w:lang w:eastAsia="zh-CN"/>
        </w:rPr>
        <w:t>该项目</w:t>
      </w:r>
      <w:r>
        <w:rPr>
          <w:rFonts w:hint="default" w:ascii="Times New Roman" w:hAnsi="Times New Roman" w:eastAsia="宋体" w:cs="Times New Roman"/>
          <w:color w:val="auto"/>
          <w:lang w:val="en-US" w:eastAsia="zh-CN"/>
        </w:rPr>
        <w:t>2022年2月14日由彭泽县发展和改革委员会取得备案，项目统一代码为：</w:t>
      </w:r>
      <w:r>
        <w:rPr>
          <w:rFonts w:hint="default" w:ascii="Times New Roman" w:hAnsi="Times New Roman" w:cs="Times New Roman"/>
          <w:color w:val="auto"/>
          <w:lang w:val="en-US" w:eastAsia="zh-CN"/>
        </w:rPr>
        <w:t>2112-360430-04-01-899613</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因此，该项目的建设符合国家产业政策。</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2.规划</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w:t>
      </w:r>
      <w:r>
        <w:rPr>
          <w:rFonts w:hint="default" w:ascii="Times New Roman" w:hAnsi="Times New Roman" w:eastAsia="宋体" w:cs="Times New Roman"/>
          <w:color w:val="auto"/>
          <w:lang w:eastAsia="zh-CN"/>
        </w:rPr>
        <w:t>位于</w:t>
      </w:r>
      <w:r>
        <w:rPr>
          <w:rFonts w:hint="default" w:ascii="Times New Roman" w:hAnsi="Times New Roman" w:eastAsia="宋体" w:cs="Times New Roman"/>
          <w:color w:val="auto"/>
          <w:kern w:val="0"/>
          <w:sz w:val="28"/>
          <w:szCs w:val="28"/>
          <w:lang w:val="en-US" w:eastAsia="zh-CN" w:bidi="ar"/>
        </w:rPr>
        <w:t>江西省九江市彭泽县矶山工业园区</w:t>
      </w:r>
      <w:r>
        <w:rPr>
          <w:rFonts w:hint="default" w:ascii="Times New Roman" w:hAnsi="Times New Roman" w:eastAsia="宋体" w:cs="Times New Roman"/>
          <w:color w:val="auto"/>
        </w:rPr>
        <w:t>，属于规划的化工园区。</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3.安全防护距离的说明</w:t>
      </w:r>
    </w:p>
    <w:p>
      <w:pPr>
        <w:ind w:firstLine="56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该项目</w:t>
      </w:r>
      <w:r>
        <w:rPr>
          <w:rFonts w:hint="default" w:ascii="Times New Roman" w:hAnsi="Times New Roman" w:eastAsia="宋体" w:cs="Times New Roman"/>
          <w:color w:val="auto"/>
          <w:lang w:eastAsia="zh-CN"/>
        </w:rPr>
        <w:t>各生产、</w:t>
      </w:r>
      <w:r>
        <w:rPr>
          <w:rFonts w:hint="default" w:ascii="Times New Roman" w:hAnsi="Times New Roman" w:eastAsia="宋体" w:cs="Times New Roman"/>
          <w:color w:val="auto"/>
        </w:rPr>
        <w:t>储存单元</w:t>
      </w:r>
      <w:r>
        <w:rPr>
          <w:rFonts w:hint="default" w:ascii="Times New Roman" w:hAnsi="Times New Roman" w:eastAsia="宋体" w:cs="Times New Roman"/>
          <w:color w:val="auto"/>
          <w:lang w:eastAsia="zh-CN"/>
        </w:rPr>
        <w:t>均不构成</w:t>
      </w:r>
      <w:r>
        <w:rPr>
          <w:rFonts w:hint="default" w:ascii="Times New Roman" w:hAnsi="Times New Roman" w:eastAsia="宋体" w:cs="Times New Roman"/>
          <w:color w:val="auto"/>
        </w:rPr>
        <w:t>重大危险源；涉及重点监管危险化学品</w:t>
      </w:r>
      <w:r>
        <w:rPr>
          <w:rFonts w:hint="default" w:ascii="Times New Roman" w:hAnsi="Times New Roman" w:cs="Times New Roman"/>
          <w:color w:val="auto"/>
          <w:lang w:eastAsia="zh-CN"/>
        </w:rPr>
        <w:t>氨、</w:t>
      </w:r>
      <w:r>
        <w:rPr>
          <w:rFonts w:hint="default" w:ascii="Times New Roman" w:hAnsi="Times New Roman" w:eastAsia="宋体" w:cs="Times New Roman"/>
          <w:color w:val="auto"/>
          <w:lang w:eastAsia="zh-CN"/>
        </w:rPr>
        <w:t>天然气（燃料）</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不</w:t>
      </w:r>
      <w:r>
        <w:rPr>
          <w:rFonts w:hint="default" w:ascii="Times New Roman" w:hAnsi="Times New Roman" w:eastAsia="宋体" w:cs="Times New Roman"/>
          <w:color w:val="auto"/>
        </w:rPr>
        <w:t>涉及重点监管的危险工艺。</w:t>
      </w:r>
      <w:r>
        <w:rPr>
          <w:rFonts w:hint="default" w:ascii="Times New Roman" w:hAnsi="Times New Roman" w:eastAsia="宋体" w:cs="Times New Roman"/>
          <w:color w:val="auto"/>
          <w:lang w:eastAsia="zh-CN"/>
        </w:rPr>
        <w:t>因此，</w:t>
      </w:r>
      <w:r>
        <w:rPr>
          <w:rFonts w:hint="default" w:ascii="Times New Roman" w:hAnsi="Times New Roman" w:eastAsia="宋体" w:cs="Times New Roman"/>
          <w:color w:val="auto"/>
        </w:rPr>
        <w:t>该项目建构筑物与周边企业、环境敏感点等场所、设施间距符合要求，与周边企业、公路的距离符合相关《建筑设计防火规范（2018版）》GB50016-2014、《公路安全保护条例》等的要求。</w:t>
      </w:r>
      <w:r>
        <w:rPr>
          <w:rFonts w:hint="default" w:ascii="Times New Roman" w:hAnsi="Times New Roman" w:eastAsia="宋体" w:cs="Times New Roman"/>
          <w:color w:val="auto"/>
          <w:lang w:eastAsia="zh-CN"/>
        </w:rPr>
        <w:t>与民用建筑（裙房、单、多层）的防火间距不小于</w:t>
      </w:r>
      <w:r>
        <w:rPr>
          <w:rFonts w:hint="default" w:ascii="Times New Roman" w:hAnsi="Times New Roman" w:eastAsia="宋体" w:cs="Times New Roman"/>
          <w:color w:val="auto"/>
          <w:lang w:val="en-US" w:eastAsia="zh-CN"/>
        </w:rPr>
        <w:t>10m，与高层民用建筑的防火间距不小于15m。</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4.安全生产条件评价</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1）对当地居民、村庄的影响</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w:t>
      </w:r>
      <w:r>
        <w:rPr>
          <w:rFonts w:hint="default" w:ascii="Times New Roman" w:hAnsi="Times New Roman" w:cs="Times New Roman"/>
          <w:color w:val="auto"/>
          <w:lang w:eastAsia="zh-CN"/>
        </w:rPr>
        <w:t>涉及使用</w:t>
      </w:r>
      <w:r>
        <w:rPr>
          <w:rFonts w:hint="default" w:ascii="Times New Roman" w:hAnsi="Times New Roman" w:eastAsia="宋体" w:cs="Times New Roman"/>
          <w:color w:val="auto"/>
        </w:rPr>
        <w:t>的危险化学品有</w:t>
      </w:r>
      <w:r>
        <w:rPr>
          <w:rFonts w:hint="default" w:ascii="Times New Roman" w:hAnsi="Times New Roman" w:cs="Times New Roman"/>
          <w:color w:val="auto"/>
          <w:lang w:eastAsia="zh-CN"/>
        </w:rPr>
        <w:t>氨、</w:t>
      </w:r>
      <w:r>
        <w:rPr>
          <w:rFonts w:hint="default" w:ascii="Times New Roman" w:hAnsi="Times New Roman" w:eastAsia="宋体" w:cs="Times New Roman"/>
          <w:color w:val="auto"/>
          <w:sz w:val="28"/>
          <w:szCs w:val="28"/>
          <w:lang w:eastAsia="zh-CN"/>
        </w:rPr>
        <w:t>盐酸、硫酸、氯化氢（中间产物）、天然气（燃料）、硫酸氢钾（中间产物）</w:t>
      </w:r>
      <w:r>
        <w:rPr>
          <w:rFonts w:hint="default" w:ascii="Times New Roman" w:hAnsi="Times New Roman" w:eastAsia="宋体" w:cs="Times New Roman"/>
          <w:color w:val="auto"/>
        </w:rPr>
        <w:t>等，发生事故的安全防护距离内无居住区和村庄，因此对当地居民无影响。</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2）周边居民对该项目的影响</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该项目安全防护范围内无居民区，厂区设置有围墙隔开，因此，居民及居民生产活动对该项目不产生影响。</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3）与周边企业及公用设施的相互影响</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该项目厂址</w:t>
      </w:r>
      <w:r>
        <w:rPr>
          <w:rFonts w:hint="default" w:ascii="Times New Roman" w:hAnsi="Times New Roman" w:eastAsia="宋体" w:cs="Times New Roman"/>
          <w:color w:val="auto"/>
          <w:sz w:val="28"/>
          <w:szCs w:val="28"/>
          <w:lang w:val="en-US" w:eastAsia="zh-CN"/>
        </w:rPr>
        <w:t>东北侧为九江杜威橡胶科技有限公司和江西善水科技发展有限公司预留用地；西北侧为江西善渊药业有限公司</w:t>
      </w:r>
      <w:r>
        <w:rPr>
          <w:rFonts w:hint="default" w:ascii="Times New Roman" w:hAnsi="Times New Roman" w:eastAsia="宋体" w:cs="Times New Roman"/>
          <w:color w:val="auto"/>
        </w:rPr>
        <w:t>。与周边企业及周边企业的生产装置满足防火距离的要求。</w:t>
      </w:r>
      <w:r>
        <w:rPr>
          <w:rFonts w:hint="default" w:ascii="Times New Roman" w:hAnsi="Times New Roman" w:eastAsia="宋体" w:cs="Times New Roman"/>
          <w:color w:val="auto"/>
          <w:lang w:eastAsia="zh-CN"/>
        </w:rPr>
        <w:t>如果</w:t>
      </w:r>
      <w:r>
        <w:rPr>
          <w:rFonts w:hint="default" w:ascii="Times New Roman" w:hAnsi="Times New Roman" w:eastAsia="宋体" w:cs="Times New Roman"/>
          <w:color w:val="auto"/>
        </w:rPr>
        <w:t>发生事故，一般不会影响相邻企业。</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4）周边企业及公用设施对该项目的影响</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该项目周边企业的生产装置与该项目满足防火距离的要求，发生事故对该项目的影响较小。</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5）与在建项目相邻装置的相互影响</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该项目在厂区预留用地内增加部分生产设备及配套的公用工程等。</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该项目依托的供配电、给排水等公用辅助设施，发生事故会造成在建项目的生产装置停车，对该项目产生一定影响。</w:t>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7.2.2建设项目所在地自然条件的影响分析评价</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1、地震</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地震可能造成建（构）筑物、设备设施、电力设施等的破坏，严重时可导致次生灾害，如生产、储存装置因地震作用发生破裂、倾覆后，极易发生火灾、爆炸、中毒和窒息，污染环境等事故，造成人员伤亡和财产损失。该项目所在区域地震烈度为6度，地震的威胁较小。</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2、雷击</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该项目位于雷击多发区，项目建成后，建（构）筑物容易遭受雷击，造成建（构）筑物、设备等的的损坏，输配电系统破坏，从而引起火灾、爆炸等事故，造成人员伤亡和财产损失。因此，必须加强防雷措施。</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3、暴雨、洪水</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厂址所在地夏季易发生暴雨，厂区内设计标高高于园区道路标高，厂区内设置有排水管道和排水设施，发生暴雨不会造成内涝。该公司地势较为平坦，为了防止内涝及时排出雨水，避免积水毁坏设备厂房，在厂区内设相应的场地雨水排除系统。</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4、高气温及潮湿天气</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厂址所在区域极端最高气温达4</w:t>
      </w:r>
      <w:r>
        <w:rPr>
          <w:rFonts w:hint="default" w:ascii="Times New Roman" w:hAnsi="Times New Roman" w:eastAsia="宋体" w:cs="Times New Roman"/>
          <w:color w:val="auto"/>
          <w:lang w:val="en-US" w:eastAsia="zh-CN"/>
        </w:rPr>
        <w:t>2.8</w:t>
      </w:r>
      <w:r>
        <w:rPr>
          <w:rFonts w:hint="default" w:ascii="Times New Roman" w:hAnsi="Times New Roman" w:eastAsia="宋体" w:cs="Times New Roman"/>
          <w:color w:val="auto"/>
        </w:rPr>
        <w:t>℃。高气温可能导致人员中暑。</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涉及腐蚀性化学品，雨水和潮湿空气加大了腐蚀性化学品对金属及砼结构的腐蚀性，在运行过程中建筑、设备、管道易腐蚀，而腐蚀可能造成设备的损坏而发生泄漏，而基础、管架的腐蚀可能造成设备、管道的倾覆、变形、断裂等引起事故。</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5、低气温</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厂址所在区域极端最低气温-</w:t>
      </w:r>
      <w:r>
        <w:rPr>
          <w:rFonts w:hint="default" w:ascii="Times New Roman" w:hAnsi="Times New Roman" w:eastAsia="宋体" w:cs="Times New Roman"/>
          <w:color w:val="auto"/>
          <w:lang w:val="en-US" w:eastAsia="zh-CN"/>
        </w:rPr>
        <w:t>5.6</w:t>
      </w:r>
      <w:r>
        <w:rPr>
          <w:rFonts w:hint="default" w:ascii="Times New Roman" w:hAnsi="Times New Roman" w:eastAsia="宋体" w:cs="Times New Roman"/>
          <w:color w:val="auto"/>
        </w:rPr>
        <w:t>℃以下。低气温和潮湿空气可能造成屋顶结冰压塌建筑，造成事故；同时，地面结冰，容易造成人员滑倒跌伤等。</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本节评价小结：</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该项目选址与周边民居影响较小，与周边企业的相互影响较小。该项目自然条件不存在不允许建厂的地质条件，在采取相应的防雷、排涝措施后，可有效的控制自然灾害的影响。</w:t>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7.2.3建设项目对周边生产、经营活动和居民生活的影响</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该项目存在着中毒和窒息、灼烫、火灾、爆炸(包括爆炸、容器爆炸、其它爆炸)、高处坠落、机械伤害、物体打击</w:t>
      </w:r>
      <w:r>
        <w:rPr>
          <w:rFonts w:hint="default" w:ascii="Times New Roman" w:hAnsi="Times New Roman" w:eastAsia="宋体" w:cs="Times New Roman"/>
          <w:color w:val="auto"/>
          <w:lang w:eastAsia="zh-CN"/>
        </w:rPr>
        <w:t>、起重伤害</w:t>
      </w:r>
      <w:r>
        <w:rPr>
          <w:rFonts w:hint="default" w:ascii="Times New Roman" w:hAnsi="Times New Roman" w:cs="Times New Roman"/>
          <w:color w:val="auto"/>
          <w:lang w:eastAsia="zh-CN"/>
        </w:rPr>
        <w:t>、坍塌</w:t>
      </w:r>
      <w:r>
        <w:rPr>
          <w:rFonts w:hint="default" w:ascii="Times New Roman" w:hAnsi="Times New Roman" w:eastAsia="宋体" w:cs="Times New Roman"/>
          <w:color w:val="auto"/>
        </w:rPr>
        <w:t>，触电、噪声</w:t>
      </w:r>
      <w:r>
        <w:rPr>
          <w:rFonts w:hint="default" w:ascii="Times New Roman" w:hAnsi="Times New Roman" w:eastAsia="宋体" w:cs="Times New Roman"/>
          <w:color w:val="auto"/>
          <w:lang w:eastAsia="zh-CN"/>
        </w:rPr>
        <w:t>、粉尘</w:t>
      </w:r>
      <w:r>
        <w:rPr>
          <w:rFonts w:hint="default" w:ascii="Times New Roman" w:hAnsi="Times New Roman" w:eastAsia="宋体" w:cs="Times New Roman"/>
          <w:color w:val="auto"/>
        </w:rPr>
        <w:t>危害等众多危险有害因素。该项目对周边单位生产经营活动或者居民生活影响的事故主要有中毒和窒息</w:t>
      </w:r>
      <w:r>
        <w:rPr>
          <w:rFonts w:hint="default" w:ascii="Times New Roman" w:hAnsi="Times New Roman" w:cs="Times New Roman"/>
          <w:color w:val="auto"/>
          <w:lang w:eastAsia="zh-CN"/>
        </w:rPr>
        <w:t>、火灾爆炸</w:t>
      </w:r>
      <w:r>
        <w:rPr>
          <w:rFonts w:hint="default" w:ascii="Times New Roman" w:hAnsi="Times New Roman" w:eastAsia="宋体" w:cs="Times New Roman"/>
          <w:color w:val="auto"/>
        </w:rPr>
        <w:t>。</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该项目防火间距及外部安全防护距离范围内无居民区、商业中心、公园等人口密集区域和学校、医院、影剧院、体育场（馆）等公共设施。 </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依据现场踏勘情况和该公司提供资料，拟建项目装置与周边企业最近装置防护距离满足《</w:t>
      </w:r>
      <w:r>
        <w:rPr>
          <w:rFonts w:hint="default" w:ascii="Times New Roman" w:hAnsi="Times New Roman" w:eastAsia="宋体" w:cs="Times New Roman"/>
          <w:color w:val="auto"/>
          <w:lang w:eastAsia="zh-CN"/>
        </w:rPr>
        <w:t>建筑设计防火规范（</w:t>
      </w:r>
      <w:r>
        <w:rPr>
          <w:rFonts w:hint="default" w:ascii="Times New Roman" w:hAnsi="Times New Roman" w:eastAsia="宋体" w:cs="Times New Roman"/>
          <w:color w:val="auto"/>
          <w:lang w:val="en-US" w:eastAsia="zh-CN"/>
        </w:rPr>
        <w:t>2018版</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》的要求。</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该项目在施工过程中存在着机械噪声、人员喧哗声，但这些影响是局部的、暂时的，随着施工过程的结束，这些影响也将消失。施工过程中排放的施工废水中污染物的含量很低，生活污水量少且分散。</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对于“三废”，采取相关措施进行处理后再进行排放。</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厂内主要噪声源为</w:t>
      </w:r>
      <w:r>
        <w:rPr>
          <w:rFonts w:hint="default" w:ascii="Times New Roman" w:hAnsi="Times New Roman" w:eastAsia="宋体" w:cs="Times New Roman"/>
          <w:color w:val="auto"/>
          <w:lang w:eastAsia="zh-CN"/>
        </w:rPr>
        <w:t>各类风机</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破碎机</w:t>
      </w:r>
      <w:r>
        <w:rPr>
          <w:rFonts w:hint="default" w:ascii="Times New Roman" w:hAnsi="Times New Roman" w:cs="Times New Roman"/>
          <w:color w:val="auto"/>
          <w:lang w:eastAsia="zh-CN"/>
        </w:rPr>
        <w:t>、造粒机</w:t>
      </w:r>
      <w:r>
        <w:rPr>
          <w:rFonts w:hint="default" w:ascii="Times New Roman" w:hAnsi="Times New Roman" w:eastAsia="宋体" w:cs="Times New Roman"/>
          <w:color w:val="auto"/>
        </w:rPr>
        <w:t>及泵类，对</w:t>
      </w:r>
      <w:r>
        <w:rPr>
          <w:rFonts w:hint="default" w:ascii="Times New Roman" w:hAnsi="Times New Roman" w:eastAsia="宋体" w:cs="Times New Roman"/>
          <w:color w:val="auto"/>
          <w:lang w:eastAsia="zh-CN"/>
        </w:rPr>
        <w:t>各类风机</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破碎机</w:t>
      </w:r>
      <w:r>
        <w:rPr>
          <w:rFonts w:hint="default" w:ascii="Times New Roman" w:hAnsi="Times New Roman" w:eastAsia="宋体" w:cs="Times New Roman"/>
          <w:color w:val="auto"/>
        </w:rPr>
        <w:t>及泵类进行必要的降噪处理以及有效的隔音消声措施，保证其达到《工业企业厂界噪声标准》之规定。</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综上所述，该项目在正常生产情况下，对其周边环境不会产生影响。但是，如果该项目危险性较大的设备设施（如</w:t>
      </w:r>
      <w:r>
        <w:rPr>
          <w:rFonts w:hint="default" w:ascii="Times New Roman" w:hAnsi="Times New Roman" w:cs="Times New Roman"/>
          <w:color w:val="auto"/>
          <w:lang w:eastAsia="zh-CN"/>
        </w:rPr>
        <w:t>混合料浆槽</w:t>
      </w:r>
      <w:r>
        <w:rPr>
          <w:rFonts w:hint="default" w:ascii="Times New Roman" w:hAnsi="Times New Roman" w:eastAsia="宋体" w:cs="Times New Roman"/>
          <w:color w:val="auto"/>
          <w:lang w:eastAsia="zh-CN"/>
        </w:rPr>
        <w:t>、</w:t>
      </w:r>
      <w:r>
        <w:rPr>
          <w:rFonts w:hint="default" w:ascii="Times New Roman" w:hAnsi="Times New Roman" w:cs="Times New Roman"/>
          <w:color w:val="auto"/>
          <w:lang w:eastAsia="zh-CN"/>
        </w:rPr>
        <w:t>尾气</w:t>
      </w:r>
      <w:r>
        <w:rPr>
          <w:rFonts w:hint="default" w:ascii="Times New Roman" w:hAnsi="Times New Roman" w:eastAsia="宋体" w:cs="Times New Roman"/>
          <w:color w:val="auto"/>
          <w:lang w:eastAsia="zh-CN"/>
        </w:rPr>
        <w:t>吸收装置</w:t>
      </w:r>
      <w:r>
        <w:rPr>
          <w:rFonts w:hint="default" w:ascii="Times New Roman" w:hAnsi="Times New Roman" w:eastAsia="宋体" w:cs="Times New Roman"/>
          <w:color w:val="auto"/>
        </w:rPr>
        <w:t>及</w:t>
      </w:r>
      <w:r>
        <w:rPr>
          <w:rFonts w:hint="default" w:ascii="Times New Roman" w:hAnsi="Times New Roman" w:eastAsia="宋体" w:cs="Times New Roman"/>
          <w:color w:val="auto"/>
          <w:lang w:eastAsia="zh-CN"/>
        </w:rPr>
        <w:t>盐酸、硫酸</w:t>
      </w:r>
      <w:r>
        <w:rPr>
          <w:rFonts w:hint="default" w:ascii="Times New Roman" w:hAnsi="Times New Roman" w:eastAsia="宋体" w:cs="Times New Roman"/>
          <w:color w:val="auto"/>
        </w:rPr>
        <w:t>储罐等）发生火灾、爆炸、泄漏事故；生产过程中有毒性气体泄漏气体飘散；运输过程中发生物料泄漏、交通事故，则必定会对周边群众及工厂的生产生活产生影响。</w:t>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7.2.4建设项目周边生产、经营活动和居民生活情况对建设项目投入生产后的影响</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该项目外部安全防护距离范围内无居民区、商业中心、公园等人口密集区域和学校、医院、影剧院、体育场（馆）等公共设施。</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依据现场踏勘情况和该公司提供资料，拟建项目装置与周边企业最近装置防护距离满足《</w:t>
      </w:r>
      <w:r>
        <w:rPr>
          <w:rFonts w:hint="default" w:ascii="Times New Roman" w:hAnsi="Times New Roman" w:eastAsia="宋体" w:cs="Times New Roman"/>
          <w:color w:val="auto"/>
          <w:lang w:eastAsia="zh-CN"/>
        </w:rPr>
        <w:t>建筑设计防火规范（</w:t>
      </w:r>
      <w:r>
        <w:rPr>
          <w:rFonts w:hint="default" w:ascii="Times New Roman" w:hAnsi="Times New Roman" w:eastAsia="宋体" w:cs="Times New Roman"/>
          <w:color w:val="auto"/>
          <w:lang w:val="en-US" w:eastAsia="zh-CN"/>
        </w:rPr>
        <w:t>2018版</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》的要求；该项目装置位于公司厂界内，与最近的居民点、距离最近的企业的距离均满足外部安全防护距离及防火间距的要求。</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周边区域24h内均有人员活动，居民的生产经营活动一般不会对该项目的生产产生影响，但是如果没有健全的安全管理制度和措施，致使外部闲散人员能够随意进入该厂，也可对正常的生产经营活动造成不良影响。</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因此，该项目周边居民在正常生产情况下，对该项目的生产、经营活动基本没有影响。但如果周边企业生产装置存在重大危险源或毒性气体，发生火灾爆炸、毒性气体泄漏等事故，对该项目生产活动产生一定的影响，应引起项目单位的注意，采取有效措施，加以防范。</w:t>
      </w:r>
    </w:p>
    <w:p>
      <w:pPr>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br w:type="page"/>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7.2.5与在建装置的相互影响</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1.建设项目对</w:t>
      </w:r>
      <w:r>
        <w:rPr>
          <w:rFonts w:hint="default" w:ascii="Times New Roman" w:hAnsi="Times New Roman" w:cs="Times New Roman"/>
          <w:color w:val="auto"/>
          <w:lang w:val="en-US" w:eastAsia="zh-CN"/>
        </w:rPr>
        <w:t>原有和</w:t>
      </w:r>
      <w:r>
        <w:rPr>
          <w:rFonts w:hint="default" w:ascii="Times New Roman" w:hAnsi="Times New Roman" w:eastAsia="宋体" w:cs="Times New Roman"/>
          <w:color w:val="auto"/>
        </w:rPr>
        <w:t>在建装置的影响</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w:t>
      </w:r>
      <w:r>
        <w:rPr>
          <w:rFonts w:hint="default" w:ascii="Times New Roman" w:hAnsi="Times New Roman" w:cs="Times New Roman"/>
          <w:color w:val="auto"/>
          <w:lang w:eastAsia="zh-CN"/>
        </w:rPr>
        <w:t>拟建设在现有项目东侧的预留空地内</w:t>
      </w:r>
      <w:r>
        <w:rPr>
          <w:rFonts w:hint="default" w:ascii="Times New Roman" w:hAnsi="Times New Roman" w:eastAsia="宋体" w:cs="Times New Roman"/>
          <w:color w:val="auto"/>
        </w:rPr>
        <w:t>；项目与</w:t>
      </w:r>
      <w:r>
        <w:rPr>
          <w:rFonts w:hint="eastAsia" w:cs="Times New Roman"/>
          <w:color w:val="auto"/>
          <w:lang w:eastAsia="zh-CN"/>
        </w:rPr>
        <w:t>厂内</w:t>
      </w:r>
      <w:r>
        <w:rPr>
          <w:rFonts w:hint="default" w:ascii="Times New Roman" w:hAnsi="Times New Roman" w:eastAsia="宋体" w:cs="Times New Roman"/>
          <w:color w:val="auto"/>
        </w:rPr>
        <w:t>在建</w:t>
      </w:r>
      <w:r>
        <w:rPr>
          <w:rFonts w:hint="default" w:ascii="Times New Roman" w:hAnsi="Times New Roman" w:eastAsia="宋体" w:cs="Times New Roman"/>
          <w:color w:val="auto"/>
          <w:lang w:val="en-US" w:eastAsia="zh-CN"/>
        </w:rPr>
        <w:t>高塔复合肥</w:t>
      </w:r>
      <w:r>
        <w:rPr>
          <w:rFonts w:hint="default" w:ascii="Times New Roman" w:hAnsi="Times New Roman" w:cs="Times New Roman"/>
          <w:color w:val="auto"/>
          <w:lang w:val="en-US" w:eastAsia="zh-CN"/>
        </w:rPr>
        <w:t>生产装置</w:t>
      </w:r>
      <w:r>
        <w:rPr>
          <w:rFonts w:hint="eastAsia" w:cs="Times New Roman"/>
          <w:color w:val="auto"/>
          <w:lang w:val="en-US" w:eastAsia="zh-CN"/>
        </w:rPr>
        <w:t>和</w:t>
      </w:r>
      <w:r>
        <w:rPr>
          <w:rFonts w:hint="default" w:ascii="Times New Roman" w:hAnsi="Times New Roman" w:cs="Times New Roman"/>
          <w:color w:val="auto"/>
          <w:lang w:val="en-US" w:eastAsia="zh-CN"/>
        </w:rPr>
        <w:t>硫酸钾生产装置</w:t>
      </w:r>
      <w:r>
        <w:rPr>
          <w:rFonts w:hint="default" w:ascii="Times New Roman" w:hAnsi="Times New Roman" w:eastAsia="宋体" w:cs="Times New Roman"/>
          <w:color w:val="auto"/>
        </w:rPr>
        <w:t>的安全防护距离满足《</w:t>
      </w:r>
      <w:r>
        <w:rPr>
          <w:rFonts w:hint="default" w:ascii="Times New Roman" w:hAnsi="Times New Roman" w:eastAsia="宋体" w:cs="Times New Roman"/>
          <w:color w:val="auto"/>
          <w:lang w:eastAsia="zh-CN"/>
        </w:rPr>
        <w:t>建筑设计防火规范（</w:t>
      </w:r>
      <w:r>
        <w:rPr>
          <w:rFonts w:hint="default" w:ascii="Times New Roman" w:hAnsi="Times New Roman" w:eastAsia="宋体" w:cs="Times New Roman"/>
          <w:color w:val="auto"/>
          <w:lang w:val="en-US" w:eastAsia="zh-CN"/>
        </w:rPr>
        <w:t>2018版</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》的要求；该项目</w:t>
      </w:r>
      <w:r>
        <w:rPr>
          <w:rFonts w:hint="default" w:ascii="Times New Roman" w:hAnsi="Times New Roman" w:eastAsia="宋体" w:cs="Times New Roman"/>
          <w:color w:val="auto"/>
          <w:lang w:val="en-US" w:eastAsia="zh-CN"/>
        </w:rPr>
        <w:t>生产装置拟布置在高塔复合肥项目</w:t>
      </w:r>
      <w:r>
        <w:rPr>
          <w:rFonts w:hint="default" w:ascii="Times New Roman" w:hAnsi="Times New Roman" w:cs="Times New Roman"/>
          <w:color w:val="auto"/>
          <w:lang w:val="en-US" w:eastAsia="zh-CN"/>
        </w:rPr>
        <w:t>东</w:t>
      </w:r>
      <w:r>
        <w:rPr>
          <w:rFonts w:hint="default" w:ascii="Times New Roman" w:hAnsi="Times New Roman" w:eastAsia="宋体" w:cs="Times New Roman"/>
          <w:color w:val="auto"/>
        </w:rPr>
        <w:t>侧，如果该项目生产装置发生火灾、爆炸及物料泄漏事故</w:t>
      </w:r>
      <w:r>
        <w:rPr>
          <w:rFonts w:hint="default" w:ascii="Times New Roman" w:hAnsi="Times New Roman" w:eastAsia="宋体" w:cs="Times New Roman"/>
          <w:color w:val="auto"/>
          <w:lang w:eastAsia="zh-CN"/>
        </w:rPr>
        <w:t>，可能</w:t>
      </w:r>
      <w:r>
        <w:rPr>
          <w:rFonts w:hint="default" w:ascii="Times New Roman" w:hAnsi="Times New Roman" w:eastAsia="宋体" w:cs="Times New Roman"/>
          <w:color w:val="auto"/>
        </w:rPr>
        <w:t>会对在建装置</w:t>
      </w:r>
      <w:r>
        <w:rPr>
          <w:rFonts w:hint="default" w:ascii="Times New Roman" w:hAnsi="Times New Roman" w:cs="Times New Roman"/>
          <w:color w:val="auto"/>
          <w:lang w:val="en-US" w:eastAsia="zh-CN"/>
        </w:rPr>
        <w:t>硫酸钾生产装置和高塔复合肥项目的</w:t>
      </w:r>
      <w:r>
        <w:rPr>
          <w:rFonts w:hint="default" w:ascii="Times New Roman" w:hAnsi="Times New Roman" w:eastAsia="宋体" w:cs="Times New Roman"/>
          <w:color w:val="auto"/>
        </w:rPr>
        <w:t>生产活动造成人员伤害或财产损失。</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2.在建装置对该项目的影响</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该公司</w:t>
      </w:r>
      <w:r>
        <w:rPr>
          <w:rFonts w:hint="default" w:ascii="Times New Roman" w:hAnsi="Times New Roman" w:eastAsia="宋体" w:cs="Times New Roman"/>
          <w:color w:val="auto"/>
          <w:lang w:eastAsia="zh-CN"/>
        </w:rPr>
        <w:t>现有</w:t>
      </w:r>
      <w:r>
        <w:rPr>
          <w:rFonts w:hint="default" w:ascii="Times New Roman" w:hAnsi="Times New Roman" w:cs="Times New Roman"/>
          <w:color w:val="auto"/>
          <w:lang w:val="en-US" w:eastAsia="zh-CN"/>
        </w:rPr>
        <w:t>高塔复合肥</w:t>
      </w:r>
      <w:r>
        <w:rPr>
          <w:rFonts w:hint="default" w:ascii="Times New Roman" w:hAnsi="Times New Roman" w:eastAsia="宋体" w:cs="Times New Roman"/>
          <w:color w:val="auto"/>
        </w:rPr>
        <w:t>生产装置及</w:t>
      </w:r>
      <w:r>
        <w:rPr>
          <w:rFonts w:hint="default" w:ascii="Times New Roman" w:hAnsi="Times New Roman" w:cs="Times New Roman"/>
          <w:color w:val="auto"/>
          <w:lang w:val="en-US" w:eastAsia="zh-CN"/>
        </w:rPr>
        <w:t>公辅</w:t>
      </w:r>
      <w:r>
        <w:rPr>
          <w:rFonts w:hint="default" w:ascii="Times New Roman" w:hAnsi="Times New Roman" w:eastAsia="宋体" w:cs="Times New Roman"/>
          <w:color w:val="auto"/>
        </w:rPr>
        <w:t>工程，涉及</w:t>
      </w:r>
      <w:r>
        <w:rPr>
          <w:rFonts w:hint="default" w:ascii="Times New Roman" w:hAnsi="Times New Roman" w:eastAsia="宋体" w:cs="Times New Roman"/>
          <w:color w:val="auto"/>
          <w:lang w:eastAsia="zh-CN"/>
        </w:rPr>
        <w:t>部分</w:t>
      </w:r>
      <w:r>
        <w:rPr>
          <w:rFonts w:hint="default" w:ascii="Times New Roman" w:hAnsi="Times New Roman" w:eastAsia="宋体" w:cs="Times New Roman"/>
          <w:color w:val="auto"/>
        </w:rPr>
        <w:t>易燃易爆、有毒物料，如果该公司</w:t>
      </w:r>
      <w:r>
        <w:rPr>
          <w:rFonts w:hint="default" w:ascii="Times New Roman" w:hAnsi="Times New Roman" w:eastAsia="宋体" w:cs="Times New Roman"/>
          <w:color w:val="auto"/>
          <w:lang w:eastAsia="zh-CN"/>
        </w:rPr>
        <w:t>现有</w:t>
      </w:r>
      <w:r>
        <w:rPr>
          <w:rFonts w:hint="default" w:ascii="Times New Roman" w:hAnsi="Times New Roman" w:eastAsia="宋体" w:cs="Times New Roman"/>
          <w:color w:val="auto"/>
        </w:rPr>
        <w:t>装置发生火灾、爆炸及毒性物料泄漏事故，则会对该项目生产活动造成人员伤害或财产损失。</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w:t>
      </w:r>
      <w:r>
        <w:rPr>
          <w:rFonts w:hint="default" w:ascii="Times New Roman" w:hAnsi="Times New Roman" w:cs="Times New Roman"/>
          <w:color w:val="auto"/>
          <w:lang w:val="en-US" w:eastAsia="zh-CN"/>
        </w:rPr>
        <w:t>涉及的原料尿素和氨来源于</w:t>
      </w:r>
      <w:r>
        <w:rPr>
          <w:rFonts w:hint="default" w:ascii="Times New Roman" w:hAnsi="Times New Roman" w:cs="Times New Roman"/>
          <w:color w:val="auto"/>
        </w:rPr>
        <w:t>九江心连心清洁生产综合利用项目</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并且</w:t>
      </w:r>
      <w:r>
        <w:rPr>
          <w:rFonts w:hint="default" w:ascii="Times New Roman" w:hAnsi="Times New Roman" w:eastAsia="宋体" w:cs="Times New Roman"/>
          <w:color w:val="auto"/>
          <w:lang w:eastAsia="zh-CN"/>
        </w:rPr>
        <w:t>部分</w:t>
      </w:r>
      <w:r>
        <w:rPr>
          <w:rFonts w:hint="default" w:ascii="Times New Roman" w:hAnsi="Times New Roman" w:eastAsia="宋体" w:cs="Times New Roman"/>
          <w:color w:val="auto"/>
        </w:rPr>
        <w:t>公用、辅助设施如电、水等均依托</w:t>
      </w:r>
      <w:r>
        <w:rPr>
          <w:rFonts w:hint="default" w:ascii="Times New Roman" w:hAnsi="Times New Roman" w:eastAsia="宋体" w:cs="Times New Roman"/>
          <w:color w:val="auto"/>
          <w:lang w:eastAsia="zh-CN"/>
        </w:rPr>
        <w:t>现有</w:t>
      </w:r>
      <w:r>
        <w:rPr>
          <w:rFonts w:hint="default" w:ascii="Times New Roman" w:hAnsi="Times New Roman" w:eastAsia="宋体" w:cs="Times New Roman"/>
          <w:color w:val="auto"/>
        </w:rPr>
        <w:t>装置供应，如出现故障造成电、水的中断，将导致该项目被迫停车。</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该公司</w:t>
      </w:r>
      <w:r>
        <w:rPr>
          <w:rFonts w:hint="default" w:ascii="Times New Roman" w:hAnsi="Times New Roman" w:eastAsia="宋体" w:cs="Times New Roman"/>
          <w:color w:val="auto"/>
          <w:lang w:eastAsia="zh-CN"/>
        </w:rPr>
        <w:t>现有</w:t>
      </w:r>
      <w:r>
        <w:rPr>
          <w:rFonts w:hint="default" w:ascii="Times New Roman" w:hAnsi="Times New Roman" w:eastAsia="宋体" w:cs="Times New Roman"/>
          <w:color w:val="auto"/>
        </w:rPr>
        <w:t>装置防火间距满足要求，在正常生产情况下，对该项目的生产、经营活动影响较小。</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该公司应建立项目间日常联锁及紧急联动机制并应加强对有毒有害气体</w:t>
      </w:r>
      <w:r>
        <w:rPr>
          <w:rFonts w:hint="default" w:ascii="Times New Roman" w:hAnsi="Times New Roman" w:cs="Times New Roman"/>
          <w:color w:val="auto"/>
          <w:lang w:eastAsia="zh-CN"/>
        </w:rPr>
        <w:t>氨、氯化氢</w:t>
      </w:r>
      <w:r>
        <w:rPr>
          <w:rFonts w:hint="default" w:ascii="Times New Roman" w:hAnsi="Times New Roman" w:eastAsia="宋体" w:cs="Times New Roman"/>
          <w:color w:val="auto"/>
        </w:rPr>
        <w:t>和</w:t>
      </w:r>
      <w:r>
        <w:rPr>
          <w:rFonts w:hint="default" w:ascii="Times New Roman" w:hAnsi="Times New Roman" w:cs="Times New Roman"/>
          <w:color w:val="auto"/>
          <w:lang w:eastAsia="zh-CN"/>
        </w:rPr>
        <w:t>天然气的</w:t>
      </w:r>
      <w:r>
        <w:rPr>
          <w:rFonts w:hint="default" w:ascii="Times New Roman" w:hAnsi="Times New Roman" w:eastAsia="宋体" w:cs="Times New Roman"/>
          <w:color w:val="auto"/>
        </w:rPr>
        <w:t>监测装置的维护，保养和检测，确保监测装置保持良好工作状态并制定应急预案，告知从业人员和相关人员在紧急情况下应当采取的应急措施。</w:t>
      </w:r>
    </w:p>
    <w:p>
      <w:pPr>
        <w:rPr>
          <w:rFonts w:hint="default" w:ascii="Times New Roman" w:hAnsi="Times New Roman" w:eastAsia="黑体" w:cs="Times New Roman"/>
          <w:color w:val="auto"/>
          <w:kern w:val="10"/>
          <w:sz w:val="32"/>
          <w:szCs w:val="32"/>
          <w:lang w:val="en-US" w:eastAsia="zh-CN" w:bidi="ar-SA"/>
        </w:rPr>
      </w:pPr>
      <w:r>
        <w:rPr>
          <w:rFonts w:hint="default" w:ascii="Times New Roman" w:hAnsi="Times New Roman" w:eastAsia="黑体" w:cs="Times New Roman"/>
          <w:color w:val="auto"/>
          <w:kern w:val="10"/>
          <w:sz w:val="32"/>
          <w:szCs w:val="32"/>
          <w:lang w:val="en-US" w:eastAsia="zh-CN" w:bidi="ar-SA"/>
        </w:rPr>
        <w:br w:type="page"/>
      </w:r>
    </w:p>
    <w:p>
      <w:pPr>
        <w:keepNext/>
        <w:keepLines/>
        <w:widowControl w:val="0"/>
        <w:spacing w:line="600" w:lineRule="exact"/>
        <w:jc w:val="center"/>
        <w:outlineLvl w:val="0"/>
        <w:rPr>
          <w:rFonts w:hint="default" w:ascii="Times New Roman" w:hAnsi="Times New Roman" w:eastAsia="黑体" w:cs="Times New Roman"/>
          <w:color w:val="auto"/>
          <w:kern w:val="10"/>
          <w:sz w:val="32"/>
          <w:szCs w:val="32"/>
          <w:lang w:val="en-US" w:eastAsia="zh-CN" w:bidi="ar-SA"/>
        </w:rPr>
      </w:pPr>
      <w:bookmarkStart w:id="109" w:name="_Toc25319"/>
      <w:r>
        <w:rPr>
          <w:rFonts w:hint="default" w:ascii="Times New Roman" w:hAnsi="Times New Roman" w:eastAsia="黑体" w:cs="Times New Roman"/>
          <w:color w:val="auto"/>
          <w:kern w:val="10"/>
          <w:sz w:val="32"/>
          <w:szCs w:val="32"/>
          <w:lang w:val="en-US" w:eastAsia="zh-CN" w:bidi="ar-SA"/>
        </w:rPr>
        <w:t>8主要技术、工艺和装置、设备设施及其安全可靠性分析结果</w:t>
      </w:r>
      <w:bookmarkEnd w:id="109"/>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10" w:name="_Toc11433"/>
      <w:bookmarkStart w:id="111" w:name="_Toc26440"/>
      <w:r>
        <w:rPr>
          <w:rFonts w:hint="default" w:ascii="Times New Roman" w:hAnsi="Times New Roman" w:eastAsia="楷体" w:cs="Times New Roman"/>
          <w:b/>
          <w:bCs/>
          <w:color w:val="auto"/>
          <w:kern w:val="2"/>
          <w:sz w:val="32"/>
          <w:szCs w:val="32"/>
          <w:lang w:val="en-US" w:eastAsia="zh-CN" w:bidi="ar-SA"/>
        </w:rPr>
        <w:t>8.1主要技术、工艺和装置、设备、设施安全可靠性评价结果</w:t>
      </w:r>
      <w:bookmarkEnd w:id="110"/>
      <w:bookmarkEnd w:id="111"/>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一、生产工艺及来源</w:t>
      </w:r>
    </w:p>
    <w:p>
      <w:pPr>
        <w:bidi w:val="0"/>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rPr>
        <w:t>该项目为新建项目，生产工艺技术成熟、安全、可靠，不属淘汰的落后生产工艺。江西心连心化学工业有限公司</w:t>
      </w:r>
      <w:r>
        <w:rPr>
          <w:rFonts w:hint="default" w:ascii="Times New Roman" w:hAnsi="Times New Roman" w:cs="Times New Roman"/>
          <w:color w:val="auto"/>
          <w:lang w:eastAsia="zh-CN"/>
        </w:rPr>
        <w:t>年产15万吨转鼓氨化造粒复合肥项目</w:t>
      </w:r>
      <w:r>
        <w:rPr>
          <w:rFonts w:hint="default" w:ascii="Times New Roman" w:hAnsi="Times New Roman" w:cs="Times New Roman"/>
          <w:color w:val="auto"/>
        </w:rPr>
        <w:t>采用转鼓造粒工艺为核心工艺。江西心连心化学工业有限公司与</w:t>
      </w:r>
      <w:r>
        <w:rPr>
          <w:rFonts w:hint="eastAsia" w:cs="Times New Roman"/>
          <w:color w:val="auto"/>
          <w:lang w:eastAsia="zh-CN"/>
        </w:rPr>
        <w:t>河南心连心化学工业集团有限公司</w:t>
      </w:r>
      <w:r>
        <w:rPr>
          <w:rFonts w:hint="default" w:ascii="Times New Roman" w:hAnsi="Times New Roman" w:cs="Times New Roman"/>
          <w:color w:val="auto"/>
        </w:rPr>
        <w:t>签订了技术合作协议。其生产工艺</w:t>
      </w:r>
      <w:r>
        <w:rPr>
          <w:rFonts w:hint="default" w:ascii="Times New Roman" w:hAnsi="Times New Roman" w:cs="Times New Roman"/>
          <w:color w:val="auto"/>
          <w:lang w:eastAsia="zh-CN"/>
        </w:rPr>
        <w:t>为成熟工艺，已在华强化工集团股份有限公司、湖北中化东方肥料有限公司、九禾股份有限公司（宁夏）等公司正常投运</w:t>
      </w:r>
      <w:r>
        <w:rPr>
          <w:rFonts w:hint="default" w:ascii="Times New Roman" w:hAnsi="Times New Roman" w:cs="Times New Roman"/>
          <w:color w:val="auto"/>
        </w:rPr>
        <w:t>。</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二、主要设备的可靠性</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1、主要设备、辅助设施根据工艺需要采用国内定型设备或委托具有资质的单位进行设计，委托具有资质的单位进行加工、安装。该项目主要设备详细见2.6节，设备选型均经比较，节能、安全。</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2、该项目设备多采用碳钢、不锈钢材质。有腐蚀性的设备采用搪玻璃、钢衬PE等材质。</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三、工艺布置</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工艺布置考虑工艺路线最短集中布置。</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四、工艺控制</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1、该项目采用DCS控制系统，全面监视和控制装置的检测点和控制点，保证装置的平稳操作和安全生产。</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2、根据《石油化工可燃气体和有毒气体检测报警设计标准》GBT 50493-2019的要求在存在可燃/有毒气体的场所拟设置可燃/有毒气体检测报警器。</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五、防火、防爆、防雷、防腐</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根据《建筑设计防火规范（2018版）》，室外消火栓管网布置成环状，管径为DN150，并采用阀门分成若干独立管段，按工艺装置区、罐区间距不大于60m，其他间距不大于120m设置SS100室外地上式消火栓，满足整个项目区域室外消防用水的要求。</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2、根据不同场所的火灾危险性，火灾种类等因素配置干粉、二氧化碳等灭火器具。</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3、位于含腐蚀性介质范围内的电气设备选用防腐型，在含腐蚀性介质场所的仪表选用防腐型仪表。位于易燃易爆场所的电气设备选用防爆型。</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4、按规定配备防毒面具、防护镜、安全帽、防护服等个人防护用品。</w:t>
      </w: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12" w:name="_Toc5398"/>
      <w:bookmarkStart w:id="113" w:name="_Toc10246"/>
      <w:r>
        <w:rPr>
          <w:rFonts w:hint="default" w:ascii="Times New Roman" w:hAnsi="Times New Roman" w:eastAsia="楷体" w:cs="Times New Roman"/>
          <w:b/>
          <w:bCs/>
          <w:color w:val="auto"/>
          <w:kern w:val="2"/>
          <w:sz w:val="32"/>
          <w:szCs w:val="32"/>
          <w:lang w:val="en-US" w:eastAsia="zh-CN" w:bidi="ar-SA"/>
        </w:rPr>
        <w:t>8.2主要装置、设备、设施与危险化学品生产或者储存过程的匹配性</w:t>
      </w:r>
      <w:bookmarkEnd w:id="112"/>
      <w:bookmarkEnd w:id="113"/>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该项目采用技术为成熟工艺，该项目拟选的生产及配套设备，能确保产品的质量和生产的效率。设备选型符合产品品种和质量需要，能够适应项目生产规模、产品方案及工艺技术方案的要求。</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该项目原辅料和产品</w:t>
      </w:r>
      <w:r>
        <w:rPr>
          <w:rFonts w:hint="default" w:ascii="Times New Roman" w:hAnsi="Times New Roman" w:cs="Times New Roman"/>
          <w:color w:val="auto"/>
          <w:lang w:eastAsia="zh-CN"/>
        </w:rPr>
        <w:t>分别储存在拟建的</w:t>
      </w:r>
      <w:r>
        <w:rPr>
          <w:rFonts w:hint="default" w:ascii="Times New Roman" w:hAnsi="Times New Roman" w:eastAsia="宋体" w:cs="Times New Roman"/>
          <w:color w:val="auto"/>
        </w:rPr>
        <w:t>原料仓库</w:t>
      </w:r>
      <w:r>
        <w:rPr>
          <w:rFonts w:hint="default" w:ascii="Times New Roman" w:hAnsi="Times New Roman" w:cs="Times New Roman"/>
          <w:color w:val="auto"/>
          <w:lang w:eastAsia="zh-CN"/>
        </w:rPr>
        <w:t>和成品仓库</w:t>
      </w:r>
      <w:r>
        <w:rPr>
          <w:rFonts w:hint="default" w:ascii="Times New Roman" w:hAnsi="Times New Roman" w:eastAsia="宋体" w:cs="Times New Roman"/>
          <w:color w:val="auto"/>
        </w:rPr>
        <w:t>，并且不同物料及相互禁忌的物料分隔间储存，按规范的要求配备消火栓并装有排风机进行强制通风，仓库的人员严格按公司的有关规定进行管理及操作，无关人员不得入内。库区注意防潮、防火、防爆，保持库区的干燥及通风。</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该项目拟建</w:t>
      </w:r>
      <w:r>
        <w:rPr>
          <w:rFonts w:hint="default" w:ascii="Times New Roman" w:hAnsi="Times New Roman" w:cs="Times New Roman"/>
          <w:color w:val="auto"/>
          <w:lang w:eastAsia="zh-CN"/>
        </w:rPr>
        <w:t>硫酸和盐酸</w:t>
      </w:r>
      <w:r>
        <w:rPr>
          <w:rFonts w:hint="default" w:ascii="Times New Roman" w:hAnsi="Times New Roman" w:eastAsia="宋体" w:cs="Times New Roman"/>
          <w:color w:val="auto"/>
          <w:lang w:eastAsia="zh-CN"/>
        </w:rPr>
        <w:t>罐区</w:t>
      </w:r>
      <w:r>
        <w:rPr>
          <w:rFonts w:hint="default" w:ascii="Times New Roman" w:hAnsi="Times New Roman" w:eastAsia="宋体" w:cs="Times New Roman"/>
          <w:color w:val="auto"/>
        </w:rPr>
        <w:t>，罐区新建1个</w:t>
      </w:r>
      <w:r>
        <w:rPr>
          <w:rFonts w:hint="default" w:ascii="Times New Roman" w:hAnsi="Times New Roman" w:cs="Times New Roman"/>
          <w:color w:val="auto"/>
          <w:lang w:val="en-US" w:eastAsia="zh-CN"/>
        </w:rPr>
        <w:t>1</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0</w:t>
      </w:r>
      <w:r>
        <w:rPr>
          <w:rFonts w:hint="default" w:ascii="Times New Roman" w:hAnsi="Times New Roman" w:cs="Times New Roman"/>
          <w:color w:val="auto"/>
          <w:lang w:val="en-US" w:eastAsia="zh-CN"/>
        </w:rPr>
        <w:t>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lang w:eastAsia="zh-CN"/>
        </w:rPr>
        <w:t>硫</w:t>
      </w:r>
      <w:r>
        <w:rPr>
          <w:rFonts w:hint="default" w:ascii="Times New Roman" w:hAnsi="Times New Roman" w:eastAsia="宋体" w:cs="Times New Roman"/>
          <w:color w:val="auto"/>
        </w:rPr>
        <w:t>酸储罐、</w:t>
      </w:r>
      <w:r>
        <w:rPr>
          <w:rFonts w:hint="default" w:ascii="Times New Roman" w:hAnsi="Times New Roman" w:cs="Times New Roman"/>
          <w:color w:val="auto"/>
          <w:lang w:val="en-US" w:eastAsia="zh-CN"/>
        </w:rPr>
        <w:t>2</w:t>
      </w:r>
      <w:r>
        <w:rPr>
          <w:rFonts w:hint="default" w:ascii="Times New Roman" w:hAnsi="Times New Roman" w:eastAsia="宋体" w:cs="Times New Roman"/>
          <w:color w:val="auto"/>
        </w:rPr>
        <w:t>个</w:t>
      </w:r>
      <w:r>
        <w:rPr>
          <w:rFonts w:hint="default" w:ascii="Times New Roman" w:hAnsi="Times New Roman" w:cs="Times New Roman"/>
          <w:color w:val="auto"/>
          <w:lang w:val="en-US" w:eastAsia="zh-CN"/>
        </w:rPr>
        <w:t>10</w:t>
      </w:r>
      <w:r>
        <w:rPr>
          <w:rFonts w:hint="default" w:ascii="Times New Roman" w:hAnsi="Times New Roman" w:eastAsia="宋体" w:cs="Times New Roman"/>
          <w:color w:val="auto"/>
        </w:rPr>
        <w:t>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盐酸储罐。</w:t>
      </w:r>
      <w:r>
        <w:rPr>
          <w:rFonts w:hint="default" w:ascii="Times New Roman" w:hAnsi="Times New Roman" w:cs="Times New Roman"/>
          <w:color w:val="auto"/>
          <w:lang w:eastAsia="zh-CN"/>
        </w:rPr>
        <w:t>硫酸和盐酸</w:t>
      </w:r>
      <w:r>
        <w:rPr>
          <w:rFonts w:hint="default" w:ascii="Times New Roman" w:hAnsi="Times New Roman" w:eastAsia="宋体" w:cs="Times New Roman"/>
          <w:color w:val="auto"/>
        </w:rPr>
        <w:t>储罐之间采用隔堤隔开。罐区的储存量不超过容积的80%储存，并且留有充足的余量。</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因此，该项目拟采用的主要装置、设备（施）与生产、储存过程是相匹配的。</w:t>
      </w: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14" w:name="_Toc6647"/>
      <w:bookmarkStart w:id="115" w:name="_Toc21365"/>
      <w:r>
        <w:rPr>
          <w:rFonts w:hint="default" w:ascii="Times New Roman" w:hAnsi="Times New Roman" w:eastAsia="楷体" w:cs="Times New Roman"/>
          <w:b/>
          <w:bCs/>
          <w:color w:val="auto"/>
          <w:kern w:val="2"/>
          <w:sz w:val="32"/>
          <w:szCs w:val="32"/>
          <w:lang w:val="en-US" w:eastAsia="zh-CN" w:bidi="ar-SA"/>
        </w:rPr>
        <w:t>8.3公用工程、辅助设施配套性评价</w:t>
      </w:r>
      <w:bookmarkEnd w:id="114"/>
      <w:bookmarkEnd w:id="11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该项目拟采用的主要配套、辅助工程有：给排水、供配电、</w:t>
      </w:r>
      <w:r>
        <w:rPr>
          <w:rFonts w:hint="default" w:ascii="Times New Roman" w:hAnsi="Times New Roman" w:eastAsia="宋体" w:cs="Times New Roman"/>
          <w:color w:val="auto"/>
          <w:lang w:eastAsia="zh-CN"/>
        </w:rPr>
        <w:t>燃料系统、消防</w:t>
      </w:r>
      <w:r>
        <w:rPr>
          <w:rFonts w:hint="default" w:ascii="Times New Roman" w:hAnsi="Times New Roman" w:cs="Times New Roman"/>
          <w:color w:val="auto"/>
          <w:lang w:eastAsia="zh-CN"/>
        </w:rPr>
        <w:t>、氨气供应</w:t>
      </w:r>
      <w:r>
        <w:rPr>
          <w:rFonts w:hint="default" w:ascii="Times New Roman" w:hAnsi="Times New Roman" w:eastAsia="宋体" w:cs="Times New Roman"/>
          <w:color w:val="auto"/>
        </w:rPr>
        <w:t>等。该项目的公用工程和辅助设施主要依托</w:t>
      </w:r>
      <w:r>
        <w:rPr>
          <w:rFonts w:hint="default" w:ascii="Times New Roman" w:hAnsi="Times New Roman" w:eastAsia="宋体" w:cs="Times New Roman"/>
          <w:color w:val="auto"/>
          <w:lang w:eastAsia="zh-CN"/>
        </w:rPr>
        <w:t>原有</w:t>
      </w:r>
      <w:r>
        <w:rPr>
          <w:rFonts w:hint="default" w:ascii="Times New Roman" w:hAnsi="Times New Roman" w:eastAsia="宋体" w:cs="Times New Roman"/>
          <w:color w:val="auto"/>
        </w:rPr>
        <w:t>项目的现有公用工程和辅助设施，前期经过设计考虑了</w:t>
      </w:r>
      <w:r>
        <w:rPr>
          <w:rFonts w:hint="default" w:ascii="Times New Roman" w:hAnsi="Times New Roman" w:eastAsia="宋体" w:cs="Times New Roman"/>
          <w:color w:val="auto"/>
          <w:lang w:eastAsia="zh-CN"/>
        </w:rPr>
        <w:t>后期</w:t>
      </w:r>
      <w:r>
        <w:rPr>
          <w:rFonts w:hint="default" w:ascii="Times New Roman" w:hAnsi="Times New Roman" w:eastAsia="宋体" w:cs="Times New Roman"/>
          <w:color w:val="auto"/>
        </w:rPr>
        <w:t>工程的余量，因此该公司</w:t>
      </w:r>
      <w:r>
        <w:rPr>
          <w:rFonts w:hint="default" w:ascii="Times New Roman" w:hAnsi="Times New Roman" w:eastAsia="宋体" w:cs="Times New Roman"/>
          <w:color w:val="auto"/>
          <w:lang w:eastAsia="zh-CN"/>
        </w:rPr>
        <w:t>原有</w:t>
      </w:r>
      <w:r>
        <w:rPr>
          <w:rFonts w:hint="default" w:ascii="Times New Roman" w:hAnsi="Times New Roman" w:eastAsia="宋体" w:cs="Times New Roman"/>
          <w:color w:val="auto"/>
        </w:rPr>
        <w:t>项目的现有公用工程和辅助设施能够满足该项目的匹配性，能够满足正常生产需求。</w:t>
      </w:r>
    </w:p>
    <w:p>
      <w:pPr>
        <w:pStyle w:val="10"/>
        <w:ind w:firstLine="31680"/>
        <w:jc w:val="center"/>
        <w:rPr>
          <w:rFonts w:hint="default" w:ascii="Times New Roman" w:hAnsi="Times New Roman" w:cs="Times New Roman"/>
          <w:color w:val="auto"/>
        </w:rPr>
      </w:pPr>
      <w:r>
        <w:rPr>
          <w:rFonts w:hint="default" w:ascii="Times New Roman" w:hAnsi="Times New Roman" w:cs="Times New Roman"/>
          <w:color w:val="auto"/>
        </w:rPr>
        <w:t>表</w:t>
      </w:r>
      <w:r>
        <w:rPr>
          <w:rFonts w:hint="eastAsia" w:cs="Times New Roman"/>
          <w:color w:val="auto"/>
          <w:lang w:val="en-US" w:eastAsia="zh-CN"/>
        </w:rPr>
        <w:t>8.3</w:t>
      </w:r>
      <w:r>
        <w:rPr>
          <w:rFonts w:hint="default" w:ascii="Times New Roman" w:hAnsi="Times New Roman" w:cs="Times New Roman"/>
          <w:color w:val="auto"/>
        </w:rPr>
        <w:t>-</w:t>
      </w:r>
      <w:r>
        <w:rPr>
          <w:rFonts w:hint="eastAsia" w:cs="Times New Roman"/>
          <w:color w:val="auto"/>
          <w:lang w:val="en-US" w:eastAsia="zh-CN"/>
        </w:rPr>
        <w:t>1</w:t>
      </w:r>
      <w:r>
        <w:rPr>
          <w:rFonts w:hint="default" w:ascii="Times New Roman" w:hAnsi="Times New Roman" w:cs="Times New Roman"/>
          <w:color w:val="auto"/>
        </w:rPr>
        <w:t>项目组成一览表</w:t>
      </w:r>
    </w:p>
    <w:tbl>
      <w:tblPr>
        <w:tblStyle w:val="19"/>
        <w:tblW w:w="903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24"/>
        <w:gridCol w:w="1294"/>
        <w:gridCol w:w="4911"/>
        <w:gridCol w:w="17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24" w:type="dxa"/>
            <w:vAlign w:val="center"/>
          </w:tcPr>
          <w:p>
            <w:pPr>
              <w:pStyle w:val="10"/>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工程类别</w:t>
            </w:r>
          </w:p>
        </w:tc>
        <w:tc>
          <w:tcPr>
            <w:tcW w:w="1294" w:type="dxa"/>
            <w:vAlign w:val="center"/>
          </w:tcPr>
          <w:p>
            <w:pPr>
              <w:pStyle w:val="10"/>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建设物名称</w:t>
            </w:r>
          </w:p>
        </w:tc>
        <w:tc>
          <w:tcPr>
            <w:tcW w:w="4911" w:type="dxa"/>
            <w:vAlign w:val="center"/>
          </w:tcPr>
          <w:p>
            <w:pPr>
              <w:pStyle w:val="10"/>
              <w:spacing w:line="240" w:lineRule="auto"/>
              <w:ind w:left="0"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设置情况</w:t>
            </w:r>
          </w:p>
        </w:tc>
        <w:tc>
          <w:tcPr>
            <w:tcW w:w="1706" w:type="dxa"/>
            <w:vAlign w:val="center"/>
          </w:tcPr>
          <w:p>
            <w:pPr>
              <w:pStyle w:val="10"/>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24" w:type="dxa"/>
            <w:vMerge w:val="restart"/>
            <w:vAlign w:val="center"/>
          </w:tcPr>
          <w:p>
            <w:pPr>
              <w:pStyle w:val="10"/>
              <w:spacing w:line="240" w:lineRule="auto"/>
              <w:ind w:lef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1294" w:type="dxa"/>
            <w:vAlign w:val="center"/>
          </w:tcPr>
          <w:p>
            <w:pPr>
              <w:pStyle w:val="10"/>
              <w:spacing w:line="240" w:lineRule="auto"/>
              <w:ind w:lef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供配电</w:t>
            </w:r>
          </w:p>
        </w:tc>
        <w:tc>
          <w:tcPr>
            <w:tcW w:w="4911" w:type="dxa"/>
            <w:vAlign w:val="center"/>
          </w:tcPr>
          <w:p>
            <w:pPr>
              <w:pStyle w:val="10"/>
              <w:spacing w:line="240" w:lineRule="auto"/>
              <w:ind w:left="0"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拟建项目电源由园区龙城变电站、泉山变电站引来两路10KV高压电源，架空引至厂内原有1号高塔复合肥装置的包装楼2F的总配电室内。由原有1号高塔复合肥装置总配电室一路10KV出线至氨化车间包装楼二层设置的配电间内，放射式对各生产、储存单元供电。</w:t>
            </w:r>
          </w:p>
          <w:p>
            <w:pPr>
              <w:pStyle w:val="10"/>
              <w:spacing w:line="240" w:lineRule="auto"/>
              <w:ind w:left="0" w:firstLine="42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该项目在氨化车间包装楼二层配置有配电间，配电间内拟设1台2500kV干式变压器和低压380/220V供配电设备。该项目拟安装设备的装机容量约1620KW，变压器负荷率约81%，能够满足该项目的需求。</w:t>
            </w:r>
          </w:p>
        </w:tc>
        <w:tc>
          <w:tcPr>
            <w:tcW w:w="1706" w:type="dxa"/>
            <w:vAlign w:val="center"/>
          </w:tcPr>
          <w:p>
            <w:pPr>
              <w:pStyle w:val="10"/>
              <w:spacing w:line="240" w:lineRule="auto"/>
              <w:ind w:left="0"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满足该项目需求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24" w:type="dxa"/>
            <w:vMerge w:val="continue"/>
            <w:vAlign w:val="center"/>
          </w:tcPr>
          <w:p>
            <w:pPr>
              <w:pStyle w:val="10"/>
              <w:spacing w:line="240" w:lineRule="auto"/>
              <w:ind w:left="0" w:firstLine="0" w:firstLineChars="0"/>
              <w:jc w:val="center"/>
              <w:rPr>
                <w:rFonts w:hint="default" w:ascii="Times New Roman" w:hAnsi="Times New Roman" w:cs="Times New Roman"/>
                <w:color w:val="auto"/>
                <w:sz w:val="21"/>
                <w:szCs w:val="21"/>
              </w:rPr>
            </w:pPr>
          </w:p>
        </w:tc>
        <w:tc>
          <w:tcPr>
            <w:tcW w:w="1294"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给排水</w:t>
            </w:r>
          </w:p>
        </w:tc>
        <w:tc>
          <w:tcPr>
            <w:tcW w:w="4911" w:type="dxa"/>
            <w:vAlign w:val="center"/>
          </w:tcPr>
          <w:p>
            <w:pPr>
              <w:pStyle w:val="10"/>
              <w:spacing w:line="240" w:lineRule="auto"/>
              <w:ind w:left="0"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（1）生产、生活新鲜水</w:t>
            </w:r>
          </w:p>
          <w:p>
            <w:pPr>
              <w:pStyle w:val="10"/>
              <w:spacing w:line="240" w:lineRule="auto"/>
              <w:ind w:left="0"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拟建项目总定员39人，用水量按约50L/人•d计算，生活用水量约为35280t/a。该项目生产用水主要为各生产车间的尾气吸收用水，生产用水由九江心连心清洁生产综合利用项目净水厂提供，净水厂设计规模为70000m3/d，按每个处理单元35000m3/d进行布置，共2个处理单元。净水厂满足清洁生产综合利用项目后净水余量为145t/h，而该项目生产用水每小时最大用量为4.8t/h，可满足该项目用水要求。该项目生产、生活用水量可以得到保障。</w:t>
            </w:r>
          </w:p>
          <w:p>
            <w:pPr>
              <w:pStyle w:val="10"/>
              <w:spacing w:line="240" w:lineRule="auto"/>
              <w:ind w:left="0"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（2）循环水系统</w:t>
            </w:r>
          </w:p>
          <w:p>
            <w:pPr>
              <w:pStyle w:val="10"/>
              <w:spacing w:line="240" w:lineRule="auto"/>
              <w:ind w:left="0"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该项目循环水由九江心连心清洁生产综合利用项目循环水站提供，九江心连心清洁生产综合利用项目的循环水站设计规模为1170000m³/h，余量为9000m³/h，该项目的需求量为250 m³/h。因此循环水可满足该项目需求。</w:t>
            </w:r>
          </w:p>
          <w:p>
            <w:pPr>
              <w:pStyle w:val="10"/>
              <w:spacing w:line="240" w:lineRule="auto"/>
              <w:ind w:left="0"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（3）脱盐水系统</w:t>
            </w:r>
          </w:p>
          <w:p>
            <w:pPr>
              <w:pStyle w:val="10"/>
              <w:spacing w:line="240" w:lineRule="auto"/>
              <w:ind w:left="0"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该项目在造粒冷却工段需要用到脱盐水，该项目脱盐水每小时最大用量为4.56t/h，由九江心连心清洁生产综合利用项目脱盐水站提供，脱盐水站设计规模为400t/h，余量为104t/h，能够满足该项目脱盐水需求。</w:t>
            </w:r>
          </w:p>
          <w:p>
            <w:pPr>
              <w:pStyle w:val="10"/>
              <w:spacing w:line="240" w:lineRule="auto"/>
              <w:ind w:left="0"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该项目的污水通过污水管道排入在建氮肥项目的污水处理站，该项目产生的废水主要为生活污水、尾气吸收用水等。该项目尾气吸收用水全部回用于氯化氢降膜吸收。因此主要为生活污水，污水量合计约为4m3/h；该公司现有污水站处理规模为：150.0m3/h，余量为50m3/h。因此可满足该项目污水处理的需求。</w:t>
            </w:r>
          </w:p>
          <w:p>
            <w:pPr>
              <w:pStyle w:val="10"/>
              <w:spacing w:line="240" w:lineRule="auto"/>
              <w:ind w:left="0"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该系统主要收集生活污水，生活污水排水量约4m3/h。该项目内的各单体的生活污水就近由化粪池处理后，由厂区内的生活污水排水管网收集后送至本公司的污水处理站进行处理。</w:t>
            </w:r>
          </w:p>
        </w:tc>
        <w:tc>
          <w:tcPr>
            <w:tcW w:w="1706" w:type="dxa"/>
            <w:vAlign w:val="center"/>
          </w:tcPr>
          <w:p>
            <w:pPr>
              <w:pStyle w:val="10"/>
              <w:spacing w:line="240" w:lineRule="auto"/>
              <w:ind w:lef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满足该项目需求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24" w:type="dxa"/>
            <w:vMerge w:val="continue"/>
            <w:vAlign w:val="center"/>
          </w:tcPr>
          <w:p>
            <w:pPr>
              <w:pStyle w:val="10"/>
              <w:spacing w:line="240" w:lineRule="auto"/>
              <w:ind w:left="0" w:firstLine="0" w:firstLineChars="0"/>
              <w:jc w:val="center"/>
              <w:rPr>
                <w:rFonts w:hint="default" w:ascii="Times New Roman" w:hAnsi="Times New Roman" w:cs="Times New Roman"/>
                <w:color w:val="auto"/>
                <w:sz w:val="21"/>
                <w:szCs w:val="21"/>
              </w:rPr>
            </w:pPr>
          </w:p>
        </w:tc>
        <w:tc>
          <w:tcPr>
            <w:tcW w:w="1294"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蒸汽系统</w:t>
            </w:r>
          </w:p>
        </w:tc>
        <w:tc>
          <w:tcPr>
            <w:tcW w:w="4911" w:type="dxa"/>
            <w:vAlign w:val="center"/>
          </w:tcPr>
          <w:p>
            <w:pPr>
              <w:pStyle w:val="10"/>
              <w:spacing w:line="240" w:lineRule="auto"/>
              <w:ind w:left="0" w:firstLine="0" w:firstLineChars="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该项目生产中需要大量的低压蒸汽作为生产加热用汽，蒸汽来源九江心连心清洁生产综合利用项目的动力站，动力站内设480t/h，260t/h高温高压燃煤锅炉。该项目所用蒸汽来自次中压2.5MPa饱和蒸汽管网，到该项目装置外减温减压到0.6MPa后送装置区使用。2.5MPa饱和蒸汽负荷余量为20t/h，该项目的最大需求量为4.167t/h，能够满足该项目使用。</w:t>
            </w:r>
          </w:p>
        </w:tc>
        <w:tc>
          <w:tcPr>
            <w:tcW w:w="1706"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满足该项目需求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24" w:type="dxa"/>
            <w:vMerge w:val="continue"/>
            <w:vAlign w:val="center"/>
          </w:tcPr>
          <w:p>
            <w:pPr>
              <w:pStyle w:val="10"/>
              <w:spacing w:line="240" w:lineRule="auto"/>
              <w:ind w:left="0" w:firstLine="0" w:firstLineChars="0"/>
              <w:jc w:val="center"/>
              <w:rPr>
                <w:rFonts w:hint="default" w:ascii="Times New Roman" w:hAnsi="Times New Roman" w:cs="Times New Roman"/>
                <w:color w:val="auto"/>
                <w:sz w:val="21"/>
                <w:szCs w:val="21"/>
              </w:rPr>
            </w:pPr>
          </w:p>
        </w:tc>
        <w:tc>
          <w:tcPr>
            <w:tcW w:w="1294"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氨气供应</w:t>
            </w:r>
          </w:p>
        </w:tc>
        <w:tc>
          <w:tcPr>
            <w:tcW w:w="4911" w:type="dxa"/>
            <w:vAlign w:val="center"/>
          </w:tcPr>
          <w:p>
            <w:pPr>
              <w:pStyle w:val="10"/>
              <w:spacing w:line="240" w:lineRule="auto"/>
              <w:ind w:left="0" w:firstLine="0" w:firstLineChars="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该项目涉及的氨来源于九江心连心清洁生产综合利用项目的</w:t>
            </w:r>
            <w:r>
              <w:rPr>
                <w:rFonts w:hint="eastAsia" w:cs="Times New Roman"/>
                <w:color w:val="auto"/>
                <w:sz w:val="21"/>
                <w:szCs w:val="21"/>
                <w:lang w:val="en-US" w:eastAsia="zh-CN"/>
              </w:rPr>
              <w:t>合成氨装置</w:t>
            </w:r>
            <w:r>
              <w:rPr>
                <w:rFonts w:hint="default" w:ascii="Times New Roman" w:hAnsi="Times New Roman" w:cs="Times New Roman"/>
                <w:color w:val="auto"/>
                <w:sz w:val="21"/>
                <w:szCs w:val="21"/>
                <w:lang w:val="en-US" w:eastAsia="zh-CN"/>
              </w:rPr>
              <w:t>，氨的产量约86t/h，原有项目的消耗量是69t/h，余量是17t/h。氨气管线是从管廊敷设进厂区，该项目的最大需求量为2.16t/h，原有九江心连心清洁生产综合利用项目的氨气供应量能够满足该项目需求。</w:t>
            </w:r>
          </w:p>
        </w:tc>
        <w:tc>
          <w:tcPr>
            <w:tcW w:w="1706"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满足该项目需求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24" w:type="dxa"/>
            <w:vMerge w:val="continue"/>
            <w:vAlign w:val="center"/>
          </w:tcPr>
          <w:p>
            <w:pPr>
              <w:pStyle w:val="10"/>
              <w:spacing w:line="240" w:lineRule="auto"/>
              <w:ind w:left="0" w:firstLine="0" w:firstLineChars="0"/>
              <w:jc w:val="center"/>
              <w:rPr>
                <w:rFonts w:hint="default" w:ascii="Times New Roman" w:hAnsi="Times New Roman" w:cs="Times New Roman"/>
                <w:color w:val="auto"/>
                <w:sz w:val="21"/>
                <w:szCs w:val="21"/>
              </w:rPr>
            </w:pPr>
          </w:p>
        </w:tc>
        <w:tc>
          <w:tcPr>
            <w:tcW w:w="1294"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燃料系统</w:t>
            </w:r>
          </w:p>
        </w:tc>
        <w:tc>
          <w:tcPr>
            <w:tcW w:w="4911" w:type="dxa"/>
            <w:vAlign w:val="center"/>
          </w:tcPr>
          <w:p>
            <w:pPr>
              <w:pStyle w:val="10"/>
              <w:spacing w:line="240" w:lineRule="auto"/>
              <w:ind w:left="0" w:firstLine="0" w:firstLineChars="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该项目热风炉的加热燃料为天然气，其消耗量为2932446.022m3/a。该项目天然气来源于园区天然气管网，天然气管网供气量可以满足该项目需求。</w:t>
            </w:r>
          </w:p>
        </w:tc>
        <w:tc>
          <w:tcPr>
            <w:tcW w:w="1706"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满足该项目需求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24" w:type="dxa"/>
            <w:vMerge w:val="continue"/>
            <w:vAlign w:val="center"/>
          </w:tcPr>
          <w:p>
            <w:pPr>
              <w:pStyle w:val="10"/>
              <w:spacing w:line="240" w:lineRule="auto"/>
              <w:ind w:left="0" w:firstLine="0" w:firstLineChars="0"/>
              <w:jc w:val="center"/>
              <w:rPr>
                <w:rFonts w:hint="default" w:ascii="Times New Roman" w:hAnsi="Times New Roman" w:cs="Times New Roman"/>
                <w:color w:val="auto"/>
                <w:sz w:val="21"/>
                <w:szCs w:val="21"/>
              </w:rPr>
            </w:pPr>
          </w:p>
        </w:tc>
        <w:tc>
          <w:tcPr>
            <w:tcW w:w="1294"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消防系统</w:t>
            </w:r>
          </w:p>
        </w:tc>
        <w:tc>
          <w:tcPr>
            <w:tcW w:w="4911"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该项目消防用水最大需求量为216m3，该公司在原有项目区内设置一座500m3的消防水池，在消防水池旁设置消防泵房，消防水消防泵采用2台型号为XBD14/60G，Q=60L/s的消防水泵。</w:t>
            </w:r>
          </w:p>
        </w:tc>
        <w:tc>
          <w:tcPr>
            <w:tcW w:w="1706"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满足该项目需求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24" w:type="dxa"/>
            <w:vMerge w:val="continue"/>
            <w:vAlign w:val="center"/>
          </w:tcPr>
          <w:p>
            <w:pPr>
              <w:pStyle w:val="10"/>
              <w:spacing w:line="240" w:lineRule="auto"/>
              <w:ind w:left="0" w:firstLine="0" w:firstLineChars="0"/>
              <w:jc w:val="center"/>
              <w:rPr>
                <w:rFonts w:hint="default" w:ascii="Times New Roman" w:hAnsi="Times New Roman" w:cs="Times New Roman"/>
                <w:color w:val="auto"/>
                <w:sz w:val="21"/>
                <w:szCs w:val="21"/>
              </w:rPr>
            </w:pPr>
          </w:p>
        </w:tc>
        <w:tc>
          <w:tcPr>
            <w:tcW w:w="1294"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空压系统</w:t>
            </w:r>
          </w:p>
        </w:tc>
        <w:tc>
          <w:tcPr>
            <w:tcW w:w="4911" w:type="dxa"/>
            <w:vAlign w:val="center"/>
          </w:tcPr>
          <w:p>
            <w:pPr>
              <w:pStyle w:val="10"/>
              <w:spacing w:line="240" w:lineRule="auto"/>
              <w:ind w:left="0" w:firstLine="0" w:firstLineChars="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该项目不新建空压系统，拟依托已建项目设置在复合肥车间设置的空压系统，供应工艺用压缩空气和仪表用压缩空气。</w:t>
            </w:r>
          </w:p>
          <w:p>
            <w:pPr>
              <w:pStyle w:val="10"/>
              <w:spacing w:line="240" w:lineRule="auto"/>
              <w:ind w:left="0" w:firstLine="0" w:firstLineChars="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该公司原有设置的螺杆空压机产气量为6.3m3/min，产气压力P=0.85Mpa。配备两个1.5m³压缩空气储罐。空气品质需达到该项目仪表和工艺用气要求，原有项目需求量为3m3/min，该项目最大需求量约为2m3/min，供气量可以满足需求。</w:t>
            </w:r>
          </w:p>
        </w:tc>
        <w:tc>
          <w:tcPr>
            <w:tcW w:w="1706" w:type="dxa"/>
            <w:vAlign w:val="center"/>
          </w:tcPr>
          <w:p>
            <w:pPr>
              <w:pStyle w:val="10"/>
              <w:spacing w:line="240" w:lineRule="auto"/>
              <w:ind w:lef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满足该项目需求</w:t>
            </w:r>
          </w:p>
        </w:tc>
      </w:tr>
    </w:tbl>
    <w:p>
      <w:pPr>
        <w:rPr>
          <w:rFonts w:hint="default" w:ascii="Times New Roman" w:hAnsi="Times New Roman" w:eastAsia="黑体" w:cs="Times New Roman"/>
          <w:color w:val="auto"/>
          <w:kern w:val="10"/>
          <w:sz w:val="32"/>
          <w:szCs w:val="32"/>
          <w:lang w:val="en-US" w:eastAsia="zh-CN" w:bidi="ar-SA"/>
        </w:rPr>
      </w:pPr>
      <w:r>
        <w:rPr>
          <w:rFonts w:hint="default" w:ascii="Times New Roman" w:hAnsi="Times New Roman" w:eastAsia="黑体" w:cs="Times New Roman"/>
          <w:color w:val="auto"/>
          <w:kern w:val="10"/>
          <w:sz w:val="32"/>
          <w:szCs w:val="32"/>
          <w:lang w:val="en-US" w:eastAsia="zh-CN" w:bidi="ar-SA"/>
        </w:rPr>
        <w:br w:type="page"/>
      </w:r>
    </w:p>
    <w:p>
      <w:pPr>
        <w:keepNext/>
        <w:keepLines/>
        <w:widowControl w:val="0"/>
        <w:spacing w:line="600" w:lineRule="exact"/>
        <w:jc w:val="center"/>
        <w:outlineLvl w:val="0"/>
        <w:rPr>
          <w:rFonts w:hint="default" w:ascii="Times New Roman" w:hAnsi="Times New Roman" w:eastAsia="黑体" w:cs="Times New Roman"/>
          <w:color w:val="auto"/>
          <w:kern w:val="10"/>
          <w:sz w:val="32"/>
          <w:szCs w:val="32"/>
          <w:lang w:val="en-US" w:eastAsia="zh-CN" w:bidi="ar-SA"/>
        </w:rPr>
      </w:pPr>
      <w:bookmarkStart w:id="116" w:name="_Toc3644"/>
      <w:r>
        <w:rPr>
          <w:rFonts w:hint="default" w:ascii="Times New Roman" w:hAnsi="Times New Roman" w:eastAsia="黑体" w:cs="Times New Roman"/>
          <w:color w:val="auto"/>
          <w:kern w:val="10"/>
          <w:sz w:val="32"/>
          <w:szCs w:val="32"/>
          <w:lang w:val="en-US" w:eastAsia="zh-CN" w:bidi="ar-SA"/>
        </w:rPr>
        <w:t>9安全对策措施</w:t>
      </w:r>
      <w:bookmarkEnd w:id="116"/>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17" w:name="_Toc12434"/>
      <w:bookmarkStart w:id="118" w:name="_Toc2531"/>
      <w:bookmarkStart w:id="119" w:name="_Toc31978"/>
      <w:bookmarkStart w:id="120" w:name="_Toc26233"/>
      <w:r>
        <w:rPr>
          <w:rFonts w:hint="default" w:ascii="Times New Roman" w:hAnsi="Times New Roman" w:eastAsia="楷体" w:cs="Times New Roman"/>
          <w:b/>
          <w:bCs/>
          <w:color w:val="auto"/>
          <w:kern w:val="2"/>
          <w:sz w:val="32"/>
          <w:szCs w:val="32"/>
          <w:lang w:val="en-US" w:eastAsia="zh-CN" w:bidi="ar-SA"/>
        </w:rPr>
        <w:t>9.1安全对策措施建议的依据、原则</w:t>
      </w:r>
      <w:bookmarkEnd w:id="117"/>
      <w:bookmarkEnd w:id="118"/>
      <w:bookmarkEnd w:id="119"/>
      <w:bookmarkEnd w:id="120"/>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对系统安全程度的定性、定量分析和综合评价，结合国家有关安全生产法律、法规、规章、标准、规范，提出控制或消除相关危险、有害因素，降低其危害程度、降低事故发生频率及事故规模的具有针对性的对策措施建议。</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1）安全对策措施建议的依据：</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（1）工程的危险、有害因素的辨识分析；</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（2）符合性评价的结果；</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（3）国家有关安全生产法律、法规、规章、标准、规范。</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2）安全对策措施建议的原则：</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（1）安全技术措施等级顺序：</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a）直接安全技术措施；</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b）间接安全技术措施；</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c）指示性安全技术措施；</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d）若间接、指示性安全技术措施仍然不能避免事故，则应采取安全操作规程、安全教育、安全培训和台体防护等措施来预防、减弱系统的危险、危害程度。</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（2）根据安全技术措施等级顺序的要求应遵循的具体原则：</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a）消除；b）预防；c）减弱；d）隔离；e）连锁；f）警告。</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3）安全对策措施建议具有针对性、可操作性和经济合理性。</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4）对策措施符合国家有关法规、标准及规范的规定。</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5）在满足安全要求的基础上，对项目重大危险源或重大风险控制提出保障安全运行的对策建议。</w:t>
      </w: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21" w:name="_Toc19629"/>
      <w:bookmarkStart w:id="122" w:name="_Toc29645"/>
      <w:bookmarkStart w:id="123" w:name="_Toc15440"/>
      <w:bookmarkStart w:id="124" w:name="_Toc29856"/>
      <w:r>
        <w:rPr>
          <w:rFonts w:hint="default" w:ascii="Times New Roman" w:hAnsi="Times New Roman" w:eastAsia="楷体" w:cs="Times New Roman"/>
          <w:b/>
          <w:bCs/>
          <w:color w:val="auto"/>
          <w:kern w:val="2"/>
          <w:sz w:val="32"/>
          <w:szCs w:val="32"/>
          <w:lang w:val="en-US" w:eastAsia="zh-CN" w:bidi="ar-SA"/>
        </w:rPr>
        <w:t>9.2安全对策措施建议</w:t>
      </w:r>
      <w:bookmarkEnd w:id="121"/>
      <w:bookmarkEnd w:id="122"/>
      <w:bookmarkEnd w:id="123"/>
      <w:bookmarkEnd w:id="124"/>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9.2.1该项目可研中已采取的安全对策措施</w:t>
      </w:r>
    </w:p>
    <w:p>
      <w:pP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9.2.1.1选址及总平面布置</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一、可研报告已提出的对策措施或已有的情况</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1、该项目的建设地区不属于地震、台风、洪水多发区，无不良地质条件。</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2、该项目与周围相邻工厂、公路、铁路、园区道路及其他公共设施的距离满足相应法律、法规、标准、规范的要求。</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3、该项目选址满足安全防护距离的要求。</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4、该项目位于</w:t>
      </w:r>
      <w:r>
        <w:rPr>
          <w:rFonts w:hint="default" w:ascii="Times New Roman" w:hAnsi="Times New Roman" w:eastAsia="宋体" w:cs="Times New Roman"/>
          <w:color w:val="auto"/>
          <w:kern w:val="0"/>
          <w:sz w:val="28"/>
          <w:szCs w:val="28"/>
          <w:lang w:val="en-US" w:eastAsia="zh-CN" w:bidi="ar"/>
        </w:rPr>
        <w:t>江西省九江市彭泽县矶山工业园区（经认定的化工园区）</w:t>
      </w:r>
      <w:r>
        <w:rPr>
          <w:rFonts w:hint="default" w:ascii="Times New Roman" w:hAnsi="Times New Roman" w:eastAsia="宋体" w:cs="Times New Roman"/>
          <w:color w:val="auto"/>
        </w:rPr>
        <w:t>，属于规划的化工园区，符合规划的要求。</w:t>
      </w:r>
    </w:p>
    <w:p>
      <w:pP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9.2.1.2建构筑物方面的安全对策措施</w:t>
      </w:r>
    </w:p>
    <w:p>
      <w:pPr>
        <w:numPr>
          <w:ilvl w:val="0"/>
          <w:numId w:val="23"/>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建筑物外墙均采用环保型外墙涂料饰面。钢结构安装前需采取防腐处理，所有钢构件的除锈与涂装均在构件制作质量检验合格后进行。</w:t>
      </w:r>
    </w:p>
    <w:p>
      <w:pPr>
        <w:numPr>
          <w:ilvl w:val="0"/>
          <w:numId w:val="23"/>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室外工程的防腐地面及地沟一般采用花岗岩板材作为防腐面层，室内楼地面及地沟采用整体防腐面层。地面上大型设备基础采用花岗岩板材面层或水玻璃整体混凝土基础，小型设备基础采用玻璃钢防腐面层或耐酸磁板面层。所有钢构件均刷醇酸磁漆两底两面防腐。</w:t>
      </w:r>
    </w:p>
    <w:p>
      <w:pPr>
        <w:numPr>
          <w:ilvl w:val="0"/>
          <w:numId w:val="23"/>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墙体、门窗、楼地面、屋面等主要工程做法：</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（1）墙体：建筑物外墙均采用烧结页岩砖，部分区域采用彩色压型钢板。</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（2）门窗：车间等工业建筑均采用防火门窗。</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（3）楼地面：车间、罐区</w:t>
      </w:r>
      <w:r>
        <w:rPr>
          <w:rFonts w:hint="default" w:ascii="Times New Roman" w:hAnsi="Times New Roman" w:eastAsia="宋体" w:cs="Times New Roman"/>
          <w:color w:val="auto"/>
          <w:lang w:eastAsia="zh-CN"/>
        </w:rPr>
        <w:t>、盐酸吸收区</w:t>
      </w:r>
      <w:r>
        <w:rPr>
          <w:rFonts w:hint="default" w:ascii="Times New Roman" w:hAnsi="Times New Roman" w:eastAsia="宋体" w:cs="Times New Roman"/>
          <w:color w:val="auto"/>
        </w:rPr>
        <w:t>做环氧防腐楼地面。</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（4）屋面：部分车间屋面采用FRP防腐屋面板；其余建构筑物屋面均做现浇钢筋混凝土屋面，防水采用SBS改性沥青防水卷材。</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建筑消防、防火设计：厂房按《建筑设计防火规范》有关条例设置了疏散楼梯、疏散通道和安全出口，其数量、位置、宽度、疏散距离均满足安全疏散防火要求。防火涂料涂刷中柱需满足2.5h耐火极限，梁需满足1.5h耐火极限，屋顶承重构件需满足1.0h耐火极限，防火涂料的性能及其厚度满足建筑规范要求。</w:t>
      </w:r>
    </w:p>
    <w:p>
      <w:pP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9.2.1.3其他安全防护措施</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1、生产所涉及的各原辅物料和产品的存放，符合《常用化学危险品贮存通则》的安全要求。</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2、化学物品管道、电缆架桥等跨越道路时，路面上的净高≥4.5m，并有醒目标志。</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3、厂区内严禁烟火，设有明显的禁火标示牌，严格动火制度。</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4、化学危险物品在装卸前对储运设备和容器进行安全检查，装卸严格按操作规程操作，装卸工穿戴好个人劳动防护用品，对不符合安全要求的不得装卸。</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5、生产和贮存场所严格控制泄漏，若发生跑、冒、滴、漏会造成严重后果或现场人员不能始终监视的部位，装报警装置；在可能造成回流的场合，其使用设备上必须配置防止倒罐的装置。</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6、在车间、罐区等使用有毒、有腐蚀性物品的区域适当位置设喷淋设施及洗眼器。</w:t>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9.2.2建议完善的安全对策措施</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9.2.2.1建设项目的选址方面</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在工程设计前应根据勘查结果、地质资料和工程的要求，因地制宜，对所有建筑、设备、设施等的基础采取相应的处理措施，防止地基湿陷对建筑物产生危害。按要求做好该项目的埋地电缆、排水的设计与施工。</w:t>
      </w:r>
    </w:p>
    <w:p>
      <w:pPr>
        <w:ind w:firstLine="56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r>
        <w:rPr>
          <w:rFonts w:hint="default" w:ascii="Times New Roman" w:hAnsi="Times New Roman" w:cs="Times New Roman"/>
          <w:color w:val="auto"/>
        </w:rPr>
        <w:t>该项目厂区内应按最大雨水公式计算排涝量并设置排涝设施，以保证不发生</w:t>
      </w:r>
      <w:r>
        <w:rPr>
          <w:rFonts w:hint="default" w:ascii="Times New Roman" w:hAnsi="Times New Roman" w:cs="Times New Roman"/>
          <w:color w:val="auto"/>
          <w:lang w:eastAsia="zh-CN"/>
        </w:rPr>
        <w:t>洪水</w:t>
      </w:r>
      <w:r>
        <w:rPr>
          <w:rFonts w:hint="default" w:ascii="Times New Roman" w:hAnsi="Times New Roman" w:cs="Times New Roman"/>
          <w:color w:val="auto"/>
        </w:rPr>
        <w:t>入侵厂区现象。</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9.2.2.2建设项目的总平面布置及建构筑物方面</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1、土建基础安全</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因地下水及土质对砼和钢筋有不同程度的腐蚀作用，该项目相关车间生产使用酸量较大，故这些相关建筑的土建基础设计时应考虑防腐措施。</w:t>
      </w:r>
    </w:p>
    <w:p>
      <w:pPr>
        <w:ind w:firstLine="56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防火堤的选型宜符合下列规定：①防火堤宜选用土筑防火堤，也可采用钢筋混凝土防火堤、砌体防火堤、夹芯式防火堤，不宜采用浆砌毛石防火堤；②在用地紧张和抗震设防烈度8度及以上地区宜选用钢筋混凝土防火堤。</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2、在生产厂房和作业场地上配置的生产设备、设施、管线、电缆以及堆放的生产物料、产品和剩余物料，不应对人员、生产和运输造成危险和有害影响。</w:t>
      </w:r>
    </w:p>
    <w:p>
      <w:pPr>
        <w:ind w:firstLine="560" w:firstLineChars="200"/>
        <w:rPr>
          <w:rFonts w:hint="eastAsia" w:cs="Times New Roman"/>
          <w:color w:val="auto"/>
          <w:lang w:eastAsia="zh-CN"/>
        </w:rPr>
      </w:pPr>
      <w:r>
        <w:rPr>
          <w:rFonts w:hint="default" w:ascii="Times New Roman" w:hAnsi="Times New Roman" w:eastAsia="宋体" w:cs="Times New Roman"/>
          <w:color w:val="auto"/>
        </w:rPr>
        <w:t>3、</w:t>
      </w:r>
      <w:r>
        <w:rPr>
          <w:rFonts w:hint="eastAsia" w:cs="Times New Roman"/>
          <w:color w:val="auto"/>
          <w:lang w:eastAsia="zh-CN"/>
        </w:rPr>
        <w:t>氨化车间涉及硫酸、氨的防火分区之间应采用防火墙分隔。二级耐火等级氨化车间内采用预应力钢筋混凝土的楼板，其耐火极限不应低于0.75h。应严格控制涉及硫酸、氨等乙类物料的生产部分占本层或本防火分区建筑面积的比例应小于5%。</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车间配电间的室内地坪应高出室外平整后的地坪0.6m，电缆沟硬座防水处理。</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、厂房的安全出口应分散布置。每个防火分区或一个防火分区的每个楼层，其相邻2个安全出口最近边缘之间的水平距离不应小于5m，通向疏散走道或楼梯的门应为乙级防火门。</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、作业场所应设置安全通道；应设应急照明、安全标志和疏散指示标志；通道和出口应保持畅通；出入口的设置应符合有关规定。</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、化工装置内的各种散发热量的设备和管道应采取有效的隔热措施。</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、该项目拟建建筑与后期项目拟建车间、仓库等建构筑物，在初步设计时应充分考虑相互间的影响。</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、车间的围护结构应防止雨水渗入，内表面应防止凝结水产生。用水量较多、产湿量较大的车间，应采取排水防湿设施，防止顶棚滴水和地面积水。</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、管线系统的支撑和隔热应安全可靠，对热胀冷缩产生的应力和位移，应有预防措施，按《生产过程安全卫生要求总则》的要求布置。</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桁架、柱、主梁等重要钢构件和闭口截面杆件的焊缝，应采用连续焊缝。角焊缝的焊脚尺寸不应小于8mm；当杆件厚度小于8mm时，焊脚尺寸不应小于杆件厚度。加劲肋应切角；切角的尺寸应满足排水、施工维修要求。</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、钢柱柱脚应置于混凝土基础上，基础顶面宜高出地面不小于300mm。</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、作业区的布置应保证人员有足够的安全活动空间。设备、工机具、辅助设施的布置，生产物料、产品和剩余物料的堆放，人行道、车行道的布置和间隔距离，都不应妨碍人员工作和造成危害。</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、在设计工作中应根据该项目产品性质及生产性质的特点，按照国家有关消防给水、用水的规范要求进行，供水量应包括满足消防的用水量。施工中应确保施工质量和材料质量。</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、管架与建筑物、构筑物之间的最小水平间距应符合《工业企业总平面设计规范》表8.3.9的规定。</w:t>
      </w:r>
    </w:p>
    <w:p>
      <w:pPr>
        <w:numPr>
          <w:ilvl w:val="0"/>
          <w:numId w:val="0"/>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rPr>
        <w:t>该项目</w:t>
      </w:r>
      <w:r>
        <w:rPr>
          <w:rFonts w:hint="default" w:ascii="Times New Roman" w:hAnsi="Times New Roman" w:eastAsia="宋体" w:cs="Times New Roman"/>
          <w:color w:val="auto"/>
          <w:lang w:eastAsia="zh-CN"/>
        </w:rPr>
        <w:t>盐酸、硫酸</w:t>
      </w:r>
      <w:r>
        <w:rPr>
          <w:rFonts w:hint="eastAsia" w:cs="Times New Roman"/>
          <w:color w:val="auto"/>
          <w:lang w:eastAsia="zh-CN"/>
        </w:rPr>
        <w:t>、氨</w:t>
      </w:r>
      <w:r>
        <w:rPr>
          <w:rFonts w:hint="default" w:ascii="Times New Roman" w:hAnsi="Times New Roman" w:eastAsia="宋体" w:cs="Times New Roman"/>
          <w:color w:val="auto"/>
        </w:rPr>
        <w:t>等物料需通过管道输送。为此，要求管廊、管架的布置，应符合下列要求：（1）管架的净空高度及基础位置，不得影响交通运输、消防及检修；（2）不应妨碍建筑物自然采光与通风；（3）有利厂容；管架与建筑物、构筑物之间的最小水平间距，架空管线或管架跨越铁路、道路的最小垂直间距，应符合相关规范要求。</w:t>
      </w:r>
    </w:p>
    <w:p>
      <w:pPr>
        <w:numPr>
          <w:ilvl w:val="0"/>
          <w:numId w:val="24"/>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给排水：架空管道当系统工作压力小于等于1.20MPa时，可采用热浸锌镀锌钢管；当系统工作压力大于1.20MPa时，应采用热浸镀锌加厚钢管或热浸镀锌无缝钢管；当系统工作压力大于1.60MPa时，应采用热浸镀锌无缝钢管。架空管道的连接宜采用沟槽连接件(卡箍)、螺纹、法兰、卡压等方式，不宜采用焊接连接。当管径小于或等于DN50时，应采用螺纹和卡压连接，当管径大于DN50时，应采用沟槽连接件连接、法兰连接，当安装空间较小时应采用沟槽连接件连接。消防给水管道不宜穿越建筑基础，当必须穿越时，应采取防护套管等保护措施。</w:t>
      </w:r>
    </w:p>
    <w:p>
      <w:pPr>
        <w:numPr>
          <w:ilvl w:val="0"/>
          <w:numId w:val="24"/>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管架的布置，应符合下列要求：①管架的净空高度及基础位置，不得影响交通运输、消防及检修。②不应妨碍建筑物的自然采光与通风。③管架与建筑物、构筑物之间的最小水平间距，宜符合《化工企业总图运输设计规范》第7．3．4条的规定。⑤架空管线、管架跨越铁路、道路的最小净空高度，应符合《化工企业总图运输设计规范》第7．3．8的规定。</w:t>
      </w:r>
    </w:p>
    <w:p>
      <w:pPr>
        <w:numPr>
          <w:ilvl w:val="0"/>
          <w:numId w:val="24"/>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管网中设有加压装置时，低压进水管接点处应设置止回阀。室外消火栓可能受到外力损失时，应设置相应的防护设施，且不得影响消火栓的正常使用。</w:t>
      </w:r>
    </w:p>
    <w:p>
      <w:pPr>
        <w:numPr>
          <w:ilvl w:val="0"/>
          <w:numId w:val="24"/>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高温、腐蚀性溶液管线穿越过道时，不宜设置法兰、阀门；不可避免时，应采取安全措施。</w:t>
      </w:r>
    </w:p>
    <w:p>
      <w:pPr>
        <w:numPr>
          <w:ilvl w:val="0"/>
          <w:numId w:val="24"/>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罐区防火堤、防护墙应采用不燃烧材料建造，且必须密实、闭合、不泄漏。</w:t>
      </w:r>
      <w:r>
        <w:rPr>
          <w:rFonts w:hint="eastAsia" w:cs="Times New Roman"/>
          <w:color w:val="auto"/>
          <w:lang w:eastAsia="zh-CN"/>
        </w:rPr>
        <w:t>罐区</w:t>
      </w:r>
      <w:r>
        <w:rPr>
          <w:rFonts w:hint="default" w:ascii="Times New Roman" w:hAnsi="Times New Roman" w:eastAsia="宋体" w:cs="Times New Roman"/>
          <w:color w:val="auto"/>
        </w:rPr>
        <w:t>地上部分的外表面和地坑的内表面，应根据腐蚀性介质的作用条件，按</w:t>
      </w:r>
      <w:r>
        <w:rPr>
          <w:rFonts w:hint="eastAsia" w:cs="Times New Roman"/>
          <w:color w:val="auto"/>
          <w:lang w:eastAsia="zh-CN"/>
        </w:rPr>
        <w:t>《工业建筑防腐蚀设计标准》</w:t>
      </w:r>
      <w:r>
        <w:rPr>
          <w:rFonts w:hint="default" w:ascii="Times New Roman" w:hAnsi="Times New Roman" w:eastAsia="宋体" w:cs="Times New Roman"/>
          <w:color w:val="auto"/>
        </w:rPr>
        <w:t>确定腐蚀性等级，按《工业建筑防腐蚀设计标准》的有关规定采取表面防护措施。</w:t>
      </w:r>
    </w:p>
    <w:p>
      <w:pPr>
        <w:numPr>
          <w:ilvl w:val="0"/>
          <w:numId w:val="24"/>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腐蚀环境建、构筑物上的裸露防雷装置，应有防腐措施。宜利用建筑物的内部钢筋作应有为接闪器、引下线和接地体。</w:t>
      </w:r>
    </w:p>
    <w:p>
      <w:pPr>
        <w:numPr>
          <w:ilvl w:val="0"/>
          <w:numId w:val="24"/>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不得采用明渠排放含有挥发性毒物的废水、废液。非饮用水管道严禁与生活饮用水管道连接。在有毒液体容易泄漏的场所，应用不易渗透的建筑材料铺砌地面，并设围堰。</w:t>
      </w:r>
    </w:p>
    <w:p>
      <w:pPr>
        <w:numPr>
          <w:ilvl w:val="0"/>
          <w:numId w:val="24"/>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有腐蚀性及毒性介质的管道，除使用该管线的建筑物、构筑物外，均不得采用建筑物、构筑物支撑式敷设。防腐蚀地面范围内的管架柱下部以及有腐蚀性液体作用的检修平台或走道，应加强防护。</w:t>
      </w:r>
    </w:p>
    <w:p>
      <w:pPr>
        <w:numPr>
          <w:ilvl w:val="0"/>
          <w:numId w:val="24"/>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防火堤及隔堤选型宜采用砖砌防火堤，钢筋混凝土防火堤或浆砌毛石防火堤。防火堤及隔堤应能承受所容纳稀释氨水的静压及温度变化的影响，且不渗漏。防火堤内采用现浇混凝土地面，并宜坡向四周。</w:t>
      </w:r>
    </w:p>
    <w:p>
      <w:pPr>
        <w:numPr>
          <w:ilvl w:val="0"/>
          <w:numId w:val="24"/>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涉及氨的金属管道除需要采用法兰连接外，均应采用焊接连接。公称直径等于或小于25mm的可燃气体、液化烃和可燃液体的金属管道和阀门采用锥管螺纹连接时，除能产生缝隙腐蚀的介质管道外，应在螺纹处采用密封焊。涉及氨的管道不得穿过与其无关的建筑物。</w:t>
      </w:r>
    </w:p>
    <w:p>
      <w:pPr>
        <w:numPr>
          <w:ilvl w:val="0"/>
          <w:numId w:val="24"/>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涉及氨的管道穿越道路时应敷设在管涵或套管内，并采取防止可燃气体窜入和积聚在管涵或套管内的措施。</w:t>
      </w:r>
    </w:p>
    <w:p>
      <w:pPr>
        <w:numPr>
          <w:ilvl w:val="0"/>
          <w:numId w:val="24"/>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进、出装置的涉氨管道，在装置的边界处应设隔断阀和8字盲板，在隔断阀处应设平台，长度等于或大于8m的平台应在两个方向设梯子。</w:t>
      </w:r>
    </w:p>
    <w:p>
      <w:pPr>
        <w:numPr>
          <w:ilvl w:val="0"/>
          <w:numId w:val="24"/>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建筑抗震设计规范》GB50011-2010（2016版）附录A，彭泽县抗震烈度为6度。根据《化学工业建（构）筑物抗震设防分类标准》GB50914-2013要求，原料库（戊类）属于标准设防类（丙类），氨化车间（丁类）、盐酸罐区（戊类）、硫酸罐区（乙类）属于乙2类，采用抗震性能优良的结构体系及材料，抗震措施按本地区抗震设防烈度确定（6度）。</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9.2.2.3主要技术、工艺或者方式和装置、设备、设施方面</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1、加强对以下四种火源的安全管理</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①明火：如生产过程中的加热用火和维修用火等；</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②摩擦与撞击产生的火花；</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③电气火花和静电火花；</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④其它火源：高温表面可产生自燃的物质、烟囱飞火、烟头、机动车辆排气管、光热射线等。</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2、该项目在配电间、控制室等工作场所应设置火灾检测报警系统。应设置火灾、温感、烟感等检测探头。应根据检维修需要配备一定数量的便携式易燃易爆和有毒气体检测仪。</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3、储存时应按相互禁忌性原则分区、隔离存放在仓库不同隔间。</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4、使用和输送有毒、有害物料的设备和管道应加强密闭。生产厂房通风良好，并配备风机以加强生产场所通风。</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5、在生产车间、罐区等存在可能泄漏</w:t>
      </w:r>
      <w:r>
        <w:rPr>
          <w:rFonts w:hint="default" w:ascii="Times New Roman" w:hAnsi="Times New Roman" w:cs="Times New Roman"/>
          <w:color w:val="auto"/>
          <w:szCs w:val="24"/>
          <w:lang w:eastAsia="zh-CN"/>
        </w:rPr>
        <w:t>氯化氢、氨气等</w:t>
      </w:r>
      <w:r>
        <w:rPr>
          <w:rFonts w:hint="default" w:ascii="Times New Roman" w:hAnsi="Times New Roman" w:eastAsia="宋体" w:cs="Times New Roman"/>
          <w:color w:val="auto"/>
          <w:szCs w:val="24"/>
        </w:rPr>
        <w:t>有毒气体的岗位，设机械通风设施，并设置与有毒气体检测报警仪联锁的事故通风设施。在有毒气体可能泄漏的地方应设有有毒气体检测器。有毒气体报警通过控制室显示。气体检测系统的设置、气体测量内容、最低浓度值、设置范围等必须符合《石油化工企业可燃气体和有毒气体检测报警设计标准》GB50493-2019的要求。</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6、存在有毒物质的车间应按要求配备防毒面具，每个岗位应配备不应少于当班人员数量的过滤式防毒面具。</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7、进入有限空间作业时，必须做到“先通风、再检测、后作业”，严禁通风、检测不合格作业。必须严格实行作业审批制度，严禁擅自进入有限空间作业，必须配备个人防中毒窒息等防护装备，设置安全警示标识，严禁无防护监护措施作业。必须对作业人员进行安全培训，严禁教育培训不合格上岗作业。必须制定应急措施，现场配备应急装备，严禁盲目施救。</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lang w:val="en-US" w:eastAsia="zh-CN"/>
        </w:rPr>
        <w:t>8</w:t>
      </w:r>
      <w:r>
        <w:rPr>
          <w:rFonts w:hint="default" w:ascii="Times New Roman" w:hAnsi="Times New Roman" w:eastAsia="宋体" w:cs="Times New Roman"/>
          <w:color w:val="auto"/>
          <w:szCs w:val="24"/>
        </w:rPr>
        <w:t>、罐区装卸时，应对鹤管（充装臂）、密封件，快速切断阀门等进行检查，发现问题及时处理，严防泄漏。</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lang w:val="en-US" w:eastAsia="zh-CN"/>
        </w:rPr>
        <w:t>9</w:t>
      </w:r>
      <w:r>
        <w:rPr>
          <w:rFonts w:hint="default" w:ascii="Times New Roman" w:hAnsi="Times New Roman" w:eastAsia="宋体" w:cs="Times New Roman"/>
          <w:color w:val="auto"/>
          <w:szCs w:val="24"/>
        </w:rPr>
        <w:t>、生产车间内的有害气体集中引至废气处理装置处理后采用排气筒高空排放，避免将有害物质排放于操作环境中。</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w:t>
      </w:r>
      <w:r>
        <w:rPr>
          <w:rFonts w:hint="default" w:ascii="Times New Roman" w:hAnsi="Times New Roman" w:eastAsia="宋体" w:cs="Times New Roman"/>
          <w:color w:val="auto"/>
          <w:szCs w:val="24"/>
          <w:lang w:val="en-US" w:eastAsia="zh-CN"/>
        </w:rPr>
        <w:t>0</w:t>
      </w:r>
      <w:r>
        <w:rPr>
          <w:rFonts w:hint="default" w:ascii="Times New Roman" w:hAnsi="Times New Roman" w:eastAsia="宋体" w:cs="Times New Roman"/>
          <w:color w:val="auto"/>
          <w:szCs w:val="24"/>
        </w:rPr>
        <w:t>、</w:t>
      </w:r>
      <w:r>
        <w:rPr>
          <w:rFonts w:hint="default" w:ascii="Times New Roman" w:hAnsi="Times New Roman" w:cs="Times New Roman"/>
          <w:color w:val="auto"/>
          <w:szCs w:val="24"/>
          <w:lang w:eastAsia="zh-CN"/>
        </w:rPr>
        <w:t>热风炉等燃气设备</w:t>
      </w:r>
      <w:r>
        <w:rPr>
          <w:rFonts w:hint="default" w:ascii="Times New Roman" w:hAnsi="Times New Roman" w:eastAsia="宋体" w:cs="Times New Roman"/>
          <w:color w:val="auto"/>
          <w:szCs w:val="24"/>
        </w:rPr>
        <w:t>点火前应对设备进行检维修，并严格按照操作规程进行作业。</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w:t>
      </w:r>
      <w:r>
        <w:rPr>
          <w:rFonts w:hint="default" w:ascii="Times New Roman" w:hAnsi="Times New Roman" w:eastAsia="宋体" w:cs="Times New Roman"/>
          <w:color w:val="auto"/>
          <w:szCs w:val="24"/>
          <w:lang w:val="en-US" w:eastAsia="zh-CN"/>
        </w:rPr>
        <w:t>1</w:t>
      </w:r>
      <w:r>
        <w:rPr>
          <w:rFonts w:hint="default" w:ascii="Times New Roman" w:hAnsi="Times New Roman" w:eastAsia="宋体" w:cs="Times New Roman"/>
          <w:color w:val="auto"/>
          <w:szCs w:val="24"/>
        </w:rPr>
        <w:t>、有腐蚀性及毒性介质的管道，除使用该管线的建筑物、构筑物外，均不得采用建筑物、构筑物支撑式敷设。</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w:t>
      </w:r>
      <w:r>
        <w:rPr>
          <w:rFonts w:hint="default" w:ascii="Times New Roman" w:hAnsi="Times New Roman" w:eastAsia="宋体" w:cs="Times New Roman"/>
          <w:color w:val="auto"/>
          <w:szCs w:val="24"/>
          <w:lang w:val="en-US" w:eastAsia="zh-CN"/>
        </w:rPr>
        <w:t>2</w:t>
      </w:r>
      <w:r>
        <w:rPr>
          <w:rFonts w:hint="default" w:ascii="Times New Roman" w:hAnsi="Times New Roman" w:eastAsia="宋体" w:cs="Times New Roman"/>
          <w:color w:val="auto"/>
          <w:szCs w:val="24"/>
        </w:rPr>
        <w:t>、管架与建筑物、构筑物之间的最小水平间距应符合《工业企业总平面设计规范》表8.3.9的规定。</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w:t>
      </w:r>
      <w:r>
        <w:rPr>
          <w:rFonts w:hint="default" w:ascii="Times New Roman" w:hAnsi="Times New Roman" w:eastAsia="宋体" w:cs="Times New Roman"/>
          <w:color w:val="auto"/>
          <w:szCs w:val="24"/>
          <w:lang w:val="en-US" w:eastAsia="zh-CN"/>
        </w:rPr>
        <w:t>3</w:t>
      </w:r>
      <w:r>
        <w:rPr>
          <w:rFonts w:hint="default" w:ascii="Times New Roman" w:hAnsi="Times New Roman" w:eastAsia="宋体" w:cs="Times New Roman"/>
          <w:color w:val="auto"/>
          <w:szCs w:val="24"/>
        </w:rPr>
        <w:t>、用天然气作为燃料的生产厂房应按要求配备可燃气体检测报警仪。</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w:t>
      </w:r>
      <w:r>
        <w:rPr>
          <w:rFonts w:hint="default" w:ascii="Times New Roman" w:hAnsi="Times New Roman" w:eastAsia="宋体" w:cs="Times New Roman"/>
          <w:color w:val="auto"/>
          <w:szCs w:val="24"/>
          <w:lang w:val="en-US" w:eastAsia="zh-CN"/>
        </w:rPr>
        <w:t>4</w:t>
      </w:r>
      <w:r>
        <w:rPr>
          <w:rFonts w:hint="default" w:ascii="Times New Roman" w:hAnsi="Times New Roman" w:eastAsia="宋体" w:cs="Times New Roman"/>
          <w:color w:val="auto"/>
          <w:szCs w:val="24"/>
        </w:rPr>
        <w:t>、天然气使用区域应通风良好。保证空气中天然气最高含量不超过1%（体积）。采用机械通风的建筑物，进风口应设在建筑物下方，排风口设在上方。</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w:t>
      </w:r>
      <w:r>
        <w:rPr>
          <w:rFonts w:hint="default" w:ascii="Times New Roman" w:hAnsi="Times New Roman" w:eastAsia="宋体" w:cs="Times New Roman"/>
          <w:color w:val="auto"/>
          <w:szCs w:val="24"/>
          <w:lang w:val="en-US" w:eastAsia="zh-CN"/>
        </w:rPr>
        <w:t>5</w:t>
      </w:r>
      <w:r>
        <w:rPr>
          <w:rFonts w:hint="default" w:ascii="Times New Roman" w:hAnsi="Times New Roman" w:eastAsia="宋体" w:cs="Times New Roman"/>
          <w:color w:val="auto"/>
          <w:szCs w:val="24"/>
        </w:rPr>
        <w:t>、罐区围堰及事故废水池应具有相应的防腐及净化处置措施，废水应回收或净化处置。</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w:t>
      </w:r>
      <w:r>
        <w:rPr>
          <w:rFonts w:hint="default" w:ascii="Times New Roman" w:hAnsi="Times New Roman" w:eastAsia="宋体" w:cs="Times New Roman"/>
          <w:color w:val="auto"/>
          <w:szCs w:val="24"/>
          <w:lang w:val="en-US" w:eastAsia="zh-CN"/>
        </w:rPr>
        <w:t>6</w:t>
      </w:r>
      <w:r>
        <w:rPr>
          <w:rFonts w:hint="default" w:ascii="Times New Roman" w:hAnsi="Times New Roman" w:eastAsia="宋体" w:cs="Times New Roman"/>
          <w:color w:val="auto"/>
          <w:szCs w:val="24"/>
        </w:rPr>
        <w:t>、生产系统应根据工作岗位作业介质的酸碱特性设置硼酸洗液、碳酸氢钠洗液、洗眼器、淋洗器等装置，服务半径不应大于15m，所产生的废水应汇入生产废水处理系统。</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lang w:val="en-US" w:eastAsia="zh-CN"/>
        </w:rPr>
        <w:t>17</w:t>
      </w:r>
      <w:r>
        <w:rPr>
          <w:rFonts w:hint="default" w:ascii="Times New Roman" w:hAnsi="Times New Roman" w:eastAsia="宋体" w:cs="Times New Roman"/>
          <w:color w:val="auto"/>
          <w:szCs w:val="24"/>
        </w:rPr>
        <w:t>、腐蚀环境建、构筑物上的裸露防雷装置，应有防腐措施。宜利用建筑物的内部钢筋作应有为接闪器、引下线和接地体。</w:t>
      </w:r>
    </w:p>
    <w:p>
      <w:pPr>
        <w:ind w:firstLine="560" w:firstLineChars="200"/>
        <w:rPr>
          <w:rFonts w:hint="default" w:ascii="Times New Roman" w:hAnsi="Times New Roman" w:eastAsia="宋体" w:cs="Times New Roman"/>
          <w:color w:val="auto"/>
          <w:szCs w:val="24"/>
        </w:rPr>
      </w:pPr>
      <w:r>
        <w:rPr>
          <w:rFonts w:hint="default" w:ascii="Times New Roman" w:hAnsi="Times New Roman" w:cs="Times New Roman"/>
          <w:color w:val="auto"/>
          <w:szCs w:val="24"/>
          <w:lang w:val="en-US" w:eastAsia="zh-CN"/>
        </w:rPr>
        <w:t>18</w:t>
      </w:r>
      <w:r>
        <w:rPr>
          <w:rFonts w:hint="default" w:ascii="Times New Roman" w:hAnsi="Times New Roman" w:eastAsia="宋体" w:cs="Times New Roman"/>
          <w:color w:val="auto"/>
          <w:szCs w:val="24"/>
        </w:rPr>
        <w:t>、从配电室或控制室通向户外或腐蚀性厂房的电缆，在穿墙部位应予以防腐、防火封堵。穿墙孔洞及保护管的空隙同样予以防腐、防火密封。腐蚀环境现场控制电器和其他电气设施（如控制箱、检修电源箱、接插件、分线箱、灯具等），应按腐蚀环境类别选用相应的防腐电工产品。</w:t>
      </w:r>
    </w:p>
    <w:p>
      <w:pPr>
        <w:ind w:firstLine="560" w:firstLineChars="200"/>
        <w:rPr>
          <w:rFonts w:hint="default" w:ascii="Times New Roman" w:hAnsi="Times New Roman" w:eastAsia="宋体" w:cs="Times New Roman"/>
          <w:color w:val="auto"/>
          <w:szCs w:val="24"/>
        </w:rPr>
      </w:pPr>
      <w:r>
        <w:rPr>
          <w:rFonts w:hint="default" w:ascii="Times New Roman" w:hAnsi="Times New Roman" w:cs="Times New Roman"/>
          <w:color w:val="auto"/>
          <w:szCs w:val="24"/>
          <w:lang w:val="en-US" w:eastAsia="zh-CN"/>
        </w:rPr>
        <w:t>19</w:t>
      </w:r>
      <w:r>
        <w:rPr>
          <w:rFonts w:hint="default" w:ascii="Times New Roman" w:hAnsi="Times New Roman" w:eastAsia="宋体" w:cs="Times New Roman"/>
          <w:color w:val="auto"/>
          <w:szCs w:val="24"/>
        </w:rPr>
        <w:t>、户内腐蚀环境配电装置、控制装置、电力变压器、电动机、控制电器和仪表、灯具电缆电缆桥架等用电设备应根据环境类别选用：1类（中等腐蚀环境）内，防腐级别不应低于F1级防腐型；2类（中等腐蚀环境）内，防腐级别不应低于F2级防腐型；户外腐蚀环境配电装置、控制装置、电力变压器、电动机、控制电器和仪表、灯具电缆电缆桥架等用电设备应根据环境类别选用：1类（中等腐蚀环境）内，防腐级别不应低于WF1级防腐型；2类（中等腐蚀环境）内，防腐级别不应低于WF2级防腐型。</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w:t>
      </w:r>
      <w:r>
        <w:rPr>
          <w:rFonts w:hint="default" w:ascii="Times New Roman" w:hAnsi="Times New Roman" w:cs="Times New Roman"/>
          <w:color w:val="auto"/>
          <w:szCs w:val="24"/>
          <w:lang w:val="en-US" w:eastAsia="zh-CN"/>
        </w:rPr>
        <w:t>0</w:t>
      </w:r>
      <w:r>
        <w:rPr>
          <w:rFonts w:hint="default" w:ascii="Times New Roman" w:hAnsi="Times New Roman" w:eastAsia="宋体" w:cs="Times New Roman"/>
          <w:color w:val="auto"/>
          <w:szCs w:val="24"/>
        </w:rPr>
        <w:t>、储存、输送酸</w:t>
      </w:r>
      <w:r>
        <w:rPr>
          <w:rFonts w:hint="default" w:ascii="Times New Roman" w:hAnsi="Times New Roman" w:cs="Times New Roman"/>
          <w:color w:val="auto"/>
          <w:szCs w:val="24"/>
          <w:lang w:eastAsia="zh-CN"/>
        </w:rPr>
        <w:t>类</w:t>
      </w:r>
      <w:r>
        <w:rPr>
          <w:rFonts w:hint="default" w:ascii="Times New Roman" w:hAnsi="Times New Roman" w:eastAsia="宋体" w:cs="Times New Roman"/>
          <w:color w:val="auto"/>
          <w:szCs w:val="24"/>
        </w:rPr>
        <w:t>强腐蚀性化学物料的储罐、泵、管道等应按其特性选材，其周围地面、排水管道及基础应作防腐处理。腐蚀性介质的测量仪表管线，应有相应的隔离、冲洗、吹气等防护措施。</w:t>
      </w:r>
    </w:p>
    <w:p>
      <w:pPr>
        <w:ind w:firstLine="56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2</w:t>
      </w:r>
      <w:r>
        <w:rPr>
          <w:rFonts w:hint="default" w:ascii="Times New Roman" w:hAnsi="Times New Roman" w:cs="Times New Roman"/>
          <w:color w:val="auto"/>
          <w:szCs w:val="24"/>
          <w:lang w:val="en-US" w:eastAsia="zh-CN"/>
        </w:rPr>
        <w:t>1</w:t>
      </w:r>
      <w:r>
        <w:rPr>
          <w:rFonts w:hint="default" w:ascii="Times New Roman" w:hAnsi="Times New Roman" w:eastAsia="宋体" w:cs="Times New Roman"/>
          <w:color w:val="auto"/>
          <w:szCs w:val="24"/>
          <w:lang w:val="en-US" w:eastAsia="zh-CN"/>
        </w:rPr>
        <w:t>、火灾初期产生大量烟的场所，应选择线型光束感烟火灾探测器、管路吸气式感烟火灾探测器或图像型感烟火灾探测器。</w:t>
      </w:r>
    </w:p>
    <w:p>
      <w:pPr>
        <w:ind w:firstLine="544" w:firstLineChars="200"/>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spacing w:val="-4"/>
          <w:sz w:val="28"/>
          <w:szCs w:val="28"/>
          <w:lang w:val="en-US" w:eastAsia="zh-CN"/>
        </w:rPr>
        <w:t>2</w:t>
      </w:r>
      <w:r>
        <w:rPr>
          <w:rFonts w:hint="default" w:ascii="Times New Roman" w:hAnsi="Times New Roman" w:eastAsia="宋体" w:cs="Times New Roman"/>
          <w:color w:val="auto"/>
          <w:szCs w:val="24"/>
          <w:lang w:val="en-US" w:eastAsia="zh-CN"/>
        </w:rPr>
        <w:t>2、严禁用临时火嘴烘炉，容易导致</w:t>
      </w:r>
      <w:r>
        <w:rPr>
          <w:rFonts w:hint="default" w:ascii="Times New Roman" w:hAnsi="Times New Roman" w:cs="Times New Roman"/>
          <w:color w:val="auto"/>
          <w:szCs w:val="24"/>
          <w:lang w:val="en-US" w:eastAsia="zh-CN"/>
        </w:rPr>
        <w:t>热风炉等燃气设备</w:t>
      </w:r>
      <w:r>
        <w:rPr>
          <w:rFonts w:hint="default" w:ascii="Times New Roman" w:hAnsi="Times New Roman" w:eastAsia="宋体" w:cs="Times New Roman"/>
          <w:color w:val="auto"/>
          <w:szCs w:val="24"/>
          <w:lang w:val="en-US" w:eastAsia="zh-CN"/>
        </w:rPr>
        <w:t>发生爆炸事故。</w:t>
      </w:r>
    </w:p>
    <w:p>
      <w:pPr>
        <w:ind w:firstLine="56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23、正式燃烧器点火操作前应让化验室做测爆分析。</w:t>
      </w:r>
    </w:p>
    <w:p>
      <w:pPr>
        <w:ind w:firstLine="56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24</w:t>
      </w:r>
      <w:r>
        <w:rPr>
          <w:rFonts w:hint="default" w:ascii="Times New Roman" w:hAnsi="Times New Roman" w:cs="Times New Roman"/>
          <w:color w:val="auto"/>
          <w:szCs w:val="24"/>
          <w:lang w:val="en-US" w:eastAsia="zh-CN"/>
        </w:rPr>
        <w:t>、在反应前，应将</w:t>
      </w:r>
      <w:r>
        <w:rPr>
          <w:rFonts w:hint="default" w:ascii="Times New Roman" w:hAnsi="Times New Roman" w:eastAsia="宋体" w:cs="Times New Roman"/>
          <w:color w:val="auto"/>
          <w:szCs w:val="24"/>
          <w:lang w:val="en-US" w:eastAsia="zh-CN"/>
        </w:rPr>
        <w:t>炉内置换彻底，</w:t>
      </w:r>
      <w:r>
        <w:rPr>
          <w:rFonts w:hint="default" w:ascii="Times New Roman" w:hAnsi="Times New Roman" w:cs="Times New Roman"/>
          <w:color w:val="auto"/>
          <w:szCs w:val="24"/>
          <w:lang w:val="en-US" w:eastAsia="zh-CN"/>
        </w:rPr>
        <w:t>防止</w:t>
      </w:r>
      <w:r>
        <w:rPr>
          <w:rFonts w:hint="default" w:ascii="Times New Roman" w:hAnsi="Times New Roman" w:eastAsia="宋体" w:cs="Times New Roman"/>
          <w:color w:val="auto"/>
          <w:szCs w:val="24"/>
          <w:lang w:val="en-US" w:eastAsia="zh-CN"/>
        </w:rPr>
        <w:t>点火爆炸的可能。</w:t>
      </w:r>
    </w:p>
    <w:p>
      <w:pPr>
        <w:spacing w:line="600" w:lineRule="exact"/>
        <w:ind w:firstLine="573"/>
        <w:rPr>
          <w:rFonts w:hint="default" w:ascii="Times New Roman" w:hAnsi="Times New Roman" w:eastAsia="宋体" w:cs="Times New Roman"/>
          <w:color w:val="auto"/>
          <w:spacing w:val="-4"/>
          <w:sz w:val="28"/>
          <w:szCs w:val="28"/>
          <w:lang w:val="en-US" w:eastAsia="zh-CN"/>
        </w:rPr>
      </w:pPr>
      <w:r>
        <w:rPr>
          <w:rFonts w:hint="default" w:ascii="Times New Roman" w:hAnsi="Times New Roman" w:cs="Times New Roman"/>
          <w:color w:val="auto"/>
          <w:spacing w:val="-4"/>
          <w:sz w:val="28"/>
          <w:szCs w:val="28"/>
          <w:lang w:val="en-US" w:eastAsia="zh-CN"/>
        </w:rPr>
        <w:t>25、应定期对管式反应器进行检维修，</w:t>
      </w:r>
      <w:r>
        <w:rPr>
          <w:rFonts w:hint="default" w:ascii="Times New Roman" w:hAnsi="Times New Roman" w:cs="Times New Roman"/>
          <w:color w:val="auto"/>
          <w:lang w:eastAsia="zh-CN"/>
        </w:rPr>
        <w:t>防止设备的氨气管线连接处出现泄漏，导致火灾爆炸、中毒窒息事故</w:t>
      </w:r>
      <w:r>
        <w:rPr>
          <w:rFonts w:hint="default" w:ascii="Times New Roman" w:hAnsi="Times New Roman" w:eastAsia="宋体" w:cs="Times New Roman"/>
          <w:color w:val="auto"/>
          <w:lang w:eastAsia="zh-CN"/>
        </w:rPr>
        <w:t>。</w:t>
      </w:r>
    </w:p>
    <w:p>
      <w:pPr>
        <w:spacing w:line="600" w:lineRule="exact"/>
        <w:ind w:firstLine="573"/>
        <w:rPr>
          <w:rFonts w:hint="default" w:ascii="Times New Roman" w:hAnsi="Times New Roman" w:eastAsia="宋体" w:cs="Times New Roman"/>
          <w:color w:val="auto"/>
          <w:spacing w:val="-4"/>
          <w:sz w:val="28"/>
          <w:szCs w:val="28"/>
          <w:lang w:val="en-US" w:eastAsia="zh-CN"/>
        </w:rPr>
      </w:pPr>
      <w:r>
        <w:rPr>
          <w:rFonts w:hint="default" w:ascii="Times New Roman" w:hAnsi="Times New Roman" w:cs="Times New Roman"/>
          <w:color w:val="auto"/>
          <w:spacing w:val="-4"/>
          <w:sz w:val="28"/>
          <w:szCs w:val="28"/>
          <w:lang w:val="en-US" w:eastAsia="zh-CN"/>
        </w:rPr>
        <w:t>26、</w:t>
      </w:r>
      <w:r>
        <w:rPr>
          <w:rFonts w:hint="eastAsia" w:cs="Times New Roman"/>
          <w:color w:val="auto"/>
          <w:spacing w:val="-4"/>
          <w:sz w:val="28"/>
          <w:szCs w:val="28"/>
          <w:lang w:val="en-US" w:eastAsia="zh-CN"/>
        </w:rPr>
        <w:t>热风炉等</w:t>
      </w:r>
      <w:r>
        <w:rPr>
          <w:rFonts w:hint="default" w:ascii="Times New Roman" w:hAnsi="Times New Roman" w:cs="Times New Roman"/>
          <w:color w:val="auto"/>
          <w:spacing w:val="-4"/>
          <w:sz w:val="28"/>
          <w:szCs w:val="28"/>
          <w:lang w:val="en-US" w:eastAsia="zh-CN"/>
        </w:rPr>
        <w:t>燃气设备应设置熄火保护功能、火焰监测和自动点火装置、泄爆装置。</w:t>
      </w:r>
    </w:p>
    <w:p>
      <w:pPr>
        <w:spacing w:line="600" w:lineRule="exact"/>
        <w:ind w:firstLine="573"/>
        <w:rPr>
          <w:rFonts w:hint="default" w:ascii="Times New Roman" w:hAnsi="Times New Roman" w:eastAsia="宋体" w:cs="Times New Roman"/>
          <w:color w:val="auto"/>
          <w:spacing w:val="-4"/>
          <w:sz w:val="28"/>
          <w:szCs w:val="28"/>
          <w:lang w:val="en-US" w:eastAsia="zh-CN"/>
        </w:rPr>
      </w:pPr>
      <w:r>
        <w:rPr>
          <w:rFonts w:hint="default" w:ascii="Times New Roman" w:hAnsi="Times New Roman" w:cs="Times New Roman"/>
          <w:color w:val="auto"/>
          <w:spacing w:val="-4"/>
          <w:sz w:val="28"/>
          <w:szCs w:val="28"/>
          <w:lang w:val="en-US" w:eastAsia="zh-CN"/>
        </w:rPr>
        <w:t>27、热风炉等</w:t>
      </w:r>
      <w:r>
        <w:rPr>
          <w:rFonts w:hint="default" w:ascii="Times New Roman" w:hAnsi="Times New Roman" w:eastAsia="宋体" w:cs="Times New Roman"/>
          <w:color w:val="auto"/>
          <w:spacing w:val="-4"/>
          <w:sz w:val="28"/>
          <w:szCs w:val="28"/>
          <w:lang w:val="en-US" w:eastAsia="zh-CN"/>
        </w:rPr>
        <w:t>燃气设备应设置燃气和有毒气体浓度检测报警装置</w:t>
      </w:r>
      <w:r>
        <w:rPr>
          <w:rFonts w:hint="default" w:ascii="Times New Roman" w:hAnsi="Times New Roman" w:cs="Times New Roman"/>
          <w:color w:val="auto"/>
          <w:spacing w:val="-4"/>
          <w:sz w:val="28"/>
          <w:szCs w:val="28"/>
          <w:lang w:val="en-US" w:eastAsia="zh-CN"/>
        </w:rPr>
        <w:t>、火灾自动报警和灭火系统、防雷和防静电措施、排烟设施、电气设备的防爆防火隔热措施、超压切断和放散装置。</w:t>
      </w:r>
    </w:p>
    <w:p>
      <w:pPr>
        <w:spacing w:line="600" w:lineRule="exact"/>
        <w:ind w:firstLine="573"/>
        <w:rPr>
          <w:rFonts w:hint="default" w:ascii="Times New Roman" w:hAnsi="Times New Roman" w:eastAsia="宋体" w:cs="Times New Roman"/>
          <w:color w:val="auto"/>
          <w:spacing w:val="-4"/>
          <w:sz w:val="28"/>
          <w:szCs w:val="28"/>
          <w:lang w:val="en-US" w:eastAsia="zh-CN"/>
        </w:rPr>
      </w:pPr>
      <w:r>
        <w:rPr>
          <w:rFonts w:hint="default" w:ascii="Times New Roman" w:hAnsi="Times New Roman" w:cs="Times New Roman"/>
          <w:color w:val="auto"/>
          <w:spacing w:val="-4"/>
          <w:sz w:val="28"/>
          <w:szCs w:val="28"/>
          <w:lang w:val="en-US" w:eastAsia="zh-CN"/>
        </w:rPr>
        <w:t>28、燃烧器的选择应适应气体燃料特性，并应符合下列规定：①能适应燃气成分在一定范围内的改变；②能较好地适应负荷变化；③具有微正压燃烧特性；④火焰形状与炉膛结构相适应；⑤噪声较低；⑥有利于降低氮氧化物排放。</w:t>
      </w:r>
    </w:p>
    <w:p>
      <w:pPr>
        <w:spacing w:line="600" w:lineRule="exact"/>
        <w:ind w:firstLine="573"/>
        <w:rPr>
          <w:rFonts w:hint="default" w:ascii="Times New Roman" w:hAnsi="Times New Roman" w:eastAsia="宋体" w:cs="Times New Roman"/>
          <w:color w:val="auto"/>
          <w:spacing w:val="-4"/>
          <w:sz w:val="28"/>
          <w:szCs w:val="28"/>
          <w:lang w:val="en-US" w:eastAsia="zh-CN"/>
        </w:rPr>
      </w:pPr>
      <w:r>
        <w:rPr>
          <w:rFonts w:hint="default" w:ascii="Times New Roman" w:hAnsi="Times New Roman" w:cs="Times New Roman"/>
          <w:color w:val="auto"/>
          <w:spacing w:val="-4"/>
          <w:sz w:val="28"/>
          <w:szCs w:val="28"/>
          <w:lang w:val="en-US" w:eastAsia="zh-CN"/>
        </w:rPr>
        <w:t>29、风道、烟道系统设计，应符合下列规定：①应使风道、烟道气密性好、附件少和阻力小；②单台设备配置两侧风道或2条烟道时，宜对称布置，且使每侧风道或每条烟道的阻力均衡；③对烟道和热风道的热膨胀，应采取补偿措施；④应在适当位置设置热工和环保等测点。</w:t>
      </w:r>
    </w:p>
    <w:p>
      <w:pPr>
        <w:spacing w:line="600" w:lineRule="exact"/>
        <w:ind w:firstLine="573"/>
        <w:rPr>
          <w:rFonts w:hint="default" w:ascii="Times New Roman" w:hAnsi="Times New Roman" w:eastAsia="宋体" w:cs="Times New Roman"/>
          <w:color w:val="auto"/>
          <w:spacing w:val="-4"/>
          <w:sz w:val="28"/>
          <w:szCs w:val="28"/>
          <w:lang w:val="en-US" w:eastAsia="zh-CN"/>
        </w:rPr>
      </w:pPr>
      <w:r>
        <w:rPr>
          <w:rFonts w:hint="default" w:ascii="Times New Roman" w:hAnsi="Times New Roman" w:cs="Times New Roman"/>
          <w:color w:val="auto"/>
          <w:spacing w:val="-4"/>
          <w:sz w:val="28"/>
          <w:szCs w:val="28"/>
          <w:lang w:val="en-US" w:eastAsia="zh-CN"/>
        </w:rPr>
        <w:t>30、热风炉等燃气设备应装设监测下列参数的指示仪表：1)燃烧器前的燃气压力；2)锅炉后或锅炉尾部受热面后的烟气温度；3)燃烧器前空气压力。</w:t>
      </w:r>
    </w:p>
    <w:p>
      <w:pPr>
        <w:spacing w:line="600" w:lineRule="exact"/>
        <w:ind w:firstLine="573"/>
        <w:rPr>
          <w:rFonts w:hint="default" w:ascii="Times New Roman" w:hAnsi="Times New Roman" w:eastAsia="宋体" w:cs="Times New Roman"/>
          <w:color w:val="auto"/>
          <w:spacing w:val="-4"/>
          <w:sz w:val="28"/>
          <w:szCs w:val="28"/>
          <w:lang w:val="en-US" w:eastAsia="zh-CN"/>
        </w:rPr>
      </w:pPr>
      <w:r>
        <w:rPr>
          <w:rFonts w:hint="default" w:ascii="Times New Roman" w:hAnsi="Times New Roman" w:cs="Times New Roman"/>
          <w:color w:val="auto"/>
          <w:spacing w:val="-4"/>
          <w:sz w:val="28"/>
          <w:szCs w:val="28"/>
          <w:lang w:val="en-US" w:eastAsia="zh-CN"/>
        </w:rPr>
        <w:t>31、可能超压的</w:t>
      </w:r>
      <w:r>
        <w:rPr>
          <w:rFonts w:hint="eastAsia" w:cs="Times New Roman"/>
          <w:color w:val="auto"/>
          <w:spacing w:val="-4"/>
          <w:sz w:val="28"/>
          <w:szCs w:val="28"/>
          <w:lang w:val="en-US" w:eastAsia="zh-CN"/>
        </w:rPr>
        <w:t>管式反应器</w:t>
      </w:r>
      <w:r>
        <w:rPr>
          <w:rFonts w:hint="default" w:ascii="Times New Roman" w:hAnsi="Times New Roman" w:cs="Times New Roman"/>
          <w:color w:val="auto"/>
          <w:spacing w:val="-4"/>
          <w:sz w:val="28"/>
          <w:szCs w:val="28"/>
          <w:lang w:val="en-US" w:eastAsia="zh-CN"/>
        </w:rPr>
        <w:t>及</w:t>
      </w:r>
      <w:r>
        <w:rPr>
          <w:rFonts w:hint="eastAsia" w:cs="Times New Roman"/>
          <w:color w:val="auto"/>
          <w:spacing w:val="-4"/>
          <w:sz w:val="28"/>
          <w:szCs w:val="28"/>
          <w:lang w:val="en-US" w:eastAsia="zh-CN"/>
        </w:rPr>
        <w:t>氨</w:t>
      </w:r>
      <w:r>
        <w:rPr>
          <w:rFonts w:hint="default" w:ascii="Times New Roman" w:hAnsi="Times New Roman" w:cs="Times New Roman"/>
          <w:color w:val="auto"/>
          <w:spacing w:val="-4"/>
          <w:sz w:val="28"/>
          <w:szCs w:val="28"/>
          <w:lang w:val="en-US" w:eastAsia="zh-CN"/>
        </w:rPr>
        <w:t>管道应设安全阀。</w:t>
      </w:r>
    </w:p>
    <w:p>
      <w:pPr>
        <w:spacing w:line="600" w:lineRule="exact"/>
        <w:ind w:firstLine="573"/>
        <w:rPr>
          <w:rFonts w:hint="default" w:ascii="Times New Roman" w:hAnsi="Times New Roman" w:eastAsia="宋体" w:cs="Times New Roman"/>
          <w:color w:val="auto"/>
          <w:spacing w:val="-4"/>
          <w:sz w:val="28"/>
          <w:szCs w:val="28"/>
          <w:lang w:val="en-US" w:eastAsia="zh-CN"/>
        </w:rPr>
      </w:pPr>
      <w:r>
        <w:rPr>
          <w:rFonts w:hint="default" w:ascii="Times New Roman" w:hAnsi="Times New Roman" w:cs="Times New Roman"/>
          <w:color w:val="auto"/>
          <w:spacing w:val="-4"/>
          <w:sz w:val="28"/>
          <w:szCs w:val="28"/>
          <w:lang w:val="en-US" w:eastAsia="zh-CN"/>
        </w:rPr>
        <w:t>32、热风炉等燃气设备宜装设燃烧过程自动调节装置。宜设置下列电气连锁装置：①当引风机故障时，应自动切断鼓风机和燃料供应；②当鼓风机故障时，应自动切断燃料供应；③当燃气压力低于规定值时，应自动切断燃气供应； ④当室内空气中可燃气体浓度高于规定值时，应自动切断燃气供应和开启事故通风机。</w:t>
      </w:r>
    </w:p>
    <w:p>
      <w:pPr>
        <w:spacing w:line="600" w:lineRule="exact"/>
        <w:ind w:firstLine="573"/>
        <w:rPr>
          <w:rFonts w:hint="default" w:ascii="Times New Roman" w:hAnsi="Times New Roman" w:eastAsia="宋体" w:cs="Times New Roman"/>
          <w:color w:val="auto"/>
          <w:spacing w:val="-4"/>
          <w:sz w:val="28"/>
          <w:szCs w:val="28"/>
          <w:lang w:val="en-US" w:eastAsia="zh-CN"/>
        </w:rPr>
      </w:pPr>
      <w:r>
        <w:rPr>
          <w:rFonts w:hint="default" w:ascii="Times New Roman" w:hAnsi="Times New Roman" w:cs="Times New Roman"/>
          <w:color w:val="auto"/>
          <w:spacing w:val="-4"/>
          <w:sz w:val="28"/>
          <w:szCs w:val="28"/>
          <w:lang w:val="en-US" w:eastAsia="zh-CN"/>
        </w:rPr>
        <w:t>33、化验室对烟气成分的化验能力应符合下列规定：①应能测定烟气含氧量或二氧化碳和一氧化碳含量；②应能测定烟气中氢、碳氢化合物等可燃物的含量；③应具备化验氮氧化物、二氧化硫、颗粒物等烟气中污染物含量的能力。</w:t>
      </w:r>
    </w:p>
    <w:p>
      <w:pPr>
        <w:spacing w:line="600" w:lineRule="exact"/>
        <w:ind w:firstLine="573"/>
        <w:rPr>
          <w:rFonts w:hint="default" w:ascii="Times New Roman" w:hAnsi="Times New Roman" w:eastAsia="宋体" w:cs="Times New Roman"/>
          <w:color w:val="auto"/>
          <w:spacing w:val="-4"/>
          <w:sz w:val="28"/>
          <w:szCs w:val="28"/>
          <w:lang w:val="en-US" w:eastAsia="zh-CN"/>
        </w:rPr>
      </w:pPr>
      <w:r>
        <w:rPr>
          <w:rFonts w:hint="default" w:ascii="Times New Roman" w:hAnsi="Times New Roman" w:cs="Times New Roman"/>
          <w:color w:val="auto"/>
          <w:spacing w:val="-4"/>
          <w:sz w:val="28"/>
          <w:szCs w:val="28"/>
          <w:lang w:val="en-US" w:eastAsia="zh-CN"/>
        </w:rPr>
        <w:t>34、防尘和防毒设施应依据车间自然通风风向、扬尘和逸散毒物的性质、作业点的位置和数量及作业方式等进行设计。经常有人来往的通道，应有自然通风或机械通风，并不宜敷设有毒液体或有毒气体的管道。</w:t>
      </w:r>
    </w:p>
    <w:p>
      <w:pPr>
        <w:spacing w:line="600" w:lineRule="exact"/>
        <w:ind w:firstLine="573"/>
        <w:rPr>
          <w:rFonts w:hint="default" w:ascii="Times New Roman" w:hAnsi="Times New Roman" w:eastAsia="宋体" w:cs="Times New Roman"/>
          <w:color w:val="auto"/>
          <w:spacing w:val="-6"/>
          <w:sz w:val="28"/>
          <w:szCs w:val="28"/>
          <w:lang w:val="en-US" w:eastAsia="zh-CN"/>
        </w:rPr>
      </w:pPr>
      <w:r>
        <w:rPr>
          <w:rFonts w:hint="default" w:ascii="Times New Roman" w:hAnsi="Times New Roman" w:cs="Times New Roman"/>
          <w:color w:val="auto"/>
          <w:spacing w:val="-6"/>
          <w:sz w:val="28"/>
          <w:szCs w:val="28"/>
          <w:lang w:val="en-US" w:eastAsia="zh-CN"/>
        </w:rPr>
        <w:t>35、具有化学灼伤危险的生产装置，其设备布置应保证作业场所有足够空间，并保证作业场所畅通，避免交叉作业。如果交叉作业不可避免，在危险作业点应装设避免化学灼伤危险的防护措施。</w:t>
      </w:r>
    </w:p>
    <w:p>
      <w:pPr>
        <w:spacing w:line="600" w:lineRule="exact"/>
        <w:ind w:firstLine="573"/>
        <w:rPr>
          <w:rFonts w:hint="default" w:ascii="Times New Roman" w:hAnsi="Times New Roman" w:eastAsia="宋体" w:cs="Times New Roman"/>
          <w:color w:val="auto"/>
          <w:spacing w:val="-6"/>
          <w:sz w:val="28"/>
          <w:szCs w:val="28"/>
          <w:lang w:val="en-US" w:eastAsia="zh-CN"/>
        </w:rPr>
      </w:pPr>
      <w:r>
        <w:rPr>
          <w:rFonts w:hint="default" w:ascii="Times New Roman" w:hAnsi="Times New Roman" w:cs="Times New Roman"/>
          <w:color w:val="auto"/>
          <w:spacing w:val="-6"/>
          <w:sz w:val="28"/>
          <w:szCs w:val="28"/>
          <w:lang w:val="en-US" w:eastAsia="zh-CN"/>
        </w:rPr>
        <w:t>36、为防止机械伤害事故，所有的危险部位必须设置安全标志，所有的转动部位必须加防护罩。起重行车、电动葫芦等要求有挡车装置。设备检修时，应执行工作票制度，断电并设置“有人工作、禁止起动”警告标志，应双人以上作业，做好监护工作。</w:t>
      </w:r>
    </w:p>
    <w:p>
      <w:pPr>
        <w:spacing w:line="600" w:lineRule="exact"/>
        <w:ind w:firstLine="573"/>
        <w:rPr>
          <w:rFonts w:hint="default" w:ascii="Times New Roman" w:hAnsi="Times New Roman" w:cs="Times New Roman"/>
          <w:color w:val="auto"/>
          <w:spacing w:val="-6"/>
          <w:sz w:val="28"/>
          <w:szCs w:val="28"/>
          <w:lang w:val="en-US" w:eastAsia="zh-CN"/>
        </w:rPr>
      </w:pPr>
      <w:r>
        <w:rPr>
          <w:rFonts w:hint="default" w:ascii="Times New Roman" w:hAnsi="Times New Roman" w:cs="Times New Roman"/>
          <w:color w:val="auto"/>
          <w:spacing w:val="-6"/>
          <w:sz w:val="28"/>
          <w:szCs w:val="28"/>
          <w:lang w:val="en-US" w:eastAsia="zh-CN"/>
        </w:rPr>
        <w:t>37、表面温度超过60℃的设备和管道，在下列范围内应设防烫伤隔热层：距地面或工作台高度2.1m以内者；距操作平台周围0.75m以内者。</w:t>
      </w:r>
    </w:p>
    <w:p>
      <w:pPr>
        <w:spacing w:line="600" w:lineRule="exact"/>
        <w:ind w:firstLine="573"/>
        <w:rPr>
          <w:rFonts w:hint="default" w:ascii="Times New Roman" w:hAnsi="Times New Roman" w:cs="Times New Roman"/>
          <w:color w:val="auto"/>
          <w:spacing w:val="-4"/>
          <w:sz w:val="28"/>
          <w:szCs w:val="28"/>
          <w:lang w:val="en-US" w:eastAsia="zh-CN"/>
        </w:rPr>
      </w:pPr>
      <w:r>
        <w:rPr>
          <w:rFonts w:hint="default" w:ascii="Times New Roman" w:hAnsi="Times New Roman" w:cs="Times New Roman"/>
          <w:color w:val="auto"/>
          <w:spacing w:val="-6"/>
          <w:sz w:val="28"/>
          <w:szCs w:val="28"/>
          <w:lang w:val="en-US" w:eastAsia="zh-CN"/>
        </w:rPr>
        <w:t>38、天然气系统的进气管线应设置防止超压的切断阀、阻火器、止回阀</w:t>
      </w:r>
      <w:r>
        <w:rPr>
          <w:rFonts w:hint="default" w:ascii="Times New Roman" w:hAnsi="Times New Roman" w:cs="Times New Roman"/>
          <w:color w:val="auto"/>
          <w:spacing w:val="-4"/>
          <w:sz w:val="28"/>
          <w:szCs w:val="28"/>
          <w:lang w:val="en-US" w:eastAsia="zh-CN"/>
        </w:rPr>
        <w:t>等。</w:t>
      </w:r>
    </w:p>
    <w:p>
      <w:pPr>
        <w:spacing w:line="600" w:lineRule="exact"/>
        <w:ind w:firstLine="573"/>
        <w:rPr>
          <w:rFonts w:hint="default" w:ascii="Times New Roman" w:hAnsi="Times New Roman" w:cs="Times New Roman"/>
          <w:color w:val="auto"/>
          <w:spacing w:val="-6"/>
          <w:sz w:val="28"/>
          <w:szCs w:val="28"/>
          <w:lang w:val="en-US" w:eastAsia="zh-CN"/>
        </w:rPr>
      </w:pPr>
      <w:r>
        <w:rPr>
          <w:rFonts w:hint="default" w:ascii="Times New Roman" w:hAnsi="Times New Roman" w:cs="Times New Roman"/>
          <w:color w:val="auto"/>
          <w:spacing w:val="-6"/>
          <w:sz w:val="28"/>
          <w:szCs w:val="28"/>
          <w:lang w:val="en-US" w:eastAsia="zh-CN"/>
        </w:rPr>
        <w:t>39、输送氨的管道不应靠近热源敷设；管道采用地上敷设时，应在人员活动较多和易遭车辆、外来物撞击的地段，采取保护措施并设置明显的警示标志；氨管道架空敷设时，管道应敷设在非燃烧体的支架或栈桥上。在已敷设的氨管道下面，不得修建与氨管道无关的建筑物和堆放易燃物品；氨管道外壁颜色、标志应执行《工业管道的基本识别色、识别符号和安全标识》（GB 7231）的规定。</w:t>
      </w:r>
    </w:p>
    <w:p>
      <w:pPr>
        <w:spacing w:line="600" w:lineRule="exact"/>
        <w:ind w:firstLine="573"/>
        <w:rPr>
          <w:rFonts w:hint="default" w:ascii="Times New Roman" w:hAnsi="Times New Roman" w:cs="Times New Roman"/>
          <w:color w:val="auto"/>
          <w:spacing w:val="-6"/>
          <w:sz w:val="28"/>
          <w:szCs w:val="28"/>
          <w:lang w:val="en-US" w:eastAsia="zh-CN"/>
        </w:rPr>
      </w:pPr>
      <w:r>
        <w:rPr>
          <w:rFonts w:hint="default" w:ascii="Times New Roman" w:hAnsi="Times New Roman" w:cs="Times New Roman"/>
          <w:color w:val="auto"/>
          <w:spacing w:val="-6"/>
          <w:sz w:val="28"/>
          <w:szCs w:val="28"/>
          <w:lang w:val="en-US" w:eastAsia="zh-CN"/>
        </w:rPr>
        <w:t>40、严禁利用氨气管道做电焊接地线。严禁用铁器敲击管道与阀体，以免引起火花。在含氨气环境中作业应采用以下防护措施：</w:t>
      </w:r>
    </w:p>
    <w:p>
      <w:pPr>
        <w:spacing w:line="600" w:lineRule="exact"/>
        <w:ind w:firstLine="573"/>
        <w:rPr>
          <w:rFonts w:hint="default" w:ascii="Times New Roman" w:hAnsi="Times New Roman" w:cs="Times New Roman"/>
          <w:color w:val="auto"/>
          <w:spacing w:val="-6"/>
          <w:sz w:val="28"/>
          <w:szCs w:val="28"/>
          <w:lang w:val="en-US" w:eastAsia="zh-CN"/>
        </w:rPr>
      </w:pPr>
      <w:r>
        <w:rPr>
          <w:rFonts w:hint="default" w:ascii="Times New Roman" w:hAnsi="Times New Roman" w:cs="Times New Roman"/>
          <w:color w:val="auto"/>
          <w:spacing w:val="-6"/>
          <w:sz w:val="28"/>
          <w:szCs w:val="28"/>
          <w:lang w:val="en-US" w:eastAsia="zh-CN"/>
        </w:rPr>
        <w:t>——根据不同作业环境配备相应的氨气检测仪及防护装置，并落实人员管理，使氨气检测仪及防护装置处于备用状态；</w:t>
      </w:r>
    </w:p>
    <w:p>
      <w:pPr>
        <w:spacing w:line="600" w:lineRule="exact"/>
        <w:ind w:firstLine="573"/>
        <w:rPr>
          <w:rFonts w:hint="default" w:ascii="Times New Roman" w:hAnsi="Times New Roman" w:cs="Times New Roman"/>
          <w:color w:val="auto"/>
          <w:spacing w:val="-6"/>
          <w:sz w:val="28"/>
          <w:szCs w:val="28"/>
          <w:lang w:val="en-US" w:eastAsia="zh-CN"/>
        </w:rPr>
      </w:pPr>
      <w:r>
        <w:rPr>
          <w:rFonts w:hint="default" w:ascii="Times New Roman" w:hAnsi="Times New Roman" w:cs="Times New Roman"/>
          <w:color w:val="auto"/>
          <w:spacing w:val="-6"/>
          <w:sz w:val="28"/>
          <w:szCs w:val="28"/>
          <w:lang w:val="en-US" w:eastAsia="zh-CN"/>
        </w:rPr>
        <w:t>——作业环境应设立风向标；</w:t>
      </w:r>
    </w:p>
    <w:p>
      <w:pPr>
        <w:spacing w:line="600" w:lineRule="exact"/>
        <w:ind w:firstLine="573"/>
        <w:rPr>
          <w:rFonts w:hint="default" w:ascii="Times New Roman" w:hAnsi="Times New Roman" w:cs="Times New Roman"/>
          <w:color w:val="auto"/>
          <w:spacing w:val="-6"/>
          <w:sz w:val="28"/>
          <w:szCs w:val="28"/>
          <w:lang w:val="en-US" w:eastAsia="zh-CN"/>
        </w:rPr>
      </w:pPr>
      <w:r>
        <w:rPr>
          <w:rFonts w:hint="default" w:ascii="Times New Roman" w:hAnsi="Times New Roman" w:cs="Times New Roman"/>
          <w:color w:val="auto"/>
          <w:spacing w:val="-6"/>
          <w:sz w:val="28"/>
          <w:szCs w:val="28"/>
          <w:lang w:val="en-US" w:eastAsia="zh-CN"/>
        </w:rPr>
        <w:t>——供气装置的空气压缩机应置于上风侧；</w:t>
      </w:r>
    </w:p>
    <w:p>
      <w:pPr>
        <w:spacing w:line="600" w:lineRule="exact"/>
        <w:ind w:firstLine="573"/>
        <w:rPr>
          <w:rFonts w:hint="default" w:ascii="Times New Roman" w:hAnsi="Times New Roman" w:cs="Times New Roman"/>
          <w:color w:val="auto"/>
          <w:spacing w:val="-6"/>
          <w:sz w:val="28"/>
          <w:szCs w:val="28"/>
          <w:lang w:val="en-US" w:eastAsia="zh-CN"/>
        </w:rPr>
      </w:pPr>
      <w:r>
        <w:rPr>
          <w:rFonts w:hint="default" w:ascii="Times New Roman" w:hAnsi="Times New Roman" w:cs="Times New Roman"/>
          <w:color w:val="auto"/>
          <w:spacing w:val="-6"/>
          <w:sz w:val="28"/>
          <w:szCs w:val="28"/>
          <w:lang w:val="en-US" w:eastAsia="zh-CN"/>
        </w:rPr>
        <w:t>——进行检修和抢修作业时，应携带氨气检测仪和正压式空气呼吸器。</w:t>
      </w:r>
    </w:p>
    <w:p>
      <w:pPr>
        <w:numPr>
          <w:ilvl w:val="0"/>
          <w:numId w:val="25"/>
        </w:numPr>
        <w:spacing w:line="600" w:lineRule="exact"/>
        <w:ind w:firstLine="573"/>
        <w:rPr>
          <w:rFonts w:hint="eastAsia" w:cs="Times New Roman"/>
          <w:color w:val="auto"/>
          <w:spacing w:val="-6"/>
          <w:sz w:val="28"/>
          <w:szCs w:val="28"/>
          <w:lang w:val="en-US" w:eastAsia="zh-CN"/>
        </w:rPr>
      </w:pPr>
      <w:r>
        <w:rPr>
          <w:rFonts w:hint="eastAsia" w:cs="Times New Roman"/>
          <w:color w:val="auto"/>
          <w:spacing w:val="-6"/>
          <w:sz w:val="28"/>
          <w:szCs w:val="28"/>
          <w:lang w:val="en-US" w:eastAsia="zh-CN"/>
        </w:rPr>
        <w:t>液氨管道设计应当有足够的腐蚀裕量。腐蚀裕量应当根据预期的管道使用寿命和介质对材料的腐蚀速率确定，并且还应当考虑介质流动时对管道或者受压元件的冲蚀量和局部腐蚀</w:t>
      </w:r>
      <w:r>
        <w:rPr>
          <w:rFonts w:hint="eastAsia" w:cs="Times New Roman"/>
          <w:color w:val="auto"/>
          <w:spacing w:val="-6"/>
          <w:sz w:val="28"/>
          <w:szCs w:val="28"/>
          <w:lang w:val="en-US" w:eastAsia="zh-CN"/>
        </w:rPr>
        <w:tab/>
      </w:r>
      <w:r>
        <w:rPr>
          <w:rFonts w:hint="eastAsia" w:cs="Times New Roman"/>
          <w:color w:val="auto"/>
          <w:spacing w:val="-6"/>
          <w:sz w:val="28"/>
          <w:szCs w:val="28"/>
          <w:lang w:val="en-US" w:eastAsia="zh-CN"/>
        </w:rPr>
        <w:t>以及应力腐蚀对管道的影响，以满足管道安全运行的要求。</w:t>
      </w:r>
    </w:p>
    <w:p>
      <w:pPr>
        <w:numPr>
          <w:ilvl w:val="0"/>
          <w:numId w:val="25"/>
        </w:numPr>
        <w:spacing w:line="600" w:lineRule="exact"/>
        <w:ind w:firstLine="573"/>
        <w:rPr>
          <w:rFonts w:hint="default" w:ascii="Times New Roman" w:hAnsi="Times New Roman" w:cs="Times New Roman"/>
          <w:color w:val="auto"/>
          <w:spacing w:val="-6"/>
          <w:sz w:val="28"/>
          <w:szCs w:val="28"/>
          <w:lang w:val="en-US" w:eastAsia="zh-CN"/>
        </w:rPr>
      </w:pPr>
      <w:r>
        <w:rPr>
          <w:rFonts w:hint="default" w:ascii="Times New Roman" w:hAnsi="Times New Roman" w:cs="Times New Roman"/>
          <w:color w:val="auto"/>
          <w:spacing w:val="-6"/>
          <w:sz w:val="28"/>
          <w:szCs w:val="28"/>
          <w:lang w:val="en-US" w:eastAsia="zh-CN"/>
        </w:rPr>
        <w:t>该项目应根据《江西省应急管理厅关于印发&lt;江西省化工企业自动化提升实施方案&gt;（施行）的通知》赣应急厅[2021]190号的要求完善自动化提升。①可燃液体或有毒液体的装置储罐应设置高液位报警并设高高液位联锁切断进料。装置高位槽应设置高液位报警并高高液位联锁切断进料或设溢流管道，宜设低低液位联锁停抽出泵或切断出料设施。②液位、压力、温度等测量仪表的选型、安装等应符合《石油化工自动化仪表选型设计规范》（SH/T3005）、《石油化工储运系统罐区设计规范》（SH/T3007）等规定。③除工艺特殊要求外，普通无机酸、碱储罐可不设联锁切断进料或停泵设施，应设置高低液位报警。④对于使用热媒加热的常压反应工艺，反应釜应设进料和热媒自动控制阀，通过改变进料流量或热媒流量调节反应温度。反应釜应设反应温度高高报警并联锁切断进料或联锁切断热媒，并联锁打开紧急冷却（含冷媒）系统。</w:t>
      </w:r>
    </w:p>
    <w:p>
      <w:pPr>
        <w:numPr>
          <w:ilvl w:val="0"/>
          <w:numId w:val="25"/>
        </w:numPr>
        <w:spacing w:line="600" w:lineRule="exact"/>
        <w:ind w:firstLine="573"/>
        <w:rPr>
          <w:rFonts w:hint="default" w:ascii="Times New Roman" w:hAnsi="Times New Roman" w:cs="Times New Roman"/>
          <w:color w:val="auto"/>
          <w:spacing w:val="-6"/>
          <w:sz w:val="28"/>
          <w:szCs w:val="28"/>
          <w:lang w:val="en-US" w:eastAsia="zh-CN"/>
        </w:rPr>
      </w:pPr>
      <w:r>
        <w:rPr>
          <w:rFonts w:hint="eastAsia" w:cs="Times New Roman"/>
          <w:color w:val="auto"/>
          <w:spacing w:val="-6"/>
          <w:sz w:val="28"/>
          <w:szCs w:val="28"/>
          <w:lang w:val="en-US" w:eastAsia="zh-CN"/>
        </w:rPr>
        <w:t>该项目液氨从九江心连心清洁生产综合利用项目的合成氨装置引入，应与原有装置设置液氨管线的紧急切断联锁。</w:t>
      </w:r>
    </w:p>
    <w:p>
      <w:pPr>
        <w:numPr>
          <w:ilvl w:val="0"/>
          <w:numId w:val="25"/>
        </w:numPr>
        <w:spacing w:line="600" w:lineRule="exact"/>
        <w:ind w:firstLine="573"/>
        <w:rPr>
          <w:rFonts w:hint="default" w:ascii="Times New Roman" w:hAnsi="Times New Roman" w:cs="Times New Roman"/>
          <w:color w:val="auto"/>
          <w:spacing w:val="-6"/>
          <w:sz w:val="28"/>
          <w:szCs w:val="28"/>
          <w:lang w:val="en-US" w:eastAsia="zh-CN"/>
        </w:rPr>
      </w:pPr>
      <w:r>
        <w:rPr>
          <w:rFonts w:hint="default" w:ascii="Times New Roman" w:hAnsi="Times New Roman" w:cs="Times New Roman"/>
          <w:color w:val="auto"/>
          <w:spacing w:val="-6"/>
          <w:sz w:val="28"/>
          <w:szCs w:val="28"/>
          <w:lang w:val="en-US" w:eastAsia="zh-CN"/>
        </w:rPr>
        <w:t>控制室应设置供气系统的监视与报警功能，包括气源总管压力指示、低限压力报警或联锁）、项目涉及的供气管路（注：含管路材质、管径）、供气管路敷设、气源连接与阀门设置</w:t>
      </w:r>
      <w:r>
        <w:rPr>
          <w:rFonts w:hint="eastAsia" w:cs="Times New Roman"/>
          <w:color w:val="auto"/>
          <w:spacing w:val="-6"/>
          <w:sz w:val="28"/>
          <w:szCs w:val="28"/>
          <w:lang w:val="en-US" w:eastAsia="zh-CN"/>
        </w:rPr>
        <w:t>。</w:t>
      </w:r>
    </w:p>
    <w:p>
      <w:pPr>
        <w:numPr>
          <w:ilvl w:val="0"/>
          <w:numId w:val="25"/>
        </w:numPr>
        <w:spacing w:line="600" w:lineRule="exact"/>
        <w:ind w:firstLine="573"/>
        <w:rPr>
          <w:rFonts w:hint="default" w:ascii="Times New Roman" w:hAnsi="Times New Roman" w:cs="Times New Roman"/>
          <w:color w:val="auto"/>
          <w:spacing w:val="-6"/>
          <w:sz w:val="28"/>
          <w:szCs w:val="28"/>
          <w:lang w:val="en-US" w:eastAsia="zh-CN"/>
        </w:rPr>
      </w:pPr>
      <w:r>
        <w:rPr>
          <w:rFonts w:hint="default" w:ascii="Times New Roman" w:hAnsi="Times New Roman" w:cs="Times New Roman"/>
          <w:color w:val="auto"/>
          <w:spacing w:val="-6"/>
          <w:sz w:val="28"/>
          <w:szCs w:val="28"/>
          <w:lang w:val="en-US" w:eastAsia="zh-CN"/>
        </w:rPr>
        <w:t>控制站应具有实现各种物理信号的输入和处理，实现各种实时常规连续控制功能，且应配建相应（或相似）的功能模块，如常规仪表功能模块：输入指示类、调节器类、手操器类、信号设置类、信号限幅类、信号选择器类、信号分配器类、信号报警器类等功能模块；计算功能模块：数值计算类、模拟计算类、时间函数类、趋势计算类、开关类、设定类等功能模块。</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9.2.2.4危险化学品生产或者储存过程配套和辅助工程方面</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1、根据化学性质、火灾危险性分类储存，性质相抵触或消防要求不同的危险化学品应分开储存。储存时应按相互禁忌性原则分区、隔离存放在仓库不同隔间。</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2、储罐区应采取防水或排水措施，一般要求储罐区防火堤内应设置含有阀门等封闭、隔离装置的雨水排水管。</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3、储罐等应按规定安装液位计，液位计应有安全可靠的防护罩。</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4、储罐区应设置警示标志及物料周知卡。</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5、定期对储罐进行安全检查，检查有毒物质是否清理，有无泄漏等异常现象。</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6、库存物品应当分类、分垛储存，每垛占地面积不宜大于一百平方米，垛与垛间距不小于一米，垛与墙间距不小于零点五米，垛与梁、柱间距不小于零点三米，主要通道的宽度不小于二米。</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7、仓库保管员应当熟悉储存物品的分类、性质保管业务知识和防火安全制度，掌握消防器材的操作使用和维护保养方法，做好本岗位的防火工作。</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8、仓库的安全出口应分散布置。每个防火分区或一个防火分区的每个楼层，其相邻2个安全出口最近边缘之间的水平距离不应小于5m。</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9、</w:t>
      </w:r>
      <w:r>
        <w:rPr>
          <w:rFonts w:hint="default" w:ascii="Times New Roman" w:hAnsi="Times New Roman" w:cs="Times New Roman"/>
          <w:color w:val="auto"/>
          <w:lang w:eastAsia="zh-CN"/>
        </w:rPr>
        <w:t>盐酸和硫酸</w:t>
      </w:r>
      <w:r>
        <w:rPr>
          <w:rFonts w:hint="default" w:ascii="Times New Roman" w:hAnsi="Times New Roman" w:eastAsia="宋体" w:cs="Times New Roman"/>
          <w:color w:val="auto"/>
        </w:rPr>
        <w:t>罐区应设置围堰、漏液回收及事故处理设施。</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、防火堤及隔堤设计应符合下列规定：</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①防火堤及隔堤应能承受所容纳液体的静压，并应采取防渗漏措施。</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②立式储罐防火堤的高度应比计算值高出0.2m，且应为1.0m～2.2m；卧式储罐防火堤的高度不应低于0.5m；堤高低限以堤内设计地坪标高起算，堤高高限以堤外3m范围内设计地坪标高起算。</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③立式储罐组内隔堤高度不应低于0.5m，卧式储罐组内隔堤高度不应低于0.3m。</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④在管道穿堤处应采用不燃烧材料严密封堵。</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⑤在雨水沟穿堤处应采取防止可燃液体流出堤外的措施。</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⑥在防火堤的不同方位应设置人行台阶，同一方位上两个相邻人行台阶的距离不宜大于60m，隔堤应设置人行台阶。</w:t>
      </w:r>
    </w:p>
    <w:p>
      <w:pPr>
        <w:numPr>
          <w:ilvl w:val="0"/>
          <w:numId w:val="0"/>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11</w:t>
      </w:r>
      <w:r>
        <w:rPr>
          <w:rFonts w:hint="default" w:ascii="Times New Roman" w:hAnsi="Times New Roman" w:eastAsia="宋体" w:cs="Times New Roman"/>
          <w:color w:val="auto"/>
        </w:rPr>
        <w:t>储存、输送强腐蚀性化学物料的储罐、泵、管道等应按其特性选材，其周围地面、排水管道及基础应作防腐处理。腐蚀性介质的测量仪表管线，应有相应的隔离、冲洗、吹气等防护措施。</w:t>
      </w:r>
    </w:p>
    <w:p>
      <w:pPr>
        <w:numPr>
          <w:ilvl w:val="0"/>
          <w:numId w:val="0"/>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罐区装卸时，应对鹤管（充装臂）、密封件，快速切断阀门等进行检查，发现问题及时处理，严防泄漏。</w:t>
      </w:r>
    </w:p>
    <w:p>
      <w:pPr>
        <w:numPr>
          <w:ilvl w:val="0"/>
          <w:numId w:val="0"/>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13、</w:t>
      </w:r>
      <w:r>
        <w:rPr>
          <w:rFonts w:hint="default" w:ascii="Times New Roman" w:hAnsi="Times New Roman" w:eastAsia="宋体" w:cs="Times New Roman"/>
          <w:color w:val="auto"/>
        </w:rPr>
        <w:t>罐区围堰及事故废水池应具有相应的防腐及净化处置措施，废水应回收或净化处置。</w:t>
      </w:r>
    </w:p>
    <w:p>
      <w:pPr>
        <w:numPr>
          <w:ilvl w:val="0"/>
          <w:numId w:val="0"/>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w:t>
      </w:r>
      <w:r>
        <w:rPr>
          <w:rFonts w:hint="eastAsia" w:cs="Times New Roman"/>
          <w:color w:val="auto"/>
          <w:lang w:val="en-US" w:eastAsia="zh-CN"/>
        </w:rPr>
        <w:t>4</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输送酸性物料应采用耐腐蚀的管道，管道法兰处宜设置防喷罩。</w:t>
      </w:r>
    </w:p>
    <w:p>
      <w:pPr>
        <w:numPr>
          <w:ilvl w:val="0"/>
          <w:numId w:val="0"/>
        </w:num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5</w:t>
      </w:r>
      <w:r>
        <w:rPr>
          <w:rFonts w:hint="default" w:ascii="Times New Roman" w:hAnsi="Times New Roman" w:cs="Times New Roman"/>
          <w:color w:val="auto"/>
          <w:lang w:val="en-US" w:eastAsia="zh-CN"/>
        </w:rPr>
        <w:t>、户外应用的储罐因为应用多年以后，因为外界表面老化，造成脱落或化学纤维露出。2到3年在罐体外界涂上一层抗氧化性紫外线消化吸收环氧树脂，防止老化，增加使用期限。玻璃钢容器在安全检查时，检测好机器设备，对罐体维修。高处设备设置梯子、平台等防止高处坠落。</w:t>
      </w:r>
    </w:p>
    <w:p>
      <w:pPr>
        <w:numPr>
          <w:ilvl w:val="0"/>
          <w:numId w:val="0"/>
        </w:num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6</w:t>
      </w:r>
      <w:r>
        <w:rPr>
          <w:rFonts w:hint="default" w:ascii="Times New Roman" w:hAnsi="Times New Roman" w:cs="Times New Roman"/>
          <w:color w:val="auto"/>
          <w:lang w:val="en-US" w:eastAsia="zh-CN"/>
        </w:rPr>
        <w:t>、该项目涉及的盐酸、硫酸储罐的储存量较大，应定期进行防沉降观测，应完善储罐的防沉降观察和柔性连接。</w:t>
      </w:r>
    </w:p>
    <w:p>
      <w:pPr>
        <w:numPr>
          <w:ilvl w:val="0"/>
          <w:numId w:val="0"/>
        </w:numPr>
        <w:ind w:firstLine="56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17、涉及氨的重点设施，应设置紧急切断装置、泄漏物紧急处置装置。</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9.2.2.5事故应急救援措施和器材设备方面</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1）该项目中接触</w:t>
      </w:r>
      <w:r>
        <w:rPr>
          <w:rFonts w:hint="default" w:ascii="Times New Roman" w:hAnsi="Times New Roman" w:eastAsia="宋体" w:cs="Times New Roman"/>
          <w:color w:val="auto"/>
          <w:lang w:eastAsia="zh-CN"/>
        </w:rPr>
        <w:t>氯化氢、</w:t>
      </w:r>
      <w:r>
        <w:rPr>
          <w:rFonts w:hint="default" w:ascii="Times New Roman" w:hAnsi="Times New Roman" w:cs="Times New Roman"/>
          <w:color w:val="auto"/>
          <w:lang w:eastAsia="zh-CN"/>
        </w:rPr>
        <w:t>氨</w:t>
      </w:r>
      <w:r>
        <w:rPr>
          <w:rFonts w:hint="default" w:ascii="Times New Roman" w:hAnsi="Times New Roman" w:eastAsia="宋体" w:cs="Times New Roman"/>
          <w:color w:val="auto"/>
        </w:rPr>
        <w:t>等有毒有害气体的作业人员应配备自吸过滤式防毒面具（全面罩）；岗位至少配备两套长管式防毒面具；配置化学安全防护眼镜、穿防静电工作服、戴橡胶手套等；</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2）对存在吸入性有毒、有害气体的</w:t>
      </w:r>
      <w:r>
        <w:rPr>
          <w:rFonts w:hint="default" w:ascii="Times New Roman" w:hAnsi="Times New Roman" w:eastAsia="宋体" w:cs="Times New Roman"/>
          <w:color w:val="auto"/>
          <w:lang w:eastAsia="zh-CN"/>
        </w:rPr>
        <w:t>场所</w:t>
      </w:r>
      <w:r>
        <w:rPr>
          <w:rFonts w:hint="default" w:ascii="Times New Roman" w:hAnsi="Times New Roman" w:eastAsia="宋体" w:cs="Times New Roman"/>
          <w:color w:val="auto"/>
        </w:rPr>
        <w:t>应当配备便携式浓度检测设备、空气呼吸器、化学防护服、堵漏器材等应急器材和设备；涉及易燃易爆气体或者易燃液体蒸气的</w:t>
      </w:r>
      <w:r>
        <w:rPr>
          <w:rFonts w:hint="default" w:ascii="Times New Roman" w:hAnsi="Times New Roman" w:eastAsia="宋体" w:cs="Times New Roman"/>
          <w:color w:val="auto"/>
          <w:lang w:eastAsia="zh-CN"/>
        </w:rPr>
        <w:t>场所</w:t>
      </w:r>
      <w:r>
        <w:rPr>
          <w:rFonts w:hint="default" w:ascii="Times New Roman" w:hAnsi="Times New Roman" w:eastAsia="宋体" w:cs="Times New Roman"/>
          <w:color w:val="auto"/>
        </w:rPr>
        <w:t>，还应当配备一定数量的便携式可燃气体检测设备。</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3）企业应按照AQ3013-2008第5.6.2条规定，在有可能产生各类危险的醒目位置设置安全标志；至少在生产区的入口，厂房、储罐区等危险物品存在区域设置安全标志、职业危害警示标识。</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罐区应设置音视频监控报警系统，监视突发的危险因素或初期的火灾报警等情况。摄像头的设置个数和位置，应根据罐区现场的实际情况而定，既要覆盖全面，也要重点考虑危险性较大的区域。摄像视频监控报警系统应可实现与危险参数监控报警的联动。</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）项目单位应当依据实际情况，编制事故应急预案，应急预案的编制应按照《生产经营单位生产安全事故应急预案编制导则》（GB/T29639-2020）进行；配合地方人民政府</w:t>
      </w:r>
      <w:r>
        <w:rPr>
          <w:rFonts w:hint="default" w:ascii="Times New Roman" w:hAnsi="Times New Roman" w:cs="Times New Roman"/>
          <w:color w:val="auto"/>
          <w:lang w:eastAsia="zh-CN"/>
        </w:rPr>
        <w:t>应急管理</w:t>
      </w:r>
      <w:r>
        <w:rPr>
          <w:rFonts w:hint="default" w:ascii="Times New Roman" w:hAnsi="Times New Roman" w:eastAsia="宋体" w:cs="Times New Roman"/>
          <w:color w:val="auto"/>
        </w:rPr>
        <w:t>部门制定所在地区涉及本单位的危险化学品事故应急预案。</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）预案编制应重点考虑以下因素：(1)</w:t>
      </w:r>
      <w:r>
        <w:rPr>
          <w:rFonts w:hint="default" w:ascii="Times New Roman" w:hAnsi="Times New Roman" w:eastAsia="宋体" w:cs="Times New Roman"/>
          <w:color w:val="auto"/>
          <w:lang w:eastAsia="zh-CN"/>
        </w:rPr>
        <w:t>盐酸、硫酸、天然气</w:t>
      </w:r>
      <w:r>
        <w:rPr>
          <w:rFonts w:hint="eastAsia" w:cs="Times New Roman"/>
          <w:color w:val="auto"/>
          <w:lang w:eastAsia="zh-CN"/>
        </w:rPr>
        <w:t>、氨</w:t>
      </w:r>
      <w:r>
        <w:rPr>
          <w:rFonts w:hint="default" w:ascii="Times New Roman" w:hAnsi="Times New Roman" w:eastAsia="宋体" w:cs="Times New Roman"/>
          <w:color w:val="auto"/>
        </w:rPr>
        <w:t>等泄漏、着火爆炸及人员中毒；(2)停料、水、电、汽、仪表等；(3)触电、高处坠落；（4）特种设备。</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）在高处设置风向袋或风向标，在厂区常年主导风向的两侧设立安全区域用于人员疏散或集结，应急疏散路线和安全集结区域应有明显的标志。</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）针对</w:t>
      </w:r>
      <w:r>
        <w:rPr>
          <w:rFonts w:hint="default" w:ascii="Times New Roman" w:hAnsi="Times New Roman" w:eastAsia="宋体" w:cs="Times New Roman"/>
          <w:color w:val="auto"/>
          <w:lang w:eastAsia="zh-CN"/>
        </w:rPr>
        <w:t>盐酸、硫酸</w:t>
      </w:r>
      <w:r>
        <w:rPr>
          <w:rFonts w:hint="default" w:ascii="Times New Roman" w:hAnsi="Times New Roman" w:eastAsia="宋体" w:cs="Times New Roman"/>
          <w:color w:val="auto"/>
        </w:rPr>
        <w:t>泄漏，应选用合适的堵漏器具。在充分考虑防腐措施后，迅速实施堵漏。用于堵漏器具的材质应使用耐</w:t>
      </w:r>
      <w:r>
        <w:rPr>
          <w:rFonts w:hint="default" w:ascii="Times New Roman" w:hAnsi="Times New Roman" w:eastAsia="宋体" w:cs="Times New Roman"/>
          <w:color w:val="auto"/>
          <w:lang w:eastAsia="zh-CN"/>
        </w:rPr>
        <w:t>盐酸、硫酸</w:t>
      </w:r>
      <w:r>
        <w:rPr>
          <w:rFonts w:hint="default" w:ascii="Times New Roman" w:hAnsi="Times New Roman" w:eastAsia="宋体" w:cs="Times New Roman"/>
          <w:color w:val="auto"/>
        </w:rPr>
        <w:t>腐蚀的材质。</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具有化学灼伤危险的作业区，应设计必要的洗眼器、淋洗器等安全防护措施，并在装置区设置救护箱。工作人员配备必要的个人防护用品。生产过程中接触强酸、强碱和易经皮肤吸收的毒物的场所，应设现场人身冲洗设施和洗眼器。具有化学灼伤危险的作业区，应设计必要的洗眼器、淋洗器等安全防护措施，并在装置区设置救护箱。工作人员配备必要的个人防护用品。</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）存在有毒物质的车间应按要求配备防毒面具，每个岗位应配备不应少于当班人员数量的过滤式防毒面具。</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11</w:t>
      </w:r>
      <w:r>
        <w:rPr>
          <w:rFonts w:hint="default" w:ascii="Times New Roman" w:hAnsi="Times New Roman" w:eastAsia="宋体" w:cs="Times New Roman"/>
          <w:color w:val="auto"/>
        </w:rPr>
        <w:t>）进入有限空间作业时，必须做到“先通风、再检测、后作业”，严禁通风、检测不合格作业。必须严格实行作业审批制度，严禁擅自进入有限空间作业，必须配备个人防中毒窒息等防护装备，设置安全警示标识，严禁无防护监护措施作业。必须对作业人员进行安全培训，严禁教育培训不合格上岗作业。必须制定应急措施，现场配备应急装备，严禁盲目施救。</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）配备泄漏、防漏和堵漏装备和工具器材，泄漏报警时，可及时控制泄漏。针对罐区物料的种类和性质，配备相应的个体防护用品，泄漏时用于应急防护。罐区应设置物料的应急排放设备和场所，以备应急使用。</w:t>
      </w:r>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13）发生氨泄漏时，事故单位主要负责人应当立即安装本单位危险化学品应急预案组织救援，并向当地应急管理部门和环境保护、公安、卫生主管部门报告。</w:t>
      </w:r>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氨发生泄漏时，救援人员未到达前，应疏散无关人员撤离事故区域，禁止车辆通行，泄漏现场严禁烟火，相关单位应采取相应的措施进行自救。进行泄漏现场处理、处置时应做好个体防护。在没有防护的情况下，任何人不应暴露在能够或可能危害健康的环境中。泄漏现场工作人员禁止饮水和进食。呼吸系统防护宜选择正压式呼吸器或符合GB2890的要求的自吸过滤式防毒面具。切断泄漏源时，必须在开花水枪或喷雾水枪的掩护下，谨慎操作。若条件允许，操作人员应站在上风口。</w:t>
      </w:r>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针对氨气管道泄漏等情况，应选用合适的堵漏器具。在充分考虑防腐措施后，迅速实施堵漏。用于堵漏器具的材质应使用耐氨腐蚀的材质。管道发生微孔状泄漏时，宜采用螺丝钉加聚四氟乙烯胶带旋进泄漏孔的方法堵漏。管道发生缝隙状泄漏时，宜使用耐碱的外封式堵漏袋、封堵套管、电磁式堵漏工具或堵漏夹具堵漏。管道发生孔洞状泄漏时，宜使用各种耐碱的堵漏夹具堵漏。</w:t>
      </w:r>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16）针对氨泄漏处置后被污染的设备、设施、工具、器材及防护用品等，由救险人员用开花或喷雾水流进行集中洗消，再用水进行冲洗，冲洗的水统一收集，再进行处置，防止二次污染。</w:t>
      </w:r>
    </w:p>
    <w:p>
      <w:pPr>
        <w:ind w:firstLine="560" w:firstLineChars="200"/>
        <w:rPr>
          <w:rFonts w:hint="eastAsia" w:cs="Times New Roman"/>
          <w:color w:val="auto"/>
          <w:lang w:val="en-US" w:eastAsia="zh-CN"/>
        </w:rPr>
      </w:pPr>
      <w:r>
        <w:rPr>
          <w:rFonts w:hint="eastAsia" w:cs="Times New Roman"/>
          <w:color w:val="auto"/>
          <w:lang w:val="en-US" w:eastAsia="zh-CN"/>
        </w:rPr>
        <w:t>17）该项目中接触氨气等的作业人员应配备自吸过滤式防毒面具（全面罩）；岗位至少配备两套长管式防毒面具；接触氨的操作岗位应至少配备两套正压式空气呼吸器、长管式防毒面具、全封闭防化服等防护器具。应配置两套以上重型防护服；使用防爆型的通风系统和设备。配置化学安全防护眼镜、穿防静电工作服、戴橡胶手套等。</w:t>
      </w:r>
    </w:p>
    <w:p>
      <w:pPr>
        <w:ind w:firstLine="56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18）液氨如果发生泄漏，救援人员达到现场后应尽快设置防护、隔离区，少量泄漏时下风向疏散距离白天为100m，夜间为200m；大量泄漏时下风向疏散距离白天为800m，夜间为2000m。</w:t>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9.2.3施工过程</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1、施工现场涉及到现有生产装置，应将现有装置纳入施工管理的要求中。施工现场做好防护隔离措施，禁止无关人员随意进入。</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遵循科学性、系统性、综合性、实用性的原则对装置施工和恢复过程中的危险和有害因素进行识别，尽可能全面地识别危害因素，确保施工安全。从物的不安全状态、人的不安全行为、有害作业环境、管理缺陷4个方面分别对施工的具体作业活动、设备设施、环境因素等进行详细全面的分析，从而采取措施，消除危害，保证了装置建设的安全施工和运行装置的平稳运行</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涉及施工现场的装置应严格落实安全措施，确保装置操作平稳。加强工艺控制，不超温、超压；在施工期间，加强装置现场的监督检查，对装置出现的缺陷及时进行处理，避免装置内跑冒滴漏的发生；加强岗位的巡回检查，增加巡检次数，严格执行交接班制度；发现问题及时解决，避免事态扩大，确保生产安全和施工安全；遇有紧急情况时，及时报警，通知施工现场停止动火作业。</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4、施工现场必须配备足量的灭火器、防火布等消防器材。施工单位要成立施工安全组织管理体系，明确分工落实责任。对施工人员进行施工前的安全教育，增加其安全意识和防范意识。</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5、施工现场严格执行用火、吊装、登高、进入受限空间、破土、临时用电、断路的管理规定，在装置区的施工动火应全为一级动火，节假日期间升级管理。</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进行大型设备的吊装作业时，施工单位必须按照国家标准规定对起重机械进行安全检查，严格执行《起重作业安全管理规定》，起重指挥人员、司索人员和起重机械人员属于特种作业人员，必须持有《特种作业人员操作证》；在采用两台或多台起重机吊装同一重物时，施工前必须使所有参加施工人员清楚地了解吊装方案、起重的周围情况、起重机械与地面的固定的设施情况，划定不准闲人进入的危险区并派人作好监护。整个施工过程必须严格执行吊装方案，遵守安全技术操作规程。</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7、吊装运输、安装大型设备时，首先进行危险性预分析，编制施工预案和安全措施。</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8、由建设单位、施工单位向有关部门和有关生产车间进行工程施工交底，建设单位组织审议施工单位的施工方案、施工安全管理办法和施工安全措施并双方确认落实。</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9、严格执行票证制度，凡是动火、破土、高处作业、吊装、断路、进入受限空间作业等一律办理相应的许可证。</w:t>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9.2.4安全管理对策措施建议</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一、安全管理机构和人员配置</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eastAsia="zh-CN"/>
        </w:rPr>
        <w:t>江西心连心化学工业有限公司</w:t>
      </w:r>
      <w:r>
        <w:rPr>
          <w:rFonts w:hint="default" w:ascii="Times New Roman" w:hAnsi="Times New Roman" w:eastAsia="宋体" w:cs="Times New Roman"/>
          <w:color w:val="auto"/>
        </w:rPr>
        <w:t>应完善安全生产管理系统。</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公司应设置安全生产管理的职能部门，应设有专职的安全管理人员，车间应配设专（兼）职安全员，班组应配设兼职安全员。该项目应设专职安全员，保证专职安全员数不少于从业人员的2%。公司实行3班2运转制，</w:t>
      </w:r>
      <w:r>
        <w:rPr>
          <w:rFonts w:hint="eastAsia" w:cs="Times New Roman"/>
          <w:color w:val="auto"/>
          <w:lang w:val="en-US" w:eastAsia="zh-CN"/>
        </w:rPr>
        <w:t>应</w:t>
      </w:r>
      <w:r>
        <w:rPr>
          <w:rFonts w:hint="default" w:ascii="Times New Roman" w:hAnsi="Times New Roman" w:eastAsia="宋体" w:cs="Times New Roman"/>
          <w:color w:val="auto"/>
        </w:rPr>
        <w:t>要求每班至少安排一名安全管理人员在岗。</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3、生产经营单位的主要负责人和安全生产管理人员必须具备与本单位所从事的生产经营活动相应的安全生产知识和管理能力。</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危险物品的生产单位主要负责人和安全生产管理人员，应当由主管的负有安全生产监督管理职责的部门对其安全生产知识和管理能力考核合格。危险物品的生产单位应当有注册安全工程师从事安全生产管理工作。</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二、安全管理制度</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eastAsia="zh-CN"/>
        </w:rPr>
        <w:t>江西心连心化学工业有限公司</w:t>
      </w:r>
      <w:r>
        <w:rPr>
          <w:rFonts w:hint="default" w:ascii="Times New Roman" w:hAnsi="Times New Roman" w:eastAsia="宋体" w:cs="Times New Roman"/>
          <w:color w:val="auto"/>
        </w:rPr>
        <w:t>应完善全员安全生产责任制，安全教育管理制度，安全检查管理制度，防火、防爆安全管理制度，危险物品安全管理制度等一系列安全生产管理制度。</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2、公司安全教育应执行公司、车间、班组三级安全教育制度，岗位操作人员应进行专门的安全知识和技术培训，特殊工种操作人员按规定进行专业培训和考核取证。</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3、事故管理严格执行“四不放过”原则，应建立相应的事故台帐。</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新装置投用前企业应规定从业人员文化素质要求，变招工为招生，加强从业人员专业技能培养。工厂开工建设后，企业就应招录操作人员，使操作人员在上岗前先接受规范的基础知识和专业理论培训。装置试生产前，企业要完成全体管理人员和操作人员岗位技能培训，确保全体管理人员和操作人员考核合格后参加全过程的生产准备。</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企业应根据建设项目生产工艺、技术、设备特点，原材料、辅助材料及产品的危险性，组织有关技术人员和有经验的员工，对所有的操作活动进行风险分析，制定相应的控制和预防措施，作为编制操作规程的依据，并根据生产操作岗位的设立情况，编制操作规程</w:t>
      </w:r>
      <w:r>
        <w:rPr>
          <w:rFonts w:hint="default" w:ascii="Times New Roman" w:hAnsi="Times New Roman" w:cs="Times New Roman"/>
          <w:color w:val="auto"/>
          <w:lang w:eastAsia="zh-CN"/>
        </w:rPr>
        <w:t>，</w:t>
      </w:r>
      <w:r>
        <w:rPr>
          <w:rFonts w:hint="default" w:ascii="Times New Roman" w:hAnsi="Times New Roman" w:eastAsia="宋体" w:cs="Times New Roman"/>
          <w:color w:val="auto"/>
        </w:rPr>
        <w:t>并发放到相关岗位。</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6、操作规程应包括下列内容：a) 开车操作程序；b) 停车操作程序；c) 正常运行操作程序；d) 紧急停车操作程序；e) 接触化学品的危险性；f) 各种操作参数、指标；g) 操作过程安全注意事项；h) 异常情况安全处置措施；i) 配置的安全设施，包括事故应急处置设施、个体安全防护设施；j) 自救药品等。</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7、应当按照国家有关规定，定期对安全设施和安全监测监控系统进行检测、检验，并进行经常性维护、保养，保证重大危险源的安全设施和安全监测监控系统有效、可靠运行。维护、保养、检测应当作好记录，并由有关人员签字。</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w:t>
      </w:r>
      <w:r>
        <w:rPr>
          <w:rFonts w:hint="default" w:ascii="Times New Roman" w:hAnsi="Times New Roman" w:cs="Times New Roman"/>
          <w:color w:val="auto"/>
          <w:lang w:eastAsia="zh-CN"/>
        </w:rPr>
        <w:t>企业应对安全附件制定检维修计划，定期对其进行保养、维修；</w:t>
      </w:r>
      <w:r>
        <w:rPr>
          <w:rFonts w:hint="default" w:ascii="Times New Roman" w:hAnsi="Times New Roman" w:eastAsia="宋体" w:cs="Times New Roman"/>
          <w:color w:val="auto"/>
        </w:rPr>
        <w:t>企业检维修作业要建立并不断完善危险作业许可制度，规范动火、进入受限空间、动土、临时用电、高处作业、断路、吊装、抽堵盲板等特殊作业安全条件和审批程序。实施特殊作业前，必须办理审批手续。</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企业检维修作业前，必须进行风险分析、确认安全条件，确保作业人员了解作业风险和掌握风险控制措施、作业环境符合安全要求、预防和控制风险措施得到落实。危险作业审批人员要在现场检查确认后签发作业许可证。现场监护人员要熟悉作业范围内的工艺、设备和物料状态，具备应急救援和处置能力。作业过程中，管理人员要加强现场监督检查，严禁监护人员擅离现场。</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、直接从事特种作业的从业人员应根据《特种作业人员安全技术培训考核管理规定》，必须接受专业培训，并取得专业培训合格和上岗证，方可上岗作业。</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三、特种设备、特种作业人员的管理</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1、特种设备应按要求检验及办理使用登记证，特种设备操作人员应按要求进行培训和取证。</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该项目所属压力容器应在建设过程中进行安装检验，并办理登记使用证，以后定期进行检验并出具检验报告。企业对所有特种设备应建立管理档案。要及时建立设备档案。工程进行过程中，加强对设备、设施等材料收集、整理和管理工作，以便查阅。</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3、特种作业人员应经专业培训并取得具有资质的机构发放的作业许可证，企业应建有管理档案。</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四、日常安全管理</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1、公司应每年定期召开安全生产例会，有重大事情临时召集；每月召开安全生产例会。</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2、企业日常安全卫生管理应按管理制度的具体要求进行，各级管理人员经常深入生产现场进行安全巡查，操作人员应按规定对设备及工艺运行情况进行巡回检查；设备有大、中、小修计划。</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操作人员、维修人员执行巡回检查制度，及时发现不正常现象并采取必要措施进行处理、汇报；消除设备跑、冒、滴、漏；严格执行工艺指标及岗位操作规程，严禁违章操作及超温超压现象发生；做好事故预想和演练工作，出现紧急情况做到忙而不乱，把事故消除在萌芽状态。</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4、职工个人防护用品的发放、管理按要求执行，职工应按规定使用劳动保护用品，按规定执行女职工劳动保护要求。</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5、对职工定期应进行体检并建立职工健康档案。</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6、加强对以下四种火源的安全管理</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①明火：如生产过程中的加热用火和维修用火等；</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②摩擦与撞击产生的火花；</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③电气火花和静电火花；</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④其它火源：高温表面可产生自燃的物质、烟囱飞火、烟头、机动车辆排气管、光热射线等。</w:t>
      </w:r>
    </w:p>
    <w:p>
      <w:pPr>
        <w:numPr>
          <w:ilvl w:val="0"/>
          <w:numId w:val="26"/>
        </w:numPr>
        <w:ind w:firstLine="560" w:firstLineChars="200"/>
        <w:rPr>
          <w:rFonts w:hint="eastAsia" w:cs="Times New Roman"/>
          <w:color w:val="auto"/>
          <w:lang w:val="en-US" w:eastAsia="zh-CN"/>
        </w:rPr>
      </w:pPr>
      <w:r>
        <w:rPr>
          <w:rFonts w:hint="eastAsia" w:cs="Times New Roman"/>
          <w:color w:val="auto"/>
          <w:lang w:val="en-US" w:eastAsia="zh-CN"/>
        </w:rPr>
        <w:t>管道使用单位应当建立管道安全技术档案并且妥善保管。管道安全技术档案应当包括以下内容：①管道元件产品质量证明、管道设计文件（包括平面布置图、轴测图等图纸）、管道安装质量证明、安装技术文件和资料、安装质量监督检验证书、使用维护说明等文件；②管道定期检验和定期自行检查的记录；③管道日常使用状况记录；④管道安全保护装置、测量调控装置以及相关附属仪器仪表的日常维护保养记录；⑤管道运行故障和事故记录。</w:t>
      </w:r>
    </w:p>
    <w:p>
      <w:pPr>
        <w:numPr>
          <w:ilvl w:val="0"/>
          <w:numId w:val="26"/>
        </w:numPr>
        <w:ind w:firstLine="56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压力管道使用单位应当对管道进行经常性维护保养，并且做出记录，存入管道技术档案。发现情况异常应当及时处理。</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五、事故应急预案</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eastAsia="zh-CN"/>
        </w:rPr>
        <w:t>江西心连心化学工业有限公司</w:t>
      </w:r>
      <w:r>
        <w:rPr>
          <w:rFonts w:hint="default" w:ascii="Times New Roman" w:hAnsi="Times New Roman" w:eastAsia="宋体" w:cs="Times New Roman"/>
          <w:color w:val="auto"/>
        </w:rPr>
        <w:t>应制定事故应急预案，确定危险源的分布，明确指挥系统及各职能部门的职责，建立抢险专业队伍，制定事故应急处理程序及处理措施，规定人员疏散、撤离路线及集合地点，定期进行演练。</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2、企业应针对该项目的危险目标制定相应的事故应急预案，并纳入整体预案之中，并组织相应的救援队伍或专业人员学习、演练。</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3、根据《生产安全事故应急预案管理办法》要求，应急预案应经过评审或论证，由生产经营单位主要负责人签署公布。建设单位应将编制的应急救援预案报属地安全生产监督管理局备案。</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4、企业应遵循“疏散救人、划定区域、有序处置、确保安全”的应急原则，当发生物料泄漏时，首先查明泄露部位，根据泄漏量大小，采取相应措施，启动本预案。</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5、危险化学品单位应当制定事故应急预案演练计划，并按照下列要求进行事故应急预案演练：（1）对专项应急预案，每年至少进行一次；（2）对现场处置方案，每半年至少进行一次。</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6、应急预案演练结束后，危险化学品单位应当对应急预案演练效果进行评估，撰写应急预案演练评估报告，分析存在的问题，对应急预案提出修订意见，并及时修订完善。</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六、事故应急救援措施和器材设备方面</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1、对存在吸入性有毒、有害气体的</w:t>
      </w:r>
      <w:r>
        <w:rPr>
          <w:rFonts w:hint="default" w:ascii="Times New Roman" w:hAnsi="Times New Roman" w:eastAsia="宋体" w:cs="Times New Roman"/>
          <w:color w:val="auto"/>
          <w:lang w:eastAsia="zh-CN"/>
        </w:rPr>
        <w:t>场所</w:t>
      </w:r>
      <w:r>
        <w:rPr>
          <w:rFonts w:hint="default" w:ascii="Times New Roman" w:hAnsi="Times New Roman" w:eastAsia="宋体" w:cs="Times New Roman"/>
          <w:color w:val="auto"/>
        </w:rPr>
        <w:t>，危险化学品单位应当配备便携式浓度检测设备、空气呼吸器、化学防护服、堵漏器材等应急器材和设备。</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消防应急救援设备和器材</w:t>
      </w:r>
      <w:r>
        <w:rPr>
          <w:rFonts w:hint="default" w:ascii="Times New Roman" w:hAnsi="Times New Roman" w:eastAsia="宋体" w:cs="Times New Roman"/>
          <w:color w:val="auto"/>
        </w:rPr>
        <w:t>，应设在距危险点较远和便于操作的地点。</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、在厂房或高处设置风向袋或风向标，在厂区常年主导风向的两侧设立安全区域；用于人员疏散或集结，应急疏散路线和安全集结区域应有明显的标志。</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八</w:t>
      </w:r>
      <w:r>
        <w:rPr>
          <w:rFonts w:hint="default" w:ascii="Times New Roman" w:hAnsi="Times New Roman" w:eastAsia="宋体" w:cs="Times New Roman"/>
          <w:color w:val="auto"/>
        </w:rPr>
        <w:t>、其他</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1、在项目建设中，在明确甲、乙双方在施工期间的安全职责，加强与施工单位的联系和沟通，监督和配合施工单位共同做好建筑施工过程中的安全防范工作。</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2、在项目采购和安装环节严格把关。材质必须清楚，建立档案。</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3、在项目施工过程中，应严格执行作业票证制度，加强监护工作；存在交叉作业的场所应采取相应的围护或设立警示标志，所有进入人员必须戴安全帽。</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4、加强对施工人员的安全教育，制定相应的安全管理规定。</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5、项目施工过程和竣工后，应严格按规定进行验收，确保施工、设备安装质量。</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6、项目试生产运行期间，应制订试生产安全运行方案，搜集和积累资料，不断补充和完善安全操作规程。</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7、在生产、使用岗位设立危险化学品安全技术说明书周知栏。</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8、为避免运输事故的发生，厂内道路的设计、车辆的装载和驾驶、车辆及驾驶员的管理必须符合《工业企业内铁路、道路运输安全规程》（GB4387-2008）的规定，并设有安全标志。厂外运输应委托具有相应运输资质、能力的单位和车辆，车辆应按规定设置警示标志。</w:t>
      </w:r>
    </w:p>
    <w:p>
      <w:pPr>
        <w:ind w:firstLine="56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9、涉及硫酸、盐酸为第三类易制毒化学品，应当建立单位内部易制毒化学品管理制度。购买第三类易制毒化学品的，应当在购买前将所需购买的品种、数量，向所在地的县级人民政府公安机关备案。</w:t>
      </w:r>
    </w:p>
    <w:p>
      <w:pPr>
        <w:rPr>
          <w:rFonts w:hint="default" w:ascii="Times New Roman" w:hAnsi="Times New Roman" w:eastAsia="黑体" w:cs="Times New Roman"/>
          <w:color w:val="auto"/>
          <w:kern w:val="10"/>
          <w:sz w:val="32"/>
          <w:szCs w:val="32"/>
          <w:lang w:val="en-US" w:eastAsia="zh-CN" w:bidi="ar-SA"/>
        </w:rPr>
      </w:pPr>
      <w:bookmarkStart w:id="125" w:name="_Toc24452"/>
      <w:r>
        <w:rPr>
          <w:rFonts w:hint="default" w:ascii="Times New Roman" w:hAnsi="Times New Roman" w:eastAsia="黑体" w:cs="Times New Roman"/>
          <w:color w:val="auto"/>
          <w:kern w:val="10"/>
          <w:sz w:val="32"/>
          <w:szCs w:val="32"/>
          <w:lang w:val="en-US" w:eastAsia="zh-CN" w:bidi="ar-SA"/>
        </w:rPr>
        <w:br w:type="page"/>
      </w:r>
    </w:p>
    <w:p>
      <w:pPr>
        <w:keepNext/>
        <w:keepLines/>
        <w:widowControl w:val="0"/>
        <w:spacing w:line="600" w:lineRule="exact"/>
        <w:jc w:val="center"/>
        <w:outlineLvl w:val="0"/>
        <w:rPr>
          <w:rFonts w:hint="default" w:ascii="Times New Roman" w:hAnsi="Times New Roman" w:eastAsia="黑体" w:cs="Times New Roman"/>
          <w:color w:val="auto"/>
          <w:kern w:val="10"/>
          <w:sz w:val="32"/>
          <w:szCs w:val="32"/>
          <w:lang w:val="en-US" w:eastAsia="zh-CN" w:bidi="ar-SA"/>
        </w:rPr>
      </w:pPr>
      <w:bookmarkStart w:id="126" w:name="_Toc29779"/>
      <w:r>
        <w:rPr>
          <w:rFonts w:hint="default" w:ascii="Times New Roman" w:hAnsi="Times New Roman" w:eastAsia="黑体" w:cs="Times New Roman"/>
          <w:color w:val="auto"/>
          <w:kern w:val="10"/>
          <w:sz w:val="32"/>
          <w:szCs w:val="32"/>
          <w:lang w:val="en-US" w:eastAsia="zh-CN" w:bidi="ar-SA"/>
        </w:rPr>
        <w:t>10安全评价结论</w:t>
      </w:r>
      <w:bookmarkEnd w:id="125"/>
      <w:bookmarkEnd w:id="126"/>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27" w:name="_Toc9086"/>
      <w:bookmarkStart w:id="128" w:name="_Toc31051"/>
      <w:bookmarkStart w:id="129" w:name="_Toc25107"/>
      <w:bookmarkStart w:id="130" w:name="_Toc18383"/>
      <w:r>
        <w:rPr>
          <w:rFonts w:hint="default" w:ascii="Times New Roman" w:hAnsi="Times New Roman" w:eastAsia="楷体" w:cs="Times New Roman"/>
          <w:b/>
          <w:bCs/>
          <w:color w:val="auto"/>
          <w:kern w:val="2"/>
          <w:sz w:val="32"/>
          <w:szCs w:val="32"/>
          <w:lang w:val="en-US" w:eastAsia="zh-CN" w:bidi="ar-SA"/>
        </w:rPr>
        <w:t>10.1主要危险、有害因素辨识结果简述</w:t>
      </w:r>
      <w:bookmarkEnd w:id="127"/>
      <w:bookmarkEnd w:id="128"/>
      <w:bookmarkEnd w:id="129"/>
      <w:bookmarkEnd w:id="130"/>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1、通过危险、有害因素辨识与分析可知，该项目的危险、有害因素有火灾、其他爆炸、容器爆炸、中毒和窒息、灼烫、触电、机械伤害、</w:t>
      </w:r>
      <w:r>
        <w:rPr>
          <w:rFonts w:hint="default" w:ascii="Times New Roman" w:hAnsi="Times New Roman" w:cs="Times New Roman"/>
          <w:color w:val="auto"/>
          <w:lang w:eastAsia="zh-CN"/>
        </w:rPr>
        <w:t>起重伤害、坍塌、</w:t>
      </w:r>
      <w:r>
        <w:rPr>
          <w:rFonts w:hint="default" w:ascii="Times New Roman" w:hAnsi="Times New Roman" w:eastAsia="宋体" w:cs="Times New Roman"/>
          <w:color w:val="auto"/>
        </w:rPr>
        <w:t>车辆伤害、高处坠落、物体打击及噪声、高温与热辐射</w:t>
      </w:r>
      <w:r>
        <w:rPr>
          <w:rFonts w:hint="default" w:ascii="Times New Roman" w:hAnsi="Times New Roman" w:cs="Times New Roman"/>
          <w:color w:val="auto"/>
          <w:lang w:eastAsia="zh-CN"/>
        </w:rPr>
        <w:t>、粉尘</w:t>
      </w:r>
      <w:r>
        <w:rPr>
          <w:rFonts w:hint="default" w:ascii="Times New Roman" w:hAnsi="Times New Roman" w:eastAsia="宋体" w:cs="Times New Roman"/>
          <w:color w:val="auto"/>
        </w:rPr>
        <w:t>等。项目的主要危险因素是中毒和窒息</w:t>
      </w:r>
      <w:r>
        <w:rPr>
          <w:rFonts w:hint="default" w:ascii="Times New Roman" w:hAnsi="Times New Roman" w:cs="Times New Roman"/>
          <w:color w:val="auto"/>
          <w:lang w:eastAsia="zh-CN"/>
        </w:rPr>
        <w:t>、灼烫、</w:t>
      </w:r>
      <w:r>
        <w:rPr>
          <w:rFonts w:hint="default" w:ascii="Times New Roman" w:hAnsi="Times New Roman" w:eastAsia="宋体" w:cs="Times New Roman"/>
          <w:color w:val="auto"/>
        </w:rPr>
        <w:t>火灾爆炸、，该项目初步设计时应重点关注本评价报告在建筑、防火、防爆、防毒、防灼伤提出的安全对策措施。</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2、危险化学品辨识结果</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①根据《危险化学品目录》（2015版）国家安全生产监督管理局等十部门第5号公告（2015年）辨识，该项目不涉及剧毒化学品。</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②根据《中华人民共和国监控化学品管理条例》中华人民共和国国务院令第190号、《各类监控化学品名录》工信部[2020]52号、《部分第四类监控化学品名录（2019版）》进行辨识，该项目</w:t>
      </w:r>
      <w:r>
        <w:rPr>
          <w:rFonts w:hint="default" w:ascii="Times New Roman" w:hAnsi="Times New Roman" w:eastAsia="宋体" w:cs="Times New Roman"/>
          <w:color w:val="auto"/>
          <w:lang w:eastAsia="zh-CN"/>
        </w:rPr>
        <w:t>不涉及</w:t>
      </w:r>
      <w:r>
        <w:rPr>
          <w:rFonts w:hint="default" w:ascii="Times New Roman" w:hAnsi="Times New Roman" w:eastAsia="宋体" w:cs="Times New Roman"/>
          <w:color w:val="auto"/>
        </w:rPr>
        <w:t>监控化学品。</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③根据《易制毒化学品管理条例》（国务院令第445号），该项目中涉及的盐酸、硫酸为</w:t>
      </w:r>
      <w:r>
        <w:rPr>
          <w:rFonts w:hint="default" w:ascii="Times New Roman" w:hAnsi="Times New Roman" w:cs="Times New Roman"/>
          <w:color w:val="auto"/>
          <w:lang w:eastAsia="zh-CN"/>
        </w:rPr>
        <w:t>第</w:t>
      </w:r>
      <w:r>
        <w:rPr>
          <w:rFonts w:hint="default" w:ascii="Times New Roman" w:hAnsi="Times New Roman" w:eastAsia="宋体" w:cs="Times New Roman"/>
          <w:color w:val="auto"/>
          <w:lang w:eastAsia="zh-CN"/>
        </w:rPr>
        <w:t>三类</w:t>
      </w:r>
      <w:r>
        <w:rPr>
          <w:rFonts w:hint="default" w:ascii="Times New Roman" w:hAnsi="Times New Roman" w:eastAsia="宋体" w:cs="Times New Roman"/>
          <w:color w:val="auto"/>
        </w:rPr>
        <w:t>易制毒化学品。</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④对照《高毒物品目录》(卫法监发[2003]142号)，该项目涉及</w:t>
      </w:r>
      <w:r>
        <w:rPr>
          <w:rFonts w:hint="default" w:ascii="Times New Roman" w:hAnsi="Times New Roman" w:cs="Times New Roman"/>
          <w:color w:val="auto"/>
          <w:lang w:eastAsia="zh-CN"/>
        </w:rPr>
        <w:t>的氨属于</w:t>
      </w:r>
      <w:r>
        <w:rPr>
          <w:rFonts w:hint="default" w:ascii="Times New Roman" w:hAnsi="Times New Roman" w:eastAsia="宋体" w:cs="Times New Roman"/>
          <w:color w:val="auto"/>
        </w:rPr>
        <w:t>高毒危险化学品。</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⑤根据《易制爆危险化学品名录》（2017年），该项目不涉及易制爆化学品。</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⑥根据《特别管控危险化学品目录》第一版，该项目涉及</w:t>
      </w:r>
      <w:r>
        <w:rPr>
          <w:rFonts w:hint="default" w:ascii="Times New Roman" w:hAnsi="Times New Roman" w:cs="Times New Roman"/>
          <w:color w:val="auto"/>
          <w:lang w:eastAsia="zh-CN"/>
        </w:rPr>
        <w:t>的氨属于</w:t>
      </w:r>
      <w:r>
        <w:rPr>
          <w:rFonts w:hint="default" w:ascii="Times New Roman" w:hAnsi="Times New Roman" w:eastAsia="宋体" w:cs="Times New Roman"/>
          <w:color w:val="auto"/>
        </w:rPr>
        <w:t>特别管控危险化学品。</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⑦依据《国家安全监管总局关于公布首批重点监管的危险化学品名录的通知》（安监总管三〔2011〕95号）、《国家安全监管总局关于公布第二批重点监管的危险化学品名录的通知》（安监总管三〔2013〕12号），通过对该项目可研及企业相关资料分析，该项目涉及</w:t>
      </w:r>
      <w:r>
        <w:rPr>
          <w:rFonts w:hint="default" w:ascii="Times New Roman" w:hAnsi="Times New Roman" w:cs="Times New Roman"/>
          <w:color w:val="auto"/>
          <w:lang w:eastAsia="zh-CN"/>
        </w:rPr>
        <w:t>的氨、天然气（燃料）属于</w:t>
      </w:r>
      <w:r>
        <w:rPr>
          <w:rFonts w:hint="default" w:ascii="Times New Roman" w:hAnsi="Times New Roman" w:eastAsia="宋体" w:cs="Times New Roman"/>
          <w:color w:val="auto"/>
        </w:rPr>
        <w:t>重点监管的危险化学品。</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3、危险化工工艺辨识结果</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依据《关于公布首批重点监管的危险化工工艺目录的通知》（安监总管三[2009]116号）及《关于公布第二批重点监管危险化工工艺目录和调整首批重点监管危险化工工艺中部分典型工艺的通知》（安监总管三[2013]3号）的要求，该项目不涉及重点监管的危险工艺。</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4、重大危险源辨识结果</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根据《危险化学品重大危险源辨识》（GB18218-2018）进行辨识，该项目</w:t>
      </w:r>
      <w:r>
        <w:rPr>
          <w:rFonts w:hint="default" w:ascii="Times New Roman" w:hAnsi="Times New Roman" w:eastAsia="宋体" w:cs="Times New Roman"/>
          <w:color w:val="auto"/>
          <w:lang w:eastAsia="zh-CN"/>
        </w:rPr>
        <w:t>各</w:t>
      </w:r>
      <w:r>
        <w:rPr>
          <w:rFonts w:hint="default" w:ascii="Times New Roman" w:hAnsi="Times New Roman" w:eastAsia="宋体" w:cs="Times New Roman"/>
          <w:color w:val="auto"/>
        </w:rPr>
        <w:t>单元均不构成重大危险源。</w:t>
      </w: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31" w:name="_Toc30445"/>
      <w:bookmarkStart w:id="132" w:name="_Toc26424"/>
      <w:r>
        <w:rPr>
          <w:rFonts w:hint="default" w:ascii="Times New Roman" w:hAnsi="Times New Roman" w:eastAsia="楷体" w:cs="Times New Roman"/>
          <w:b/>
          <w:bCs/>
          <w:color w:val="auto"/>
          <w:kern w:val="2"/>
          <w:sz w:val="32"/>
          <w:szCs w:val="32"/>
          <w:lang w:val="en-US" w:eastAsia="zh-CN" w:bidi="ar-SA"/>
        </w:rPr>
        <w:t>10.2主要单元评价结果</w:t>
      </w:r>
      <w:bookmarkEnd w:id="131"/>
      <w:bookmarkEnd w:id="132"/>
    </w:p>
    <w:p>
      <w:pPr>
        <w:numPr>
          <w:ilvl w:val="0"/>
          <w:numId w:val="0"/>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该项目不属于国家发展和改革委员会</w:t>
      </w:r>
      <w:r>
        <w:rPr>
          <w:rFonts w:hint="default" w:ascii="Times New Roman" w:hAnsi="Times New Roman" w:cs="Times New Roman"/>
          <w:color w:val="auto"/>
          <w:lang w:val="en-US" w:eastAsia="zh-CN"/>
        </w:rPr>
        <w:t>4</w:t>
      </w:r>
      <w:r>
        <w:rPr>
          <w:rFonts w:hint="default" w:ascii="Times New Roman" w:hAnsi="Times New Roman" w:eastAsia="宋体" w:cs="Times New Roman"/>
          <w:color w:val="auto"/>
        </w:rPr>
        <w:t>9号令《产业结构调整指导目录》限制和淘汰类项目。依照《产业结构调整指导目录（2019年本）》（发展和改革委员会令第</w:t>
      </w:r>
      <w:r>
        <w:rPr>
          <w:rFonts w:hint="default" w:ascii="Times New Roman" w:hAnsi="Times New Roman" w:cs="Times New Roman"/>
          <w:color w:val="auto"/>
          <w:lang w:val="en-US" w:eastAsia="zh-CN"/>
        </w:rPr>
        <w:t>4</w:t>
      </w:r>
      <w:r>
        <w:rPr>
          <w:rFonts w:hint="default" w:ascii="Times New Roman" w:hAnsi="Times New Roman" w:eastAsia="宋体" w:cs="Times New Roman"/>
          <w:color w:val="auto"/>
        </w:rPr>
        <w:t>9号），该项目生产装置及产品不属于限制类和淘汰类，</w:t>
      </w:r>
      <w:r>
        <w:rPr>
          <w:rFonts w:hint="default" w:ascii="Times New Roman" w:hAnsi="Times New Roman" w:eastAsia="宋体" w:cs="Times New Roman"/>
          <w:color w:val="auto"/>
          <w:lang w:eastAsia="zh-CN"/>
        </w:rPr>
        <w:t>该项目</w:t>
      </w:r>
      <w:r>
        <w:rPr>
          <w:rFonts w:hint="default" w:ascii="Times New Roman" w:hAnsi="Times New Roman" w:eastAsia="宋体" w:cs="Times New Roman"/>
          <w:color w:val="auto"/>
          <w:lang w:val="en-US" w:eastAsia="zh-CN"/>
        </w:rPr>
        <w:t>2022年2月14日由彭泽县发展和改革委员会取得备案，项目统一代码为：</w:t>
      </w:r>
      <w:r>
        <w:rPr>
          <w:rFonts w:hint="default" w:ascii="Times New Roman" w:hAnsi="Times New Roman" w:cs="Times New Roman"/>
          <w:color w:val="auto"/>
          <w:lang w:val="en-US" w:eastAsia="zh-CN"/>
        </w:rPr>
        <w:t>2112-360430-04-01-899613</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该项目拟建于</w:t>
      </w:r>
      <w:r>
        <w:rPr>
          <w:rFonts w:hint="default" w:ascii="Times New Roman" w:hAnsi="Times New Roman" w:eastAsia="宋体" w:cs="Times New Roman"/>
          <w:color w:val="auto"/>
          <w:kern w:val="0"/>
          <w:sz w:val="28"/>
          <w:szCs w:val="28"/>
          <w:lang w:val="en-US" w:eastAsia="zh-CN" w:bidi="ar"/>
        </w:rPr>
        <w:t>江西省九江市彭泽县矶山工业园区</w:t>
      </w:r>
      <w:r>
        <w:rPr>
          <w:rFonts w:hint="default" w:ascii="Times New Roman" w:hAnsi="Times New Roman" w:eastAsia="宋体" w:cs="Times New Roman"/>
          <w:color w:val="auto"/>
        </w:rPr>
        <w:t>内，符合当地总体规划的要求。</w:t>
      </w:r>
    </w:p>
    <w:p>
      <w:pPr>
        <w:numPr>
          <w:ilvl w:val="0"/>
          <w:numId w:val="27"/>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厂址选择符合工业布局和城市规划的要求，厂址具有满足生产、消防及生活及发展规划所必需的水源和电源，符合《工业企业总平面设计规范》(GB50187-2012)要求。</w:t>
      </w:r>
      <w:r>
        <w:rPr>
          <w:rFonts w:hint="default" w:ascii="Times New Roman" w:hAnsi="Times New Roman" w:eastAsia="宋体" w:cs="Times New Roman"/>
          <w:color w:val="auto"/>
          <w:lang w:eastAsia="zh-CN"/>
        </w:rPr>
        <w:t>依托</w:t>
      </w:r>
      <w:r>
        <w:rPr>
          <w:rFonts w:hint="default" w:ascii="Times New Roman" w:hAnsi="Times New Roman" w:cs="Times New Roman"/>
          <w:color w:val="auto"/>
          <w:lang w:eastAsia="zh-CN"/>
        </w:rPr>
        <w:t>原有</w:t>
      </w:r>
      <w:r>
        <w:rPr>
          <w:rFonts w:hint="default" w:ascii="Times New Roman" w:hAnsi="Times New Roman" w:eastAsia="宋体" w:cs="Times New Roman"/>
          <w:color w:val="auto"/>
          <w:szCs w:val="24"/>
        </w:rPr>
        <w:t>九江心连心清洁生产综合利用项目</w:t>
      </w:r>
      <w:r>
        <w:rPr>
          <w:rFonts w:hint="default" w:ascii="Times New Roman" w:hAnsi="Times New Roman" w:cs="Times New Roman"/>
          <w:color w:val="auto"/>
          <w:lang w:eastAsia="zh-CN"/>
        </w:rPr>
        <w:t>、高塔</w:t>
      </w:r>
      <w:r>
        <w:rPr>
          <w:rFonts w:hint="default" w:ascii="Times New Roman" w:hAnsi="Times New Roman" w:eastAsia="宋体" w:cs="Times New Roman"/>
          <w:color w:val="auto"/>
          <w:lang w:eastAsia="zh-CN"/>
        </w:rPr>
        <w:t>复合肥项目的公用工程和辅助设施能够满足该项目的正常生产需求。</w:t>
      </w:r>
    </w:p>
    <w:p>
      <w:pPr>
        <w:numPr>
          <w:ilvl w:val="0"/>
          <w:numId w:val="27"/>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车间四周设有主、次干道，形成环形通道，并相互连接；生产装置、储存设施等独立设置，分区明确、合理；各建（构）筑物耐火等级、建筑结构符合相关安全标准、规范的要求；该项目的总平面布置符合国家有关法律法规的要求。</w:t>
      </w:r>
    </w:p>
    <w:p>
      <w:pPr>
        <w:numPr>
          <w:ilvl w:val="0"/>
          <w:numId w:val="27"/>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该项目无国家明令淘汰的工艺和设备，采用的工艺技术、生产设备设施成熟，国内有成功运行的先例，工程风险相对较小。</w:t>
      </w:r>
    </w:p>
    <w:p>
      <w:pPr>
        <w:numPr>
          <w:ilvl w:val="0"/>
          <w:numId w:val="27"/>
        </w:numPr>
        <w:ind w:firstLine="544" w:firstLineChars="200"/>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t>该公司道路布置满足生产工艺要求，便于运输，人流、物流避免交叉。</w:t>
      </w:r>
    </w:p>
    <w:p>
      <w:pPr>
        <w:numPr>
          <w:ilvl w:val="0"/>
          <w:numId w:val="27"/>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预先危险分析表明多数单元的风险等级为Ⅰ、Ⅱ级，属于安全的或临界的。生产单元主要危险、有害因素为：</w:t>
      </w:r>
      <w:r>
        <w:rPr>
          <w:rFonts w:hint="default" w:ascii="Times New Roman" w:hAnsi="Times New Roman" w:eastAsia="宋体" w:cs="Times New Roman"/>
          <w:color w:val="auto"/>
          <w:lang w:eastAsia="zh-CN"/>
        </w:rPr>
        <w:t>火灾、爆炸、</w:t>
      </w:r>
      <w:r>
        <w:rPr>
          <w:rFonts w:hint="default" w:ascii="Times New Roman" w:hAnsi="Times New Roman" w:eastAsia="宋体" w:cs="Times New Roman"/>
          <w:color w:val="auto"/>
        </w:rPr>
        <w:t>中毒、窒息、灼烫危险程度为III级（危险的）；机械伤害、物体打击、车辆伤害、高处坠落、触电等危险程度为II级（临界的）。储运单元主要危险、有害因素为：中毒、窒息、灼烫危险程度为III级（危险的）；车辆伤害、高处坠落等危险程度为II级（临界的）。III级是危险的，会造成人员伤亡和系统损坏，要立即采取防范对策措施；II级是临界的，处于事故的边缘状态，暂时还不会造成人员伤亡、系统损坏或降低系统性能，但应予排除或采取控制措施。</w:t>
      </w:r>
    </w:p>
    <w:p>
      <w:pPr>
        <w:numPr>
          <w:ilvl w:val="0"/>
          <w:numId w:val="27"/>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危险度评价结果为：</w:t>
      </w:r>
      <w:r>
        <w:rPr>
          <w:rFonts w:hint="default" w:ascii="Times New Roman" w:hAnsi="Times New Roman" w:cs="Times New Roman"/>
          <w:color w:val="auto"/>
          <w:lang w:eastAsia="zh-CN"/>
        </w:rPr>
        <w:t>氨化车间</w:t>
      </w:r>
      <w:r>
        <w:rPr>
          <w:rFonts w:hint="default" w:ascii="Times New Roman" w:hAnsi="Times New Roman" w:eastAsia="宋体" w:cs="Times New Roman"/>
          <w:color w:val="auto"/>
        </w:rPr>
        <w:t>生产单元的危险程度等级为III级（低度危险）；</w:t>
      </w:r>
      <w:r>
        <w:rPr>
          <w:rFonts w:hint="default" w:ascii="Times New Roman" w:hAnsi="Times New Roman" w:cs="Times New Roman"/>
          <w:color w:val="auto"/>
          <w:lang w:eastAsia="zh-CN"/>
        </w:rPr>
        <w:t>盐酸和硫酸</w:t>
      </w:r>
      <w:r>
        <w:rPr>
          <w:rFonts w:hint="default" w:ascii="Times New Roman" w:hAnsi="Times New Roman" w:eastAsia="宋体" w:cs="Times New Roman"/>
          <w:color w:val="auto"/>
          <w:lang w:eastAsia="zh-CN"/>
        </w:rPr>
        <w:t>罐区</w:t>
      </w:r>
      <w:r>
        <w:rPr>
          <w:rFonts w:hint="default" w:ascii="Times New Roman" w:hAnsi="Times New Roman" w:eastAsia="宋体" w:cs="Times New Roman"/>
          <w:color w:val="auto"/>
        </w:rPr>
        <w:t>为III级（低度危险）。</w:t>
      </w:r>
    </w:p>
    <w:p>
      <w:pPr>
        <w:numPr>
          <w:ilvl w:val="0"/>
          <w:numId w:val="27"/>
        </w:num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安全条件的评价结果</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1）江西心连心化学工业有限公司</w:t>
      </w:r>
      <w:r>
        <w:rPr>
          <w:rFonts w:hint="default" w:ascii="Times New Roman" w:hAnsi="Times New Roman" w:cs="Times New Roman"/>
          <w:color w:val="auto"/>
          <w:lang w:eastAsia="zh-CN"/>
        </w:rPr>
        <w:t>年产15万吨转鼓氨化造粒复合肥项目</w:t>
      </w:r>
      <w:r>
        <w:rPr>
          <w:rFonts w:hint="default" w:ascii="Times New Roman" w:hAnsi="Times New Roman" w:eastAsia="宋体" w:cs="Times New Roman"/>
          <w:color w:val="auto"/>
        </w:rPr>
        <w:t>拟在江西省九江市彭泽县矶山工业园区内建设，该项目安全距离内无民用居住区，无珍稀保护物种和名胜古迹等。</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2）企业与周边企业之间间距满足《</w:t>
      </w:r>
      <w:r>
        <w:rPr>
          <w:rFonts w:hint="default" w:ascii="Times New Roman" w:hAnsi="Times New Roman" w:eastAsia="宋体" w:cs="Times New Roman"/>
          <w:color w:val="auto"/>
          <w:lang w:eastAsia="zh-CN"/>
        </w:rPr>
        <w:t>建筑设计防火规范（</w:t>
      </w:r>
      <w:r>
        <w:rPr>
          <w:rFonts w:hint="default" w:ascii="Times New Roman" w:hAnsi="Times New Roman" w:eastAsia="宋体" w:cs="Times New Roman"/>
          <w:color w:val="auto"/>
          <w:lang w:val="en-US" w:eastAsia="zh-CN"/>
        </w:rPr>
        <w:t>2018版</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的要求；项目及周边没有压覆矿产资源；项目周边无河流、基本农田保护区、畜牧区、渔业水域和种子、种畜、水产苗种生产基地；项目周边1000m范围内无风景名胜区和自然保护区。项目周边无军事禁区、军事管理区；项目周边无法律、行政法规规定予以保护的其他区域；该项目符合《工业企业总平面设计规范》、《化工企业安全卫生设计规定》、《工业企业设计卫生标准》、《化工企业总图运输设计规范》等相关标准要求的要求。</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3）主要生产装置、设施平面布置符合《建筑设计防火规范（2018版）》、《化工企业总图运输设计规范》、《工业企业总平面设计规范》等的要求。</w:t>
      </w: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33" w:name="_Toc13732"/>
      <w:bookmarkStart w:id="134" w:name="_Toc4673"/>
      <w:r>
        <w:rPr>
          <w:rFonts w:hint="default" w:ascii="Times New Roman" w:hAnsi="Times New Roman" w:eastAsia="楷体" w:cs="Times New Roman"/>
          <w:b/>
          <w:bCs/>
          <w:color w:val="auto"/>
          <w:kern w:val="2"/>
          <w:sz w:val="32"/>
          <w:szCs w:val="32"/>
          <w:lang w:val="en-US" w:eastAsia="zh-CN" w:bidi="ar-SA"/>
        </w:rPr>
        <w:t>10.3应重视的安全对策措施</w:t>
      </w:r>
      <w:bookmarkEnd w:id="133"/>
      <w:bookmarkEnd w:id="134"/>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在工程设计前应根据勘查结果和地质资料和工程的要求，因地制宜，采取以地基处理为主的综合措施，对所有建筑、设备、设施等的基础采取相应的加固处理措施，防止地基湿陷对建筑物产生危害。按要求做好该项目的埋地电缆、排水的设计与施工。</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）机柜间等场所应设置感温、感烟报警探测器等火灾报警系统，生产装置、储存区域设置火灾报警系统及手动报警按钮。</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储罐应根据工艺的要求，采用技术先进、性能可靠的计量、数据采集、监控、报警系统进行监视、控制及管理等工作。所选仪表应适用于储罐的设计压力及设计温度，并保证在储存介质具有腐蚀性时，与介质接触到仪表部件应具有耐腐蚀的能力。当仪表或仪表元件必须安装在罐顶时，宜布置在罐顶梯子平台附近。</w:t>
      </w:r>
    </w:p>
    <w:p>
      <w:pPr>
        <w:spacing w:line="600" w:lineRule="exact"/>
        <w:ind w:firstLine="573"/>
        <w:rPr>
          <w:rFonts w:hint="default" w:ascii="Times New Roman" w:hAnsi="Times New Roman" w:eastAsia="宋体" w:cs="Times New Roman"/>
          <w:color w:val="auto"/>
          <w:spacing w:val="-4"/>
          <w:sz w:val="28"/>
          <w:szCs w:val="28"/>
          <w:lang w:val="en-US" w:eastAsia="zh-CN"/>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w:t>
      </w:r>
      <w:r>
        <w:rPr>
          <w:rFonts w:hint="default" w:ascii="Times New Roman" w:hAnsi="Times New Roman" w:eastAsia="宋体" w:cs="Times New Roman"/>
          <w:color w:val="auto"/>
          <w:spacing w:val="-4"/>
          <w:sz w:val="28"/>
          <w:szCs w:val="28"/>
          <w:lang w:val="en-US" w:eastAsia="zh-CN"/>
        </w:rPr>
        <w:t>应定期对管式反应器进行检维修，</w:t>
      </w:r>
      <w:r>
        <w:rPr>
          <w:rFonts w:hint="default" w:ascii="Times New Roman" w:hAnsi="Times New Roman" w:eastAsia="宋体" w:cs="Times New Roman"/>
          <w:color w:val="auto"/>
          <w:lang w:eastAsia="zh-CN"/>
        </w:rPr>
        <w:t>防止设备的氨气管线连接处出现泄漏，导致火灾爆炸、中毒窒息事故。</w:t>
      </w:r>
    </w:p>
    <w:p>
      <w:pPr>
        <w:spacing w:line="600" w:lineRule="exact"/>
        <w:ind w:firstLine="573"/>
        <w:rPr>
          <w:rFonts w:hint="default" w:ascii="Times New Roman" w:hAnsi="Times New Roman" w:eastAsia="宋体" w:cs="Times New Roman"/>
          <w:color w:val="auto"/>
          <w:spacing w:val="-4"/>
          <w:sz w:val="28"/>
          <w:szCs w:val="28"/>
          <w:lang w:val="en-US" w:eastAsia="zh-CN"/>
        </w:rPr>
      </w:pPr>
      <w:r>
        <w:rPr>
          <w:rFonts w:hint="default" w:ascii="Times New Roman" w:hAnsi="Times New Roman" w:cs="Times New Roman"/>
          <w:color w:val="auto"/>
          <w:spacing w:val="-4"/>
          <w:sz w:val="28"/>
          <w:szCs w:val="28"/>
          <w:lang w:val="en-US" w:eastAsia="zh-CN"/>
        </w:rPr>
        <w:t>5）</w:t>
      </w:r>
      <w:r>
        <w:rPr>
          <w:rFonts w:hint="default" w:ascii="Times New Roman" w:hAnsi="Times New Roman" w:eastAsia="宋体" w:cs="Times New Roman"/>
          <w:color w:val="auto"/>
          <w:spacing w:val="-4"/>
          <w:sz w:val="28"/>
          <w:szCs w:val="28"/>
          <w:lang w:val="en-US" w:eastAsia="zh-CN"/>
        </w:rPr>
        <w:t>燃气设备应设置熄火保护功能、火焰监测和自动点火装置、泄爆装置。</w:t>
      </w:r>
    </w:p>
    <w:p>
      <w:pPr>
        <w:spacing w:line="600" w:lineRule="exact"/>
        <w:ind w:firstLine="573"/>
        <w:rPr>
          <w:rFonts w:hint="default" w:ascii="Times New Roman" w:hAnsi="Times New Roman" w:eastAsia="宋体" w:cs="Times New Roman"/>
          <w:color w:val="auto"/>
          <w:spacing w:val="-4"/>
          <w:sz w:val="28"/>
          <w:szCs w:val="28"/>
          <w:lang w:val="en-US" w:eastAsia="zh-CN"/>
        </w:rPr>
      </w:pPr>
      <w:r>
        <w:rPr>
          <w:rFonts w:hint="default" w:ascii="Times New Roman" w:hAnsi="Times New Roman" w:cs="Times New Roman"/>
          <w:color w:val="auto"/>
          <w:spacing w:val="-4"/>
          <w:sz w:val="28"/>
          <w:szCs w:val="28"/>
          <w:lang w:val="en-US" w:eastAsia="zh-CN"/>
        </w:rPr>
        <w:t>6）</w:t>
      </w:r>
      <w:r>
        <w:rPr>
          <w:rFonts w:hint="default" w:ascii="Times New Roman" w:hAnsi="Times New Roman" w:eastAsia="宋体" w:cs="Times New Roman"/>
          <w:color w:val="auto"/>
          <w:spacing w:val="-4"/>
          <w:sz w:val="28"/>
          <w:szCs w:val="28"/>
          <w:lang w:val="en-US" w:eastAsia="zh-CN"/>
        </w:rPr>
        <w:t>燃气设备应设置燃气和有毒气体浓度检测报警装置、火灾自动报警和灭火系统、防雷和防静电措施、排烟设施、电气设备的防爆防火隔热措施、超压切断和放散装置。</w:t>
      </w:r>
    </w:p>
    <w:p>
      <w:pPr>
        <w:ind w:firstLine="544" w:firstLineChars="200"/>
        <w:rPr>
          <w:rFonts w:hint="default" w:ascii="Times New Roman" w:hAnsi="Times New Roman" w:eastAsia="宋体" w:cs="Times New Roman"/>
          <w:color w:val="auto"/>
        </w:rPr>
      </w:pPr>
      <w:r>
        <w:rPr>
          <w:rFonts w:hint="default" w:ascii="Times New Roman" w:hAnsi="Times New Roman" w:cs="Times New Roman"/>
          <w:color w:val="auto"/>
          <w:spacing w:val="-4"/>
          <w:sz w:val="28"/>
          <w:szCs w:val="28"/>
          <w:lang w:val="en-US" w:eastAsia="zh-CN"/>
        </w:rPr>
        <w:t>7）</w:t>
      </w:r>
      <w:r>
        <w:rPr>
          <w:rFonts w:hint="default" w:ascii="Times New Roman" w:hAnsi="Times New Roman" w:eastAsia="宋体" w:cs="Times New Roman"/>
          <w:color w:val="auto"/>
          <w:spacing w:val="-4"/>
          <w:sz w:val="28"/>
          <w:szCs w:val="28"/>
          <w:lang w:val="en-US" w:eastAsia="zh-CN"/>
        </w:rPr>
        <w:t>燃烧器的选择应适应气体燃料特性，并应符合下列规定：①能适应燃气成分在一定范围内的改变；②能较好地适应负荷变化；③具有微正压燃烧特性；④火焰形状与炉膛结构相适应；⑤噪声较低；⑥有利于降低氮氧化物排放</w:t>
      </w:r>
      <w:r>
        <w:rPr>
          <w:rFonts w:hint="default" w:ascii="Times New Roman" w:hAnsi="Times New Roman" w:eastAsia="宋体" w:cs="Times New Roman"/>
          <w:color w:val="auto"/>
        </w:rPr>
        <w:t>。</w:t>
      </w:r>
    </w:p>
    <w:p>
      <w:pPr>
        <w:numPr>
          <w:ilvl w:val="0"/>
          <w:numId w:val="0"/>
        </w:numPr>
        <w:ind w:firstLine="56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8）该项目涉及的盐酸、硫酸储罐的储存量较大，应定期进行防沉降观测，应完善储罐的防沉降观察和柔性连接。</w:t>
      </w:r>
    </w:p>
    <w:p>
      <w:pPr>
        <w:numPr>
          <w:ilvl w:val="0"/>
          <w:numId w:val="0"/>
        </w:numPr>
        <w:ind w:firstLine="560" w:firstLineChars="200"/>
        <w:rPr>
          <w:rFonts w:hint="eastAsia"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w:t>
      </w:r>
      <w:r>
        <w:rPr>
          <w:rFonts w:hint="eastAsia" w:cs="Times New Roman"/>
          <w:color w:val="auto"/>
          <w:lang w:val="en-US" w:eastAsia="zh-CN"/>
        </w:rPr>
        <w:t>按照《建筑设计防火规范》（2018版）第3.3.1条的要求，应严格控制氨化车间的建筑高度，未超过24m时，氨化车间（戊类）的每个防火分区的最大允许面积为6000m</w:t>
      </w:r>
      <w:r>
        <w:rPr>
          <w:rFonts w:hint="eastAsia" w:cs="Times New Roman"/>
          <w:color w:val="auto"/>
          <w:vertAlign w:val="superscript"/>
          <w:lang w:val="en-US" w:eastAsia="zh-CN"/>
        </w:rPr>
        <w:t>2</w:t>
      </w:r>
      <w:r>
        <w:rPr>
          <w:rFonts w:hint="eastAsia" w:cs="Times New Roman"/>
          <w:color w:val="auto"/>
          <w:lang w:val="en-US" w:eastAsia="zh-CN"/>
        </w:rPr>
        <w:t>。</w:t>
      </w:r>
    </w:p>
    <w:p>
      <w:pPr>
        <w:numPr>
          <w:ilvl w:val="0"/>
          <w:numId w:val="0"/>
        </w:numPr>
        <w:ind w:firstLine="560" w:firstLineChars="200"/>
        <w:rPr>
          <w:rFonts w:hint="default" w:ascii="Times New Roman" w:hAnsi="Times New Roman" w:cs="Times New Roman"/>
          <w:color w:val="auto"/>
          <w:lang w:val="en-US" w:eastAsia="zh-CN"/>
        </w:rPr>
      </w:pPr>
      <w:r>
        <w:rPr>
          <w:rFonts w:hint="eastAsia" w:cs="Times New Roman"/>
          <w:color w:val="auto"/>
          <w:lang w:val="en-US" w:eastAsia="zh-CN"/>
        </w:rPr>
        <w:t>10）</w:t>
      </w:r>
      <w:r>
        <w:rPr>
          <w:rFonts w:hint="default" w:ascii="Times New Roman" w:hAnsi="Times New Roman" w:cs="Times New Roman"/>
          <w:color w:val="auto"/>
          <w:lang w:val="en-US" w:eastAsia="zh-CN"/>
        </w:rPr>
        <w:t>严禁利用氨气管道做电焊接地线。严禁用铁器敲击管道与阀体，以免引起火花。在含氨气环境中作业应采用以下防护措施：</w:t>
      </w:r>
    </w:p>
    <w:p>
      <w:pPr>
        <w:numPr>
          <w:ilvl w:val="0"/>
          <w:numId w:val="0"/>
        </w:num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——根据不同作业环境配备相应的氨气检测仪及防护装置，并落实人员管理，使氨气检测仪及防护装置处于备用状态；</w:t>
      </w:r>
    </w:p>
    <w:p>
      <w:pPr>
        <w:numPr>
          <w:ilvl w:val="0"/>
          <w:numId w:val="0"/>
        </w:num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——作业环境应设立风向标；</w:t>
      </w:r>
    </w:p>
    <w:p>
      <w:pPr>
        <w:numPr>
          <w:ilvl w:val="0"/>
          <w:numId w:val="0"/>
        </w:num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——供气装置的空气压缩机应置于上风侧；</w:t>
      </w:r>
    </w:p>
    <w:p>
      <w:pPr>
        <w:numPr>
          <w:ilvl w:val="0"/>
          <w:numId w:val="0"/>
        </w:num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——进行检修和抢修作业时，应携带氨气检测仪和正压式空气呼吸器。</w:t>
      </w: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35" w:name="_Toc5557"/>
      <w:bookmarkStart w:id="136" w:name="_Toc25643"/>
      <w:r>
        <w:rPr>
          <w:rFonts w:hint="default" w:ascii="Times New Roman" w:hAnsi="Times New Roman" w:eastAsia="楷体" w:cs="Times New Roman"/>
          <w:b/>
          <w:bCs/>
          <w:color w:val="auto"/>
          <w:kern w:val="2"/>
          <w:sz w:val="32"/>
          <w:szCs w:val="32"/>
          <w:lang w:val="en-US" w:eastAsia="zh-CN" w:bidi="ar-SA"/>
        </w:rPr>
        <w:t>10.4评价结论</w:t>
      </w:r>
      <w:bookmarkEnd w:id="135"/>
      <w:bookmarkEnd w:id="136"/>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10.4.1危险、有害因素受控程度分析</w:t>
      </w:r>
    </w:p>
    <w:p>
      <w:pPr>
        <w:spacing w:line="580" w:lineRule="exact"/>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通过对该项目生产过程情况分析，该项目存在一定的危险有害因素，但在采取可行性研究报告及本评价报告提出的各项安全对策措施及预防手段的基础上，项目的危险、有害程度可降低，可使安全方面的风险控制在可接受的范围内。</w:t>
      </w:r>
    </w:p>
    <w:p>
      <w:pPr>
        <w:keepNext/>
        <w:keepLines/>
        <w:widowControl w:val="0"/>
        <w:spacing w:line="58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10.4.2建设项目法律法规的符合性</w:t>
      </w:r>
    </w:p>
    <w:p>
      <w:pPr>
        <w:spacing w:line="580" w:lineRule="exact"/>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cs="Times New Roman"/>
          <w:color w:val="auto"/>
          <w:lang w:eastAsia="zh-CN"/>
        </w:rPr>
        <w:t>.</w:t>
      </w:r>
      <w:r>
        <w:rPr>
          <w:rFonts w:hint="default" w:ascii="Times New Roman" w:hAnsi="Times New Roman" w:eastAsia="宋体" w:cs="Times New Roman"/>
          <w:color w:val="auto"/>
        </w:rPr>
        <w:t>依照《产业结构调整指导目录（2019年本）》（发展和改革委员会令第</w:t>
      </w:r>
      <w:r>
        <w:rPr>
          <w:rFonts w:hint="default" w:ascii="Times New Roman" w:hAnsi="Times New Roman" w:cs="Times New Roman"/>
          <w:color w:val="auto"/>
          <w:lang w:val="en-US" w:eastAsia="zh-CN"/>
        </w:rPr>
        <w:t>4</w:t>
      </w:r>
      <w:r>
        <w:rPr>
          <w:rFonts w:hint="default" w:ascii="Times New Roman" w:hAnsi="Times New Roman" w:eastAsia="宋体" w:cs="Times New Roman"/>
          <w:color w:val="auto"/>
        </w:rPr>
        <w:t>9号），该项目生产装置及产品不属于限制类和淘汰类，该项目2022年2月14日由彭泽县发展和改革委员会取得备案，项目统一代码为：</w:t>
      </w:r>
      <w:r>
        <w:rPr>
          <w:rFonts w:hint="default" w:ascii="Times New Roman" w:hAnsi="Times New Roman" w:cs="Times New Roman"/>
          <w:color w:val="auto"/>
          <w:lang w:eastAsia="zh-CN"/>
        </w:rPr>
        <w:t>2112-360430-04-01-899613</w:t>
      </w:r>
      <w:r>
        <w:rPr>
          <w:rFonts w:hint="default" w:ascii="Times New Roman" w:hAnsi="Times New Roman" w:eastAsia="宋体" w:cs="Times New Roman"/>
          <w:color w:val="auto"/>
        </w:rPr>
        <w:t>。因此，该项目的建设符合国家产业政策。</w:t>
      </w:r>
    </w:p>
    <w:p>
      <w:pPr>
        <w:spacing w:line="580" w:lineRule="exact"/>
        <w:ind w:firstLine="56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2.</w:t>
      </w:r>
      <w:r>
        <w:rPr>
          <w:rFonts w:hint="default" w:ascii="Times New Roman" w:hAnsi="Times New Roman" w:eastAsia="宋体" w:cs="Times New Roman"/>
          <w:color w:val="auto"/>
        </w:rPr>
        <w:t>该项目拟建设于江西省九江市彭泽县矶山工业园区，江西省九江市彭泽县矶山工业园区为2021年4月入选江西省化工园区名单（第一批），属于规划的化工园区。该公司项目用地整体规划，于2021年取得了</w:t>
      </w:r>
      <w:r>
        <w:rPr>
          <w:rFonts w:hint="default" w:ascii="Times New Roman" w:hAnsi="Times New Roman" w:eastAsia="宋体" w:cs="Times New Roman"/>
          <w:color w:val="auto"/>
          <w:lang w:eastAsia="zh-CN"/>
        </w:rPr>
        <w:t>彭泽县</w:t>
      </w:r>
      <w:r>
        <w:rPr>
          <w:rFonts w:hint="default" w:ascii="Times New Roman" w:hAnsi="Times New Roman" w:eastAsia="宋体" w:cs="Times New Roman"/>
          <w:color w:val="auto"/>
        </w:rPr>
        <w:t>自然资源局颁发的土地证</w:t>
      </w:r>
      <w:r>
        <w:rPr>
          <w:rFonts w:hint="default" w:ascii="Times New Roman" w:hAnsi="Times New Roman" w:cs="Times New Roman"/>
          <w:color w:val="auto"/>
          <w:lang w:eastAsia="zh-CN"/>
        </w:rPr>
        <w:t>，</w:t>
      </w:r>
      <w:r>
        <w:rPr>
          <w:rFonts w:hint="default" w:ascii="Times New Roman" w:hAnsi="Times New Roman" w:cs="Times New Roman"/>
          <w:color w:val="auto"/>
          <w:szCs w:val="28"/>
        </w:rPr>
        <w:t>因此该项目的</w:t>
      </w:r>
      <w:r>
        <w:rPr>
          <w:rFonts w:hint="default" w:ascii="Times New Roman" w:hAnsi="Times New Roman" w:cs="Times New Roman"/>
          <w:color w:val="auto"/>
          <w:szCs w:val="28"/>
          <w:lang w:val="en-US" w:eastAsia="zh-CN"/>
        </w:rPr>
        <w:t>用地</w:t>
      </w:r>
      <w:r>
        <w:rPr>
          <w:rFonts w:hint="default" w:ascii="Times New Roman" w:hAnsi="Times New Roman" w:cs="Times New Roman"/>
          <w:color w:val="auto"/>
          <w:szCs w:val="28"/>
        </w:rPr>
        <w:t>符合国家有关法律法规的要求。</w:t>
      </w:r>
    </w:p>
    <w:p>
      <w:pPr>
        <w:spacing w:line="580" w:lineRule="exact"/>
        <w:ind w:firstLine="560" w:firstLineChars="200"/>
        <w:rPr>
          <w:rFonts w:hint="default" w:ascii="Times New Roman" w:hAnsi="Times New Roman" w:eastAsia="宋体" w:cs="Times New Roman"/>
          <w:color w:val="auto"/>
        </w:rPr>
      </w:pPr>
      <w:r>
        <w:rPr>
          <w:rFonts w:hint="default" w:ascii="Times New Roman" w:hAnsi="Times New Roman" w:cs="Times New Roman"/>
          <w:color w:val="auto"/>
          <w:lang w:val="en-US" w:eastAsia="zh-CN"/>
        </w:rPr>
        <w:t>3</w:t>
      </w:r>
      <w:r>
        <w:rPr>
          <w:rFonts w:hint="default" w:ascii="Times New Roman" w:hAnsi="Times New Roman" w:eastAsia="宋体" w:cs="Times New Roman"/>
          <w:color w:val="auto"/>
        </w:rPr>
        <w:t>.该公司外部安全防护距离内无居民区、商业中心、公园等人口密集区域和学校、医院、影剧院、体育场（馆）等公共设施。</w:t>
      </w:r>
      <w:r>
        <w:rPr>
          <w:rFonts w:hint="default" w:ascii="Times New Roman" w:hAnsi="Times New Roman" w:cs="Times New Roman"/>
          <w:color w:val="auto"/>
          <w:szCs w:val="28"/>
          <w:lang w:val="en-US" w:eastAsia="zh-CN"/>
        </w:rPr>
        <w:t>因此，该项目的外部安全防护距离</w:t>
      </w:r>
      <w:r>
        <w:rPr>
          <w:rFonts w:hint="default" w:ascii="Times New Roman" w:hAnsi="Times New Roman" w:cs="Times New Roman"/>
          <w:color w:val="auto"/>
          <w:szCs w:val="28"/>
        </w:rPr>
        <w:t>符合国家有关法律法规的要求。</w:t>
      </w:r>
    </w:p>
    <w:p>
      <w:pPr>
        <w:spacing w:line="580" w:lineRule="exact"/>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w:t>
      </w:r>
      <w:r>
        <w:rPr>
          <w:rFonts w:hint="default" w:ascii="Times New Roman" w:hAnsi="Times New Roman" w:cs="Times New Roman"/>
          <w:color w:val="auto"/>
          <w:szCs w:val="28"/>
        </w:rPr>
        <w:t>拟采用的技术及设备先进、工艺合理、设备设施安全可靠；拟采用的配套及辅助工程能够满足该项目所需要的安全可靠性的要求</w:t>
      </w:r>
      <w:r>
        <w:rPr>
          <w:rFonts w:hint="default" w:ascii="Times New Roman" w:hAnsi="Times New Roman" w:cs="Times New Roman"/>
          <w:color w:val="auto"/>
          <w:szCs w:val="28"/>
          <w:lang w:eastAsia="zh-CN"/>
        </w:rPr>
        <w:t>，</w:t>
      </w:r>
      <w:r>
        <w:rPr>
          <w:rFonts w:hint="default" w:ascii="Times New Roman" w:hAnsi="Times New Roman" w:cs="Times New Roman"/>
          <w:color w:val="auto"/>
          <w:szCs w:val="28"/>
          <w:lang w:val="en-US" w:eastAsia="zh-CN"/>
        </w:rPr>
        <w:t>因此，该项目</w:t>
      </w:r>
      <w:r>
        <w:rPr>
          <w:rFonts w:hint="default" w:ascii="Times New Roman" w:hAnsi="Times New Roman" w:cs="Times New Roman"/>
          <w:color w:val="auto"/>
          <w:szCs w:val="28"/>
        </w:rPr>
        <w:t>拟采用的技术</w:t>
      </w:r>
      <w:r>
        <w:rPr>
          <w:rFonts w:hint="default" w:ascii="Times New Roman" w:hAnsi="Times New Roman" w:cs="Times New Roman"/>
          <w:color w:val="auto"/>
          <w:szCs w:val="28"/>
          <w:lang w:eastAsia="zh-CN"/>
        </w:rPr>
        <w:t>、</w:t>
      </w:r>
      <w:r>
        <w:rPr>
          <w:rFonts w:hint="default" w:ascii="Times New Roman" w:hAnsi="Times New Roman" w:cs="Times New Roman"/>
          <w:color w:val="auto"/>
          <w:szCs w:val="28"/>
          <w:lang w:val="en-US" w:eastAsia="zh-CN"/>
        </w:rPr>
        <w:t>工艺和</w:t>
      </w:r>
      <w:r>
        <w:rPr>
          <w:rFonts w:hint="default" w:ascii="Times New Roman" w:hAnsi="Times New Roman" w:cs="Times New Roman"/>
          <w:color w:val="auto"/>
          <w:szCs w:val="28"/>
        </w:rPr>
        <w:t>配套</w:t>
      </w:r>
      <w:r>
        <w:rPr>
          <w:rFonts w:hint="default" w:ascii="Times New Roman" w:hAnsi="Times New Roman" w:cs="Times New Roman"/>
          <w:color w:val="auto"/>
          <w:szCs w:val="28"/>
          <w:lang w:val="en-US" w:eastAsia="zh-CN"/>
        </w:rPr>
        <w:t>的</w:t>
      </w:r>
      <w:r>
        <w:rPr>
          <w:rFonts w:hint="default" w:ascii="Times New Roman" w:hAnsi="Times New Roman" w:cs="Times New Roman"/>
          <w:color w:val="auto"/>
          <w:szCs w:val="28"/>
        </w:rPr>
        <w:t>辅助工程符合国家有关法律法规的要求。</w:t>
      </w:r>
    </w:p>
    <w:p>
      <w:pPr>
        <w:spacing w:line="580" w:lineRule="exact"/>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6.该项目投产后，正常情况下对周边自然环境的污染较小，与周边居民生活的相互影响较小。</w:t>
      </w:r>
    </w:p>
    <w:p>
      <w:pPr>
        <w:spacing w:line="580" w:lineRule="exact"/>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7.该项目《可研》中尚需要完善和补充的安全技术措施，已在本报告作了详细说明，希望建设和设计单位在今后的工作中能尽快完善。</w:t>
      </w:r>
    </w:p>
    <w:p>
      <w:pPr>
        <w:spacing w:line="580" w:lineRule="exact"/>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8.建设单位应在下一步设计、施工中认真执行国家有关规定、标准和规范，全面落实可研报告和本评价报告提出的安全措施；完善各项安全规章制度、事故应急预案，并进行认真学习和演练；生产运行过程中，确保各项安全设施和自动控制系统、检测仪器、仪表、联锁装置灵敏好用，操作人员严格执行安全操作规程。</w:t>
      </w:r>
    </w:p>
    <w:p>
      <w:pPr>
        <w:spacing w:line="580" w:lineRule="exact"/>
        <w:ind w:firstLine="56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综上所述，江西心连心化学工业有限公司</w:t>
      </w:r>
      <w:r>
        <w:rPr>
          <w:rFonts w:hint="default" w:ascii="Times New Roman" w:hAnsi="Times New Roman" w:cs="Times New Roman"/>
          <w:b/>
          <w:bCs/>
          <w:color w:val="auto"/>
          <w:lang w:eastAsia="zh-CN"/>
        </w:rPr>
        <w:t>年产15万吨转鼓氨化造粒复合肥项目</w:t>
      </w:r>
      <w:r>
        <w:rPr>
          <w:rFonts w:hint="default" w:ascii="Times New Roman" w:hAnsi="Times New Roman" w:eastAsia="宋体" w:cs="Times New Roman"/>
          <w:b/>
          <w:bCs/>
          <w:color w:val="auto"/>
        </w:rPr>
        <w:t>能按照《中华人民共和国安全生产法》的要求进行安全条件评价和安全条件审查，符合国家和省关于危险化学品生产、储存项目安全审查办法的要求，</w:t>
      </w:r>
      <w:r>
        <w:rPr>
          <w:rFonts w:hint="default" w:ascii="Times New Roman" w:hAnsi="Times New Roman" w:cs="Times New Roman"/>
          <w:b/>
          <w:bCs/>
          <w:color w:val="auto"/>
          <w:szCs w:val="28"/>
        </w:rPr>
        <w:t>符合安全设施必须按照同时设计、同时施工、同时投入生产和使用的“三同时”的要求，</w:t>
      </w:r>
      <w:r>
        <w:rPr>
          <w:rFonts w:hint="default" w:ascii="Times New Roman" w:hAnsi="Times New Roman" w:cs="Times New Roman"/>
          <w:b/>
          <w:bCs/>
          <w:color w:val="auto"/>
          <w:szCs w:val="28"/>
          <w:lang w:val="en-US" w:eastAsia="zh-CN"/>
        </w:rPr>
        <w:t>风险控制在可接受的范围内；</w:t>
      </w:r>
      <w:r>
        <w:rPr>
          <w:rFonts w:hint="default" w:ascii="Times New Roman" w:hAnsi="Times New Roman" w:cs="Times New Roman"/>
          <w:b/>
          <w:bCs/>
          <w:color w:val="auto"/>
          <w:szCs w:val="28"/>
        </w:rPr>
        <w:t>从安全角度符合国家有关法律法规、标准、规章、规范的要求。</w:t>
      </w:r>
    </w:p>
    <w:p>
      <w:pPr>
        <w:spacing w:line="600" w:lineRule="exact"/>
        <w:ind w:firstLine="573"/>
        <w:rPr>
          <w:rFonts w:hint="default" w:ascii="Times New Roman" w:hAnsi="Times New Roman" w:cs="Times New Roman"/>
          <w:color w:val="auto"/>
          <w:spacing w:val="-4"/>
          <w:sz w:val="28"/>
          <w:szCs w:val="28"/>
        </w:rPr>
      </w:pPr>
      <w:r>
        <w:rPr>
          <w:rFonts w:hint="default" w:ascii="Times New Roman" w:hAnsi="Times New Roman" w:eastAsia="黑体" w:cs="Times New Roman"/>
          <w:color w:val="auto"/>
          <w:kern w:val="10"/>
          <w:sz w:val="32"/>
          <w:szCs w:val="32"/>
          <w:lang w:val="en-US" w:eastAsia="zh-CN" w:bidi="ar-SA"/>
        </w:rPr>
        <w:br w:type="page"/>
      </w:r>
    </w:p>
    <w:p>
      <w:pPr>
        <w:pStyle w:val="3"/>
        <w:numPr>
          <w:ilvl w:val="0"/>
          <w:numId w:val="28"/>
        </w:numPr>
        <w:bidi w:val="0"/>
        <w:rPr>
          <w:rFonts w:hint="default" w:ascii="Times New Roman" w:hAnsi="Times New Roman" w:cs="Times New Roman"/>
          <w:color w:val="auto"/>
        </w:rPr>
      </w:pPr>
      <w:bookmarkStart w:id="137" w:name="_Toc26865"/>
      <w:bookmarkStart w:id="138" w:name="_Toc6071"/>
      <w:bookmarkStart w:id="139" w:name="_Toc30849"/>
      <w:bookmarkStart w:id="140" w:name="_Toc4044"/>
      <w:r>
        <w:rPr>
          <w:rFonts w:hint="default" w:ascii="Times New Roman" w:hAnsi="Times New Roman" w:cs="Times New Roman"/>
          <w:color w:val="auto"/>
        </w:rPr>
        <w:t>项目安全条件评价交换意见表</w:t>
      </w:r>
      <w:bookmarkEnd w:id="137"/>
      <w:bookmarkEnd w:id="138"/>
    </w:p>
    <w:p>
      <w:pPr>
        <w:spacing w:line="240" w:lineRule="auto"/>
        <w:rPr>
          <w:rFonts w:hint="eastAsia" w:eastAsia="宋体"/>
          <w:color w:val="auto"/>
          <w:lang w:eastAsia="zh-CN"/>
        </w:rPr>
      </w:pPr>
      <w:r>
        <w:rPr>
          <w:rFonts w:hint="eastAsia" w:eastAsia="宋体"/>
          <w:color w:val="auto"/>
          <w:lang w:eastAsia="zh-CN"/>
        </w:rPr>
        <w:drawing>
          <wp:inline distT="0" distB="0" distL="114300" distR="114300">
            <wp:extent cx="5753735" cy="6555740"/>
            <wp:effectExtent l="0" t="0" r="18415" b="16510"/>
            <wp:docPr id="9" name="图片 9" descr="2023032403144155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30324031441551_0001"/>
                    <pic:cNvPicPr>
                      <a:picLocks noChangeAspect="1"/>
                    </pic:cNvPicPr>
                  </pic:nvPicPr>
                  <pic:blipFill>
                    <a:blip r:embed="rId18"/>
                    <a:srcRect b="19337"/>
                    <a:stretch>
                      <a:fillRect/>
                    </a:stretch>
                  </pic:blipFill>
                  <pic:spPr>
                    <a:xfrm>
                      <a:off x="0" y="0"/>
                      <a:ext cx="5753735" cy="6555740"/>
                    </a:xfrm>
                    <a:prstGeom prst="rect">
                      <a:avLst/>
                    </a:prstGeom>
                  </pic:spPr>
                </pic:pic>
              </a:graphicData>
            </a:graphic>
          </wp:inline>
        </w:drawing>
      </w:r>
    </w:p>
    <w:p>
      <w:pPr>
        <w:rPr>
          <w:rFonts w:hint="default" w:ascii="Times New Roman" w:hAnsi="Times New Roman" w:cs="Times New Roman"/>
          <w:color w:val="auto"/>
        </w:rPr>
      </w:pPr>
      <w:r>
        <w:rPr>
          <w:rFonts w:hint="default" w:ascii="Times New Roman" w:hAnsi="Times New Roman" w:cs="Times New Roman"/>
          <w:color w:val="auto"/>
        </w:rPr>
        <w:br w:type="page"/>
      </w:r>
    </w:p>
    <w:p>
      <w:pPr>
        <w:pStyle w:val="3"/>
        <w:bidi w:val="0"/>
        <w:jc w:val="center"/>
        <w:rPr>
          <w:rFonts w:hint="default" w:ascii="Times New Roman" w:hAnsi="Times New Roman" w:cs="Times New Roman"/>
          <w:color w:val="auto"/>
        </w:rPr>
      </w:pPr>
      <w:bookmarkStart w:id="141" w:name="_Toc24192"/>
      <w:r>
        <w:rPr>
          <w:rFonts w:hint="default" w:ascii="Times New Roman" w:hAnsi="Times New Roman" w:cs="Times New Roman"/>
          <w:color w:val="auto"/>
        </w:rPr>
        <w:t>附件A 物料的理化性质</w:t>
      </w:r>
      <w:bookmarkEnd w:id="139"/>
      <w:bookmarkEnd w:id="141"/>
    </w:p>
    <w:p>
      <w:pPr>
        <w:spacing w:line="240" w:lineRule="auto"/>
        <w:rPr>
          <w:rFonts w:hint="default" w:ascii="Times New Roman" w:hAnsi="Times New Roman" w:cs="Times New Roman"/>
          <w:b/>
          <w:bCs/>
          <w:color w:val="auto"/>
        </w:rPr>
      </w:pPr>
      <w:r>
        <w:rPr>
          <w:rFonts w:hint="default" w:ascii="Times New Roman" w:hAnsi="Times New Roman" w:cs="Times New Roman"/>
          <w:b/>
          <w:bCs/>
          <w:color w:val="auto"/>
        </w:rPr>
        <w:t>硫酸</w:t>
      </w:r>
    </w:p>
    <w:tbl>
      <w:tblPr>
        <w:tblStyle w:val="19"/>
        <w:tblW w:w="916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2343"/>
        <w:gridCol w:w="6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CAS：</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7664-93-9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名称：</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硫酸</w:t>
            </w:r>
          </w:p>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sulfuric 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分子式：</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H2SO4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分子量：</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有害物成分：</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健康危害：</w:t>
            </w:r>
          </w:p>
        </w:tc>
        <w:tc>
          <w:tcPr>
            <w:tcW w:w="6825" w:type="dxa"/>
            <w:tcMar>
              <w:top w:w="75" w:type="dxa"/>
              <w:left w:w="150" w:type="dxa"/>
              <w:bottom w:w="75" w:type="dxa"/>
              <w:right w:w="75" w:type="dxa"/>
            </w:tcMar>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对皮肤、粘膜等组织有强烈的刺激和腐蚀作用。蒸气或雾可引起结膜炎、结膜水肿、角膜混浊，以致失明；引起呼吸道刺激，重者发生呼吸困难和肺水肿；高浓度引起喉痉挛或声门水肿而窒息死亡。口服后引起消化道烧伤以致溃疡形成；严重者可能有胃穿孔、腹膜炎、肾损害、休克等。皮肤灼伤轻者出现红斑、重者形成溃疡，愈后癍痕收缩影响功能。溅入眼内可造成灼伤，甚至角膜穿孔、全眼炎以至失明。慢性影响：牙齿酸蚀症、慢性支气管炎、肺气肿和肺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环境危害：</w:t>
            </w:r>
          </w:p>
        </w:tc>
        <w:tc>
          <w:tcPr>
            <w:tcW w:w="6825" w:type="dxa"/>
            <w:tcMar>
              <w:top w:w="75" w:type="dxa"/>
              <w:left w:w="150" w:type="dxa"/>
              <w:bottom w:w="75" w:type="dxa"/>
              <w:right w:w="75" w:type="dxa"/>
            </w:tcMar>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对环境有危害，对水体和土壤可造成污染。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燃爆危险：</w:t>
            </w:r>
          </w:p>
        </w:tc>
        <w:tc>
          <w:tcPr>
            <w:tcW w:w="6825" w:type="dxa"/>
            <w:tcMar>
              <w:top w:w="75" w:type="dxa"/>
              <w:left w:w="150" w:type="dxa"/>
              <w:bottom w:w="75" w:type="dxa"/>
              <w:right w:w="75" w:type="dxa"/>
            </w:tcMar>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本品助燃，具强腐蚀性、强刺激性，可致人体灼伤。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皮肤接触：</w:t>
            </w:r>
          </w:p>
        </w:tc>
        <w:tc>
          <w:tcPr>
            <w:tcW w:w="6825" w:type="dxa"/>
            <w:tcMar>
              <w:top w:w="75" w:type="dxa"/>
              <w:left w:w="150" w:type="dxa"/>
              <w:bottom w:w="75" w:type="dxa"/>
              <w:right w:w="75" w:type="dxa"/>
            </w:tcMar>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立即脱去污染的衣着，用大量流动清水冲洗至少15分钟。就医。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眼睛接触：</w:t>
            </w:r>
          </w:p>
        </w:tc>
        <w:tc>
          <w:tcPr>
            <w:tcW w:w="6825" w:type="dxa"/>
            <w:tcMar>
              <w:top w:w="75" w:type="dxa"/>
              <w:left w:w="150" w:type="dxa"/>
              <w:bottom w:w="75" w:type="dxa"/>
              <w:right w:w="75" w:type="dxa"/>
            </w:tcMar>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立即提起眼睑，用大量流动清水或生理盐水彻底冲洗至少15分钟。就医。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吸入：</w:t>
            </w:r>
          </w:p>
        </w:tc>
        <w:tc>
          <w:tcPr>
            <w:tcW w:w="6825" w:type="dxa"/>
            <w:tcMar>
              <w:top w:w="75" w:type="dxa"/>
              <w:left w:w="150" w:type="dxa"/>
              <w:bottom w:w="75" w:type="dxa"/>
              <w:right w:w="75" w:type="dxa"/>
            </w:tcMar>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食入：</w:t>
            </w:r>
          </w:p>
        </w:tc>
        <w:tc>
          <w:tcPr>
            <w:tcW w:w="6825" w:type="dxa"/>
            <w:tcMar>
              <w:top w:w="75" w:type="dxa"/>
              <w:left w:w="150" w:type="dxa"/>
              <w:bottom w:w="75" w:type="dxa"/>
              <w:right w:w="75" w:type="dxa"/>
            </w:tcMar>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用水漱口，给饮牛奶或蛋清。就医。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危险特性：</w:t>
            </w:r>
          </w:p>
        </w:tc>
        <w:tc>
          <w:tcPr>
            <w:tcW w:w="6825" w:type="dxa"/>
            <w:tcMar>
              <w:top w:w="75" w:type="dxa"/>
              <w:left w:w="150" w:type="dxa"/>
              <w:bottom w:w="75" w:type="dxa"/>
              <w:right w:w="75" w:type="dxa"/>
            </w:tcMar>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遇水大量放热， 可发生沸溅。与易燃物（如苯）和可燃物（如糖、纤维素等）接触会发生剧烈反应，甚至引起燃烧。遇电石、高氯酸盐、雷酸盐、硝酸盐、苦味酸盐、金属粉末等猛烈反应，发生爆炸或燃烧。有强烈的腐蚀性和吸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有害燃烧产物：</w:t>
            </w:r>
          </w:p>
        </w:tc>
        <w:tc>
          <w:tcPr>
            <w:tcW w:w="6825" w:type="dxa"/>
            <w:tcMar>
              <w:top w:w="75" w:type="dxa"/>
              <w:left w:w="150" w:type="dxa"/>
              <w:bottom w:w="75" w:type="dxa"/>
              <w:right w:w="75" w:type="dxa"/>
            </w:tcMar>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氧化硫。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灭火方法：</w:t>
            </w:r>
          </w:p>
        </w:tc>
        <w:tc>
          <w:tcPr>
            <w:tcW w:w="6825" w:type="dxa"/>
            <w:tcMar>
              <w:top w:w="75" w:type="dxa"/>
              <w:left w:w="150" w:type="dxa"/>
              <w:bottom w:w="75" w:type="dxa"/>
              <w:right w:w="75" w:type="dxa"/>
            </w:tcMar>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消防人员必须穿全身耐酸碱消防服。灭火剂：干粉、二氧化碳、砂土。避免水流冲击物品，以免遇水会放出大量热量发生喷溅而灼伤皮肤。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应急处理：</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迅速撤离泄漏污染区人员至安全区，并进行隔离，严格限制出入。建议应急处理人员戴自给正压式呼吸器，穿防酸碱工作服。不要直接接触泄漏物。尽可能切断泄漏源。防止流入下水道、排洪沟等限制性空间。小量泄漏：用砂土、干燥石灰或苏打灰混合。也可以用大量水冲洗，洗水稀释后放入废水系统。大量泄漏：构筑围堤或挖坑收容。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操作注意事项：</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密闭操作，注意通风。操作尽可能机械化、自动化。操作人员必须经过专门培训，严格遵守操作规程。建议操作人员佩戴自吸过滤式防毒面具（全面罩），穿橡胶耐酸碱服，戴橡胶耐酸碱手套。远离火种、热源，工作场所严禁吸烟。远离易燃、可燃物。防止蒸气泄漏到工作场所空气中。避免与还原剂、碱类、碱金属接触。搬运时要轻装轻卸，防止包装及容器损坏。配备相应品种和数量的消防器材及泄漏应急处理设备。倒空的容器可能残留有害物。稀释或制备溶液时，应把酸加入水中，避免沸腾和飞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储存注意事项：</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储存于阴凉、通风的库房。库温不超过35℃，相对湿度不超过85％。保持容器密封。应与易（可）燃物、还原剂、碱类、碱金属、食用化学品分开存放，切忌混储。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PC-STEL</w:t>
            </w:r>
            <w:r>
              <w:rPr>
                <w:rFonts w:hint="default" w:ascii="Times New Roman" w:hAnsi="Times New Roman" w:cs="Times New Roman"/>
                <w:color w:val="auto"/>
                <w:kern w:val="0"/>
                <w:sz w:val="21"/>
                <w:szCs w:val="21"/>
              </w:rPr>
              <w:t>：</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PC-TWA</w:t>
            </w:r>
            <w:r>
              <w:rPr>
                <w:rFonts w:hint="default" w:ascii="Times New Roman" w:hAnsi="Times New Roman" w:cs="Times New Roman"/>
                <w:color w:val="auto"/>
                <w:kern w:val="0"/>
                <w:sz w:val="21"/>
                <w:szCs w:val="21"/>
              </w:rPr>
              <w:t>：</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TLVTN：</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ACGIH 1mg/m3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TLVWN：</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ACGIH 3mg/m3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监测方法：</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氰化钡比色法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工程控制：</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密闭操作，注意通风。尽可能机械化、自动化。提供安全淋浴和洗眼设备。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呼吸系统防护：</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可能接触其烟雾时，佩戴自吸过滤式防毒面具（全面罩）或空气呼吸器。紧急事态抢救或撤离时，建议佩戴氧气呼吸器。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眼睛防护：</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呼吸系统防护中已作防护。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身体防护：</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穿橡胶耐酸碱服。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手防护：</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戴橡胶耐酸碱手套。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其他防护：</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工作现场禁止吸烟、进食和饮水。工作完毕，淋浴更衣。单独存放被毒物污染的衣服，洗后备用。保持良好的卫生习惯。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主要成分：</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含量: 工业级 92.5％或98％。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外观与性状：</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纯品为无色透明油状液体，无臭。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熔点(℃)：</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沸点(℃)：</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相对密度(水=1)：</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相对蒸气密度(空气=1)：</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饱和蒸气压(kPa)：</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0.13(145.8℃)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燃烧热(kJ/mol)：</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闪点(℃)：</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引燃温度(℃)：</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爆炸上限%(V/V)：</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爆炸下限%(V/V)：</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溶解性：</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与水混溶。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主要用途：</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用于生产化学肥料，在化工、医药、塑料、染料、石油提炼等工业也有广泛的应用。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禁配物：</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碱类、碱金属、水、强还原剂、易燃或可燃物。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急性毒性：</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LD50：2140 mg/kg(大鼠经口) LC50：510mg/m3，2小时(大鼠吸入)；320mg/m3，2小时(小鼠吸入)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刺激性：</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家兔经眼：1380μg ，重度刺激。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其它有害作用：</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该物质对环境有危害，应特别注意对水体和土壤的污染。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废弃处置方法：</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缓慢加入碱液－石灰水中，并不断搅拌，反应停止后，用大量水冲入废水系统。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危险货物编号：</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UN编号：</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包装类别：</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O51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包装方法：</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耐酸坛或陶瓷瓶外普通木箱或半花格木箱；磨砂口玻璃瓶或螺纹口玻璃瓶外普通木箱。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343" w:type="dxa"/>
            <w:tcMar>
              <w:top w:w="75" w:type="dxa"/>
              <w:left w:w="0" w:type="dxa"/>
              <w:bottom w:w="75" w:type="dxa"/>
              <w:right w:w="0" w:type="dxa"/>
            </w:tcMa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运输注意事项：</w:t>
            </w:r>
          </w:p>
        </w:tc>
        <w:tc>
          <w:tcPr>
            <w:tcW w:w="6825" w:type="dxa"/>
            <w:tcMar>
              <w:top w:w="75" w:type="dxa"/>
              <w:left w:w="150" w:type="dxa"/>
              <w:bottom w:w="75" w:type="dxa"/>
              <w:right w:w="75" w:type="dxa"/>
            </w:tcMar>
            <w:vAlign w:val="center"/>
          </w:tcPr>
          <w:p>
            <w:pPr>
              <w:widowControl/>
              <w:spacing w:line="32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品铁路运输时限使用钢制企业自备罐车装运，装运前需报有关部门批准。铁路非罐装运输时应严格按照铁道部《危险货物运输规则》中的危险货物配装表进行配装。起运时包装要完整，装载应稳妥。运输过程中要确保容器不泄漏、不倒塌、不坠落、不损坏。严禁与易燃物或可燃物、还原剂、碱类、碱金属、食用化学品等混装混运。运输时运输车辆应配备泄漏应急处理设备。运输途中应防曝晒、雨淋，防高温。公路运输时要按规定路线行驶，勿在居民区和人口稠密区停留。</w:t>
            </w:r>
          </w:p>
        </w:tc>
      </w:tr>
    </w:tbl>
    <w:p>
      <w:pPr>
        <w:spacing w:line="240" w:lineRule="auto"/>
        <w:rPr>
          <w:rFonts w:hint="default" w:ascii="Times New Roman" w:hAnsi="Times New Roman" w:cs="Times New Roman"/>
          <w:b/>
          <w:bCs/>
          <w:color w:val="auto"/>
        </w:rPr>
      </w:pPr>
    </w:p>
    <w:p>
      <w:pPr>
        <w:spacing w:line="240" w:lineRule="auto"/>
        <w:rPr>
          <w:rFonts w:hint="default" w:ascii="Times New Roman" w:hAnsi="Times New Roman" w:cs="Times New Roman"/>
          <w:b/>
          <w:bCs/>
          <w:color w:val="auto"/>
        </w:rPr>
      </w:pPr>
      <w:r>
        <w:rPr>
          <w:rFonts w:hint="default" w:ascii="Times New Roman" w:hAnsi="Times New Roman" w:cs="Times New Roman"/>
          <w:b/>
          <w:bCs/>
          <w:color w:val="auto"/>
        </w:rPr>
        <w:t>盐酸</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58"/>
        <w:gridCol w:w="743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CAS：</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7647-01-0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名称：</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氯化氢</w:t>
            </w:r>
          </w:p>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盐酸</w:t>
            </w:r>
          </w:p>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hydrogen chloride</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分子式：</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HCl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分子量：</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36.46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有害物成分：</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氯化氢</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健康危害：</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品对眼和呼吸道粘膜有强烈的刺激作用。急性中毒：出现头痛、头昏、恶心、眼痛、咳嗽、痰中带血、声音嘶哑、呼吸困难、胸闷、胸痛等。重者发生肺炎、肺水肿、肺不张。眼角膜可见溃疡或混浊。皮肤直接接触可出现大量粟粒样红色小丘疹而呈潮红痛热。慢性影响：长期较高浓度接触，可引起慢性支气管炎、胃肠功能障碍及牙齿酸蚀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环境危害：</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对环境有危害，对水体可造成污染。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燃爆危险：</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本品不燃，具强刺激性。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皮肤接触：</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立即脱去污染的衣着，用大量流动清水冲洗至少15分钟。就医。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眼睛接触：</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立即提起眼睑，用大量流动清水或生理盐水彻底冲洗至少15分钟。就医。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吸入：</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迅速脱离现场至空气新鲜处。保持呼吸道通畅。如呼吸困难，给输氧。如呼吸停止，立即进行人工呼吸。就医。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危险特性：</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无水氯化氢无腐蚀性，但遇水时有强腐蚀性。能与一些活性金属粉末发生反应， 放出氢气。遇氰化物能产生剧毒的氰化氢气体。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灭火方法：</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本品不燃。但与其它物品接触引起火灾时，消防人员须穿戴全身防护服，关闭火场中钢瓶的阀门，减弱火势，并用水喷淋保护去关闭阀门的人员。喷水冷却容器，可能的话将容器从火场移至空旷处。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应急处理：</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迅速撤离泄漏污染区人员至上风处，并立即进行隔离，小泄漏时隔离150m，大泄漏时隔离300m，严格限制出入。建议应急处理人员戴自给正压式呼吸器，穿化学防护服。从上风处进入现场。尽可能切断泄漏源。合理通风，加速扩散。喷氨水或其它稀碱液中和。构筑围堤或挖坑收容产生的大量废水。如有可能，将残余气或漏出气用排风机送至水洗塔或与塔相连的通风橱内。漏气容器要妥善处理，修复、检验后再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操作注意事项：</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严加密闭，提供充分的局部排风和全面通风。操作人员必须经过专门培训，严格遵守操作规程。建议操作人员佩戴过滤式防毒面具（半面罩），戴化学安全防护眼镜，穿化学防护服，戴橡胶手套。避免产生烟雾。防止气体泄漏到工作场所空气中。避免与碱类、活性金属粉末接触。尤其要注意避免与水接触。搬运时轻装轻卸，防止钢瓶及附件破损。配备泄漏应急处理设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储存注意事项：</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储存于阴凉、通风的库房。远离火种、热源。库温不宜超过30℃。应与碱类、活性金属粉末分开存放，切忌混储。储区应备有泄漏应急处理设备。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中国MAC(mg/m3)：</w:t>
            </w:r>
          </w:p>
        </w:tc>
        <w:tc>
          <w:tcPr>
            <w:tcW w:w="3999" w:type="pct"/>
          </w:tcPr>
          <w:p>
            <w:pPr>
              <w:widowControl/>
              <w:wordWrap w:val="0"/>
              <w:spacing w:line="260" w:lineRule="exact"/>
              <w:jc w:val="left"/>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TLVTN：</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OSHA 5ppm，7.5[上限值]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TLVWN：</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ACGIH 5ppm，7.5mg/m3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监测方法：</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硫氰酸汞比色法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工程控制：</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严加密闭，提供充分的局部排风和全面通风。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呼吸系统防护：</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空气中浓度超标时，佩戴过滤式防毒面具（半面罩）。紧急事态抢救或撤离时，建议佩戴空气呼吸器。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眼睛防护：</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必要时，戴化学安全防护眼镜。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身体防护：</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穿化学防护服。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手防护：</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戴橡胶手套。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其他防护：</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工作完毕，淋浴更衣。保持良好的卫生习惯。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主要成分：</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纯品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外观与性状：</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无色有刺激性气味的气体。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熔点(℃)：</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-114.2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沸点(℃)：</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相对密度(水=1)：</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1.19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相对蒸气密度(空气=1)：</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饱和蒸气压(kPa)：</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4225.6(20℃)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燃烧热(kJ/mol)：</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无意义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临界温度(℃)：</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临界压力(MPa)：</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闪点(℃)：</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无意义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引燃温度(℃)：</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无意义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爆炸上限%(V/V)：</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无意义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爆炸下限%(V/V)：</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无意义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溶解性：</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易溶于水。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主要用途：</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制染料、香料、药物、各种氯化物及腐蚀抑制剂。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禁配物：</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碱类、活性金属粉末。</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急性毒性：</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LD50：无资料 LC50：4600mg/m3，1小时(大鼠吸入)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其它有害作用：</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该物质对环境有危害，应特别注意对水体的污染。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废弃处置方法：</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根据国家和地方有关法规的要求处置。或与厂商或制造商联系，确定处置方法。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危险货物编号：</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22022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UN编号：</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包装类别：</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O53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包装方法：</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钢质气瓶。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00"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运输注意事项：</w:t>
            </w:r>
          </w:p>
        </w:tc>
        <w:tc>
          <w:tcPr>
            <w:tcW w:w="3999" w:type="pct"/>
          </w:tcPr>
          <w:p>
            <w:pPr>
              <w:widowControl/>
              <w:wordWrap w:val="0"/>
              <w:spacing w:line="260" w:lineRule="exact"/>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铁路运输时应严格按照铁道部《危险货物运输规则》中的危险货物配装表进行配装。采用刚瓶运输时必须戴好钢瓶上的安全帽。钢瓶一般平放，并应将瓶口朝同一方向，不可交叉；高度不得超过车辆的防护栏板，并用三角木垫卡牢，防止滚动。严禁与碱类、活性金属粉末、食用化学品等混装混运。夏季应早晚运输，防止日光曝晒。公路运输时要按规定路线行驶，禁止在居民区和人口稠密区停留。铁路运输时要禁止溜放。</w:t>
            </w:r>
          </w:p>
        </w:tc>
      </w:tr>
    </w:tbl>
    <w:p>
      <w:pPr>
        <w:rPr>
          <w:rFonts w:hint="eastAsia" w:cs="Times New Roman"/>
          <w:color w:val="auto"/>
          <w:lang w:val="en-US" w:eastAsia="zh-CN"/>
        </w:rPr>
      </w:pPr>
      <w:bookmarkStart w:id="142" w:name="_Toc2009"/>
      <w:r>
        <w:rPr>
          <w:rFonts w:hint="eastAsia" w:cs="Times New Roman"/>
          <w:color w:val="auto"/>
          <w:lang w:val="en-US" w:eastAsia="zh-CN"/>
        </w:rPr>
        <w:br w:type="page"/>
      </w:r>
    </w:p>
    <w:p>
      <w:pPr>
        <w:rPr>
          <w:rFonts w:hint="eastAsia" w:cs="Times New Roman"/>
          <w:color w:val="auto"/>
          <w:lang w:val="en-US" w:eastAsia="zh-CN"/>
        </w:rPr>
      </w:pPr>
      <w:r>
        <w:rPr>
          <w:rFonts w:hint="eastAsia" w:cs="Times New Roman"/>
          <w:color w:val="auto"/>
          <w:lang w:val="en-US" w:eastAsia="zh-CN"/>
        </w:rPr>
        <w:t>氨</w:t>
      </w:r>
    </w:p>
    <w:tbl>
      <w:tblPr>
        <w:tblStyle w:val="19"/>
        <w:tblW w:w="5000" w:type="pct"/>
        <w:tblCellSpacing w:w="0" w:type="dxa"/>
        <w:tblInd w:w="-4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092"/>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none" w:color="auto" w:sz="0" w:space="0"/>
            <w:insideV w:val="none" w:color="auto" w:sz="0" w:space="0"/>
          </w:tblBorders>
          <w:tblCellMar>
            <w:top w:w="0" w:type="dxa"/>
            <w:left w:w="0" w:type="dxa"/>
            <w:bottom w:w="0" w:type="dxa"/>
            <w:right w:w="0" w:type="dxa"/>
          </w:tblCellMar>
        </w:tblPrEx>
        <w:trPr>
          <w:trHeight w:val="60" w:hRule="atLeast"/>
          <w:tblCellSpacing w:w="0" w:type="dxa"/>
        </w:trPr>
        <w:tc>
          <w:tcPr>
            <w:tcW w:w="5000" w:type="pct"/>
            <w:tcBorders>
              <w:tl2br w:val="nil"/>
              <w:tr2bl w:val="nil"/>
            </w:tcBorders>
            <w:shd w:val="clear" w:color="auto" w:fill="4D9BFA"/>
            <w:vAlign w:val="center"/>
          </w:tcPr>
          <w:p>
            <w:pPr>
              <w:keepNext w:val="0"/>
              <w:keepLines w:val="0"/>
              <w:widowControl/>
              <w:suppressLineNumbers w:val="0"/>
              <w:shd w:val="clear" w:fill="4D9BFA"/>
              <w:spacing w:line="240" w:lineRule="auto"/>
              <w:jc w:val="center"/>
              <w:rPr>
                <w:color w:val="auto"/>
              </w:rPr>
            </w:pPr>
            <w:r>
              <w:rPr>
                <w:rFonts w:ascii="宋体" w:hAnsi="宋体" w:eastAsia="宋体" w:cs="宋体"/>
                <w:b/>
                <w:bCs/>
                <w:color w:val="auto"/>
                <w:kern w:val="0"/>
                <w:sz w:val="24"/>
                <w:szCs w:val="24"/>
                <w:lang w:val="en-US" w:eastAsia="zh-CN" w:bidi="ar"/>
              </w:rPr>
              <w:t>氨；氨气（液氨）</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none" w:color="auto" w:sz="0" w:space="0"/>
            <w:insideV w:val="none" w:color="auto" w:sz="0" w:space="0"/>
          </w:tblBorders>
          <w:shd w:val="clear" w:color="auto" w:fill="auto"/>
          <w:tblCellMar>
            <w:top w:w="0" w:type="dxa"/>
            <w:left w:w="0" w:type="dxa"/>
            <w:bottom w:w="0" w:type="dxa"/>
            <w:right w:w="0" w:type="dxa"/>
          </w:tblCellMar>
        </w:tblPrEx>
        <w:trPr>
          <w:trHeight w:val="1120" w:hRule="atLeast"/>
          <w:tblCellSpacing w:w="0" w:type="dxa"/>
        </w:trPr>
        <w:tc>
          <w:tcPr>
            <w:tcW w:w="5000" w:type="pct"/>
            <w:tcBorders>
              <w:tl2br w:val="nil"/>
              <w:tr2bl w:val="nil"/>
            </w:tcBorders>
            <w:shd w:val="clear" w:color="auto" w:fill="auto"/>
            <w:vAlign w:val="top"/>
          </w:tcPr>
          <w:tbl>
            <w:tblPr>
              <w:tblStyle w:val="19"/>
              <w:tblW w:w="5000" w:type="pct"/>
              <w:tblCellSpacing w:w="22" w:type="dxa"/>
              <w:tblInd w:w="0" w:type="dxa"/>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Layout w:type="autofit"/>
              <w:tblCellMar>
                <w:top w:w="15" w:type="dxa"/>
                <w:left w:w="15" w:type="dxa"/>
                <w:bottom w:w="15" w:type="dxa"/>
                <w:right w:w="15" w:type="dxa"/>
              </w:tblCellMar>
            </w:tblPr>
            <w:tblGrid>
              <w:gridCol w:w="511"/>
              <w:gridCol w:w="2357"/>
              <w:gridCol w:w="6204"/>
            </w:tblGrid>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rHeight w:val="191" w:hRule="atLeast"/>
                <w:tblCellSpacing w:w="22" w:type="dxa"/>
              </w:trPr>
              <w:tc>
                <w:tcPr>
                  <w:tcW w:w="250" w:type="pct"/>
                  <w:vMerge w:val="restart"/>
                  <w:shd w:val="clear" w:color="auto" w:fill="D1D7ED"/>
                  <w:vAlign w:val="center"/>
                </w:tcPr>
                <w:p>
                  <w:pPr>
                    <w:pStyle w:val="13"/>
                    <w:keepNext w:val="0"/>
                    <w:keepLines w:val="0"/>
                    <w:widowControl/>
                    <w:suppressLineNumbers w:val="0"/>
                    <w:spacing w:line="240" w:lineRule="auto"/>
                    <w:jc w:val="center"/>
                    <w:rPr>
                      <w:color w:val="auto"/>
                    </w:rPr>
                  </w:pPr>
                  <w:r>
                    <w:rPr>
                      <w:b/>
                      <w:bCs/>
                      <w:color w:val="auto"/>
                      <w:sz w:val="20"/>
                      <w:szCs w:val="20"/>
                    </w:rPr>
                    <w:t>标</w:t>
                  </w:r>
                </w:p>
                <w:p>
                  <w:pPr>
                    <w:pStyle w:val="13"/>
                    <w:keepNext w:val="0"/>
                    <w:keepLines w:val="0"/>
                    <w:widowControl/>
                    <w:suppressLineNumbers w:val="0"/>
                    <w:spacing w:line="240" w:lineRule="auto"/>
                    <w:jc w:val="right"/>
                    <w:rPr>
                      <w:color w:val="auto"/>
                    </w:rPr>
                  </w:pPr>
                  <w:r>
                    <w:rPr>
                      <w:color w:val="auto"/>
                      <w:sz w:val="20"/>
                      <w:szCs w:val="20"/>
                    </w:rPr>
                    <w:t> </w:t>
                  </w:r>
                </w:p>
                <w:p>
                  <w:pPr>
                    <w:pStyle w:val="13"/>
                    <w:keepNext w:val="0"/>
                    <w:keepLines w:val="0"/>
                    <w:widowControl/>
                    <w:suppressLineNumbers w:val="0"/>
                    <w:spacing w:line="240" w:lineRule="auto"/>
                    <w:jc w:val="center"/>
                    <w:rPr>
                      <w:color w:val="auto"/>
                    </w:rPr>
                  </w:pPr>
                  <w:r>
                    <w:rPr>
                      <w:b/>
                      <w:bCs/>
                      <w:color w:val="auto"/>
                      <w:sz w:val="20"/>
                      <w:szCs w:val="20"/>
                    </w:rPr>
                    <w:t>识</w:t>
                  </w: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中文名：</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氨；氨气（液氨）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英文名：</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Ammonia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分子式：</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NH3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分子量：</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17.03  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CAS号：</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7664-41-7（无水）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RTECS号：</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B06750000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UN编号：</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1005（无水）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危险货物编号：</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23003  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IMDG规则页码：</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2104  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restart"/>
                  <w:shd w:val="clear" w:color="auto" w:fill="D1D7ED"/>
                  <w:vAlign w:val="center"/>
                </w:tcPr>
                <w:p>
                  <w:pPr>
                    <w:pStyle w:val="13"/>
                    <w:keepNext w:val="0"/>
                    <w:keepLines w:val="0"/>
                    <w:widowControl/>
                    <w:suppressLineNumbers w:val="0"/>
                    <w:spacing w:line="240" w:lineRule="auto"/>
                    <w:jc w:val="center"/>
                    <w:rPr>
                      <w:color w:val="auto"/>
                    </w:rPr>
                  </w:pPr>
                  <w:r>
                    <w:rPr>
                      <w:b/>
                      <w:bCs/>
                      <w:color w:val="auto"/>
                      <w:sz w:val="20"/>
                      <w:szCs w:val="20"/>
                    </w:rPr>
                    <w:t>理</w:t>
                  </w:r>
                </w:p>
                <w:p>
                  <w:pPr>
                    <w:pStyle w:val="13"/>
                    <w:keepNext w:val="0"/>
                    <w:keepLines w:val="0"/>
                    <w:widowControl/>
                    <w:suppressLineNumbers w:val="0"/>
                    <w:spacing w:line="240" w:lineRule="auto"/>
                    <w:jc w:val="center"/>
                    <w:rPr>
                      <w:color w:val="auto"/>
                    </w:rPr>
                  </w:pPr>
                  <w:r>
                    <w:rPr>
                      <w:b/>
                      <w:bCs/>
                      <w:color w:val="auto"/>
                      <w:sz w:val="20"/>
                      <w:szCs w:val="20"/>
                    </w:rPr>
                    <w:t>化</w:t>
                  </w:r>
                </w:p>
                <w:p>
                  <w:pPr>
                    <w:pStyle w:val="13"/>
                    <w:keepNext w:val="0"/>
                    <w:keepLines w:val="0"/>
                    <w:widowControl/>
                    <w:suppressLineNumbers w:val="0"/>
                    <w:spacing w:line="240" w:lineRule="auto"/>
                    <w:jc w:val="center"/>
                    <w:rPr>
                      <w:color w:val="auto"/>
                    </w:rPr>
                  </w:pPr>
                  <w:r>
                    <w:rPr>
                      <w:b/>
                      <w:bCs/>
                      <w:color w:val="auto"/>
                      <w:sz w:val="20"/>
                      <w:szCs w:val="20"/>
                    </w:rPr>
                    <w:t>性</w:t>
                  </w:r>
                </w:p>
                <w:p>
                  <w:pPr>
                    <w:pStyle w:val="13"/>
                    <w:keepNext w:val="0"/>
                    <w:keepLines w:val="0"/>
                    <w:widowControl/>
                    <w:suppressLineNumbers w:val="0"/>
                    <w:spacing w:line="240" w:lineRule="auto"/>
                    <w:jc w:val="center"/>
                    <w:rPr>
                      <w:color w:val="auto"/>
                    </w:rPr>
                  </w:pPr>
                  <w:r>
                    <w:rPr>
                      <w:b/>
                      <w:bCs/>
                      <w:color w:val="auto"/>
                      <w:sz w:val="20"/>
                      <w:szCs w:val="20"/>
                    </w:rPr>
                    <w:t>质</w:t>
                  </w: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外观与性状：</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无色有刺激性恶臭的气体。可由氮和氢直接合成而制得。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主要用途：</w:t>
                  </w:r>
                </w:p>
              </w:tc>
              <w:tc>
                <w:tcPr>
                  <w:tcW w:w="3449" w:type="pct"/>
                  <w:shd w:val="clear" w:color="auto" w:fill="auto"/>
                  <w:vAlign w:val="center"/>
                </w:tcPr>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用作致冷剂及制取铵盐和氮肥。</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密度0．7710</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CAS：1336—21—6(25％水溶液)</w:t>
                  </w:r>
                </w:p>
                <w:p>
                  <w:pPr>
                    <w:pStyle w:val="2"/>
                    <w:rPr>
                      <w:lang w:val="en-US" w:eastAsia="zh-CN"/>
                    </w:rPr>
                  </w:pPr>
                </w:p>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UN：1005(无水：大于50％氨溶液)；UN2672(10％～35％氨溶液)；UN 2073(大于35％但小于50％氨溶液)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熔点：</w:t>
                  </w:r>
                </w:p>
              </w:tc>
              <w:tc>
                <w:tcPr>
                  <w:tcW w:w="0" w:type="auto"/>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-77．7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沸点：</w:t>
                  </w:r>
                </w:p>
              </w:tc>
              <w:tc>
                <w:tcPr>
                  <w:tcW w:w="0" w:type="auto"/>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-33．5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相对密度(水=1)：</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0．82／-79℃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相对密度(空气=1):</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0．5971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饱和蒸汽压(kPa)：</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506．62／4．7℃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溶解性：</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易溶于水、乙醇、乙醚。易被压缩，加压可形成清澈无色的液体。易溶于水，并生成碱性腐蚀性的氢氧化铵溶液。氨浮在水上并发生“沸腾”。能产生可见的有毒蒸气团。气体比空气轻，遇冷附着在地面上。也易被固化成雪状的固体。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临界温度(℃)：</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132．4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临界压力(MPa)：</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11．20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燃烧热(kj/mol)：</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无资料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PrEx>
              <w:trPr>
                <w:tblCellSpacing w:w="22" w:type="dxa"/>
              </w:trPr>
              <w:tc>
                <w:tcPr>
                  <w:tcW w:w="250" w:type="pct"/>
                  <w:vMerge w:val="restart"/>
                  <w:shd w:val="clear" w:color="auto" w:fill="D1D7ED"/>
                  <w:vAlign w:val="center"/>
                </w:tcPr>
                <w:p>
                  <w:pPr>
                    <w:keepNext w:val="0"/>
                    <w:keepLines w:val="0"/>
                    <w:widowControl/>
                    <w:suppressLineNumbers w:val="0"/>
                    <w:spacing w:line="240" w:lineRule="auto"/>
                    <w:jc w:val="center"/>
                    <w:rPr>
                      <w:rFonts w:ascii="宋体" w:hAnsi="宋体" w:eastAsia="宋体" w:cs="宋体"/>
                      <w:b/>
                      <w:bCs/>
                      <w:color w:val="auto"/>
                      <w:kern w:val="0"/>
                      <w:sz w:val="20"/>
                      <w:szCs w:val="20"/>
                      <w:lang w:val="en-US" w:eastAsia="zh-CN" w:bidi="ar"/>
                    </w:rPr>
                  </w:pPr>
                  <w:r>
                    <w:rPr>
                      <w:rFonts w:ascii="宋体" w:hAnsi="宋体" w:eastAsia="宋体" w:cs="宋体"/>
                      <w:b/>
                      <w:bCs/>
                      <w:color w:val="auto"/>
                      <w:kern w:val="0"/>
                      <w:sz w:val="20"/>
                      <w:szCs w:val="20"/>
                      <w:lang w:val="en-US" w:eastAsia="zh-CN" w:bidi="ar"/>
                    </w:rPr>
                    <w:t>燃</w:t>
                  </w:r>
                </w:p>
                <w:p>
                  <w:pPr>
                    <w:pStyle w:val="2"/>
                    <w:rPr>
                      <w:lang w:val="en-US" w:eastAsia="zh-CN"/>
                    </w:rPr>
                  </w:pPr>
                </w:p>
                <w:p>
                  <w:pPr>
                    <w:keepNext w:val="0"/>
                    <w:keepLines w:val="0"/>
                    <w:widowControl/>
                    <w:suppressLineNumbers w:val="0"/>
                    <w:spacing w:line="240" w:lineRule="auto"/>
                    <w:jc w:val="center"/>
                    <w:rPr>
                      <w:rFonts w:ascii="宋体" w:hAnsi="宋体" w:eastAsia="宋体" w:cs="宋体"/>
                      <w:b/>
                      <w:bCs/>
                      <w:color w:val="auto"/>
                      <w:kern w:val="0"/>
                      <w:sz w:val="20"/>
                      <w:szCs w:val="20"/>
                      <w:lang w:val="en-US" w:eastAsia="zh-CN" w:bidi="ar"/>
                    </w:rPr>
                  </w:pPr>
                  <w:r>
                    <w:rPr>
                      <w:rFonts w:ascii="宋体" w:hAnsi="宋体" w:eastAsia="宋体" w:cs="宋体"/>
                      <w:b/>
                      <w:bCs/>
                      <w:color w:val="auto"/>
                      <w:kern w:val="0"/>
                      <w:sz w:val="20"/>
                      <w:szCs w:val="20"/>
                      <w:lang w:val="en-US" w:eastAsia="zh-CN" w:bidi="ar"/>
                    </w:rPr>
                    <w:t>烧</w:t>
                  </w:r>
                </w:p>
                <w:p>
                  <w:pPr>
                    <w:pStyle w:val="2"/>
                    <w:rPr>
                      <w:lang w:val="en-US" w:eastAsia="zh-CN"/>
                    </w:rPr>
                  </w:pPr>
                </w:p>
                <w:p>
                  <w:pPr>
                    <w:keepNext w:val="0"/>
                    <w:keepLines w:val="0"/>
                    <w:widowControl/>
                    <w:suppressLineNumbers w:val="0"/>
                    <w:spacing w:line="240" w:lineRule="auto"/>
                    <w:jc w:val="center"/>
                    <w:rPr>
                      <w:rFonts w:ascii="宋体" w:hAnsi="宋体" w:eastAsia="宋体" w:cs="宋体"/>
                      <w:b/>
                      <w:bCs/>
                      <w:color w:val="auto"/>
                      <w:kern w:val="0"/>
                      <w:sz w:val="20"/>
                      <w:szCs w:val="20"/>
                      <w:lang w:val="en-US" w:eastAsia="zh-CN" w:bidi="ar"/>
                    </w:rPr>
                  </w:pPr>
                  <w:r>
                    <w:rPr>
                      <w:rFonts w:ascii="宋体" w:hAnsi="宋体" w:eastAsia="宋体" w:cs="宋体"/>
                      <w:b/>
                      <w:bCs/>
                      <w:color w:val="auto"/>
                      <w:kern w:val="0"/>
                      <w:sz w:val="20"/>
                      <w:szCs w:val="20"/>
                      <w:lang w:val="en-US" w:eastAsia="zh-CN" w:bidi="ar"/>
                    </w:rPr>
                    <w:t>爆</w:t>
                  </w:r>
                </w:p>
                <w:p>
                  <w:pPr>
                    <w:pStyle w:val="2"/>
                    <w:rPr>
                      <w:lang w:val="en-US" w:eastAsia="zh-CN"/>
                    </w:rPr>
                  </w:pPr>
                </w:p>
                <w:p>
                  <w:pPr>
                    <w:keepNext w:val="0"/>
                    <w:keepLines w:val="0"/>
                    <w:widowControl/>
                    <w:suppressLineNumbers w:val="0"/>
                    <w:spacing w:line="240" w:lineRule="auto"/>
                    <w:jc w:val="center"/>
                    <w:rPr>
                      <w:rFonts w:ascii="宋体" w:hAnsi="宋体" w:eastAsia="宋体" w:cs="宋体"/>
                      <w:b/>
                      <w:bCs/>
                      <w:color w:val="auto"/>
                      <w:kern w:val="0"/>
                      <w:sz w:val="20"/>
                      <w:szCs w:val="20"/>
                      <w:lang w:val="en-US" w:eastAsia="zh-CN" w:bidi="ar"/>
                    </w:rPr>
                  </w:pPr>
                  <w:r>
                    <w:rPr>
                      <w:rFonts w:ascii="宋体" w:hAnsi="宋体" w:eastAsia="宋体" w:cs="宋体"/>
                      <w:b/>
                      <w:bCs/>
                      <w:color w:val="auto"/>
                      <w:kern w:val="0"/>
                      <w:sz w:val="20"/>
                      <w:szCs w:val="20"/>
                      <w:lang w:val="en-US" w:eastAsia="zh-CN" w:bidi="ar"/>
                    </w:rPr>
                    <w:t>炸</w:t>
                  </w:r>
                </w:p>
                <w:p>
                  <w:pPr>
                    <w:pStyle w:val="2"/>
                    <w:rPr>
                      <w:lang w:val="en-US" w:eastAsia="zh-CN"/>
                    </w:rPr>
                  </w:pPr>
                </w:p>
                <w:p>
                  <w:pPr>
                    <w:keepNext w:val="0"/>
                    <w:keepLines w:val="0"/>
                    <w:widowControl/>
                    <w:suppressLineNumbers w:val="0"/>
                    <w:spacing w:line="240" w:lineRule="auto"/>
                    <w:jc w:val="center"/>
                    <w:rPr>
                      <w:rFonts w:ascii="宋体" w:hAnsi="宋体" w:eastAsia="宋体" w:cs="宋体"/>
                      <w:b/>
                      <w:bCs/>
                      <w:color w:val="auto"/>
                      <w:kern w:val="0"/>
                      <w:sz w:val="20"/>
                      <w:szCs w:val="20"/>
                      <w:lang w:val="en-US" w:eastAsia="zh-CN" w:bidi="ar"/>
                    </w:rPr>
                  </w:pPr>
                  <w:r>
                    <w:rPr>
                      <w:rFonts w:ascii="宋体" w:hAnsi="宋体" w:eastAsia="宋体" w:cs="宋体"/>
                      <w:b/>
                      <w:bCs/>
                      <w:color w:val="auto"/>
                      <w:kern w:val="0"/>
                      <w:sz w:val="20"/>
                      <w:szCs w:val="20"/>
                      <w:lang w:val="en-US" w:eastAsia="zh-CN" w:bidi="ar"/>
                    </w:rPr>
                    <w:t>危</w:t>
                  </w:r>
                </w:p>
                <w:p>
                  <w:pPr>
                    <w:pStyle w:val="2"/>
                    <w:rPr>
                      <w:lang w:val="en-US" w:eastAsia="zh-CN"/>
                    </w:rPr>
                  </w:pPr>
                </w:p>
                <w:p>
                  <w:pPr>
                    <w:keepNext w:val="0"/>
                    <w:keepLines w:val="0"/>
                    <w:widowControl/>
                    <w:suppressLineNumbers w:val="0"/>
                    <w:spacing w:line="240" w:lineRule="auto"/>
                    <w:jc w:val="center"/>
                    <w:rPr>
                      <w:rFonts w:ascii="宋体" w:hAnsi="宋体" w:eastAsia="宋体" w:cs="宋体"/>
                      <w:b/>
                      <w:bCs/>
                      <w:color w:val="auto"/>
                      <w:kern w:val="0"/>
                      <w:sz w:val="20"/>
                      <w:szCs w:val="20"/>
                      <w:lang w:val="en-US" w:eastAsia="zh-CN" w:bidi="ar"/>
                    </w:rPr>
                  </w:pPr>
                  <w:r>
                    <w:rPr>
                      <w:rFonts w:ascii="宋体" w:hAnsi="宋体" w:eastAsia="宋体" w:cs="宋体"/>
                      <w:b/>
                      <w:bCs/>
                      <w:color w:val="auto"/>
                      <w:kern w:val="0"/>
                      <w:sz w:val="20"/>
                      <w:szCs w:val="20"/>
                      <w:lang w:val="en-US" w:eastAsia="zh-CN" w:bidi="ar"/>
                    </w:rPr>
                    <w:t>险</w:t>
                  </w:r>
                </w:p>
                <w:p>
                  <w:pPr>
                    <w:pStyle w:val="2"/>
                    <w:rPr>
                      <w:lang w:val="en-US" w:eastAsia="zh-CN"/>
                    </w:rPr>
                  </w:pPr>
                </w:p>
                <w:p>
                  <w:pPr>
                    <w:keepNext w:val="0"/>
                    <w:keepLines w:val="0"/>
                    <w:widowControl/>
                    <w:suppressLineNumbers w:val="0"/>
                    <w:spacing w:line="240" w:lineRule="auto"/>
                    <w:jc w:val="center"/>
                    <w:rPr>
                      <w:color w:val="auto"/>
                      <w:sz w:val="20"/>
                      <w:szCs w:val="20"/>
                    </w:rPr>
                  </w:pPr>
                  <w:r>
                    <w:rPr>
                      <w:rFonts w:ascii="宋体" w:hAnsi="宋体" w:eastAsia="宋体" w:cs="宋体"/>
                      <w:b/>
                      <w:bCs/>
                      <w:color w:val="auto"/>
                      <w:kern w:val="0"/>
                      <w:sz w:val="20"/>
                      <w:szCs w:val="20"/>
                      <w:lang w:val="en-US" w:eastAsia="zh-CN" w:bidi="ar"/>
                    </w:rPr>
                    <w:t>性</w:t>
                  </w: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避免接触的条件：</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燃烧性：</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易燃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建规火险分级：</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乙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闪点(℃)：</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气体。低于0℃下闪点不确定；有时难以点燃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自燃温度(℃)：</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651℃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爆炸下限(V%)：</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15．7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爆炸上限(V%)：</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27．4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危险特性：</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与空气混合能形成爆炸性混合物，遇明火、高热能引起燃烧爆炸。与氟、氯等能发生剧烈的化学反应。若遇高热，容器内压增大，有开裂和爆炸的危险。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燃烧(分解)产物：</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氧化氮、氨。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稳定性：</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稳定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聚合危害：</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不能出现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禁忌物：</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卤素、酰基氯、酸类、氯仿、强氧化剂。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灭火方法：</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切断气源。若不能立即切断气源，则不允许熄灭正在燃烧的气体。喷水冷却容器，可能的话将容器从火场移至空旷处。雾状水；泡沫、二氧化碳。消防器具(包括SCBA)不能提供足够有效的防护。若不小心接触，立即撤离现场，隔离器具，对人员彻底清污。如果该物质或被污染的流体进入水路，通知有潜在水体污染的下游用户，通知地方卫生、消防官员和污染控制部门。在安全防爆距离以外，使用雾状水冷却暴露的容器。若冷却水流不起作用(排放音量、音调升高，罐体变色或有任何变形的迹象)，立即撤离到安全区域。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restart"/>
                  <w:shd w:val="clear" w:color="auto" w:fill="D1D7ED"/>
                  <w:vAlign w:val="center"/>
                </w:tcPr>
                <w:p>
                  <w:pPr>
                    <w:keepNext w:val="0"/>
                    <w:keepLines w:val="0"/>
                    <w:widowControl/>
                    <w:suppressLineNumbers w:val="0"/>
                    <w:spacing w:line="240" w:lineRule="auto"/>
                    <w:jc w:val="center"/>
                    <w:rPr>
                      <w:color w:val="auto"/>
                      <w:sz w:val="20"/>
                      <w:szCs w:val="20"/>
                    </w:rPr>
                  </w:pPr>
                  <w:r>
                    <w:rPr>
                      <w:rFonts w:ascii="宋体" w:hAnsi="宋体" w:eastAsia="宋体" w:cs="宋体"/>
                      <w:b/>
                      <w:bCs/>
                      <w:color w:val="auto"/>
                      <w:kern w:val="0"/>
                      <w:sz w:val="20"/>
                      <w:szCs w:val="20"/>
                      <w:lang w:val="en-US" w:eastAsia="zh-CN" w:bidi="ar"/>
                    </w:rPr>
                    <w:t>包装与储运</w:t>
                  </w: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危险性类别：</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第2．3类  有毒气体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危险货物包装标志：</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6；32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包装类别：</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Ⅱ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储运注意事项：</w:t>
                  </w:r>
                </w:p>
              </w:tc>
              <w:tc>
                <w:tcPr>
                  <w:tcW w:w="3449" w:type="pct"/>
                  <w:shd w:val="clear" w:color="auto" w:fill="auto"/>
                  <w:vAlign w:val="center"/>
                </w:tcPr>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易燃、腐蚀性压缩气体。储存于阴凉、干燥、通风处。远离火种、热源。防止阳光直射。应与卤素(氟、氯、溴)、酸类等分开存放。罐储时要有防火防爆技术措施。配备相应品种和数量的消防器材。禁止使用易产生火花的机械设备和工具。验收时要注意品名，注意验瓶日期，先进仓的先发用。槽车运送时要灌装适量，不可超压超量运输。搬运时轻装轻卸，防止钢瓶及附件破损。运输按规定路线行驶，中途不得停驶。</w:t>
                  </w:r>
                </w:p>
                <w:p>
                  <w:pPr>
                    <w:pStyle w:val="2"/>
                    <w:rPr>
                      <w:lang w:val="en-US" w:eastAsia="zh-CN"/>
                    </w:rPr>
                  </w:pP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ERG指南：125(无水  大于50％氨溶液)；154(10％-35％氨溶液)；125(大于35％但小于50％氨溶液)</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ERG指南分类：125：气体—腐蚀性的</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                 154：有毒和／或腐蚀性物质(不燃的)</w:t>
                  </w:r>
                </w:p>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                 125：气体—腐蚀性的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restart"/>
                  <w:shd w:val="clear" w:color="auto" w:fill="D1D7ED"/>
                  <w:vAlign w:val="center"/>
                </w:tcPr>
                <w:p>
                  <w:pPr>
                    <w:keepNext w:val="0"/>
                    <w:keepLines w:val="0"/>
                    <w:widowControl/>
                    <w:suppressLineNumbers w:val="0"/>
                    <w:spacing w:line="240" w:lineRule="auto"/>
                    <w:jc w:val="center"/>
                    <w:rPr>
                      <w:color w:val="auto"/>
                      <w:sz w:val="20"/>
                      <w:szCs w:val="20"/>
                    </w:rPr>
                  </w:pPr>
                  <w:r>
                    <w:rPr>
                      <w:rFonts w:ascii="宋体" w:hAnsi="宋体" w:eastAsia="宋体" w:cs="宋体"/>
                      <w:b/>
                      <w:bCs/>
                      <w:color w:val="auto"/>
                      <w:kern w:val="0"/>
                      <w:sz w:val="20"/>
                      <w:szCs w:val="20"/>
                      <w:lang w:val="en-US" w:eastAsia="zh-CN" w:bidi="ar"/>
                    </w:rPr>
                    <w:t>毒性危害</w:t>
                  </w: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接触限值：</w:t>
                  </w:r>
                </w:p>
              </w:tc>
              <w:tc>
                <w:tcPr>
                  <w:tcW w:w="3449" w:type="pct"/>
                  <w:shd w:val="clear" w:color="auto" w:fill="auto"/>
                  <w:vAlign w:val="center"/>
                </w:tcPr>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中国MAC：30mg／m3</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苏联MAC：20mg／m3</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美国TWA：OSHA 50ppm，34mg／m3；ACGIH 25ppm，17mg／m3</w:t>
                  </w:r>
                </w:p>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美国STEL：ACGIH 35ppm，24mg／m3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侵入途径：</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吸入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毒性：</w:t>
                  </w:r>
                </w:p>
              </w:tc>
              <w:tc>
                <w:tcPr>
                  <w:tcW w:w="3449" w:type="pct"/>
                  <w:shd w:val="clear" w:color="auto" w:fill="auto"/>
                  <w:vAlign w:val="center"/>
                </w:tcPr>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属低毒类</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LD50：350mg／kg(大鼠经口)</w:t>
                  </w:r>
                </w:p>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LC50：2000ppm 4小时(大鼠吸入)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健康危害：</w:t>
                  </w:r>
                </w:p>
              </w:tc>
              <w:tc>
                <w:tcPr>
                  <w:tcW w:w="3449" w:type="pct"/>
                  <w:shd w:val="clear" w:color="auto" w:fill="auto"/>
                  <w:vAlign w:val="center"/>
                </w:tcPr>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低浓度氨对粘膜有刺激作用，高浓度可造成组织溶解性坏死，引起化学性肺炎及灼伤。急性中毒：轻度者表现为皮肤、粘膜的刺激反应，出现鼻炎、咽炎、气管及支气管炎；可有角膜及皮肤灼伤。重度者出现喉头水肿、声门狭窄、呼吸道粘膜细胞脱落、气道阻塞而窒息，可有中毒性肺水肿和肝损伤。氨可引起反射性呼吸停止。如氨溅入眼内，可致晶体浑浊、角膜穿孔，甚至失明。</w:t>
                  </w:r>
                </w:p>
                <w:p>
                  <w:pPr>
                    <w:pStyle w:val="2"/>
                    <w:rPr>
                      <w:lang w:val="en-US" w:eastAsia="zh-CN"/>
                    </w:rPr>
                  </w:pP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IDLH：300ppm</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嗅阈：5．75ppm</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OSHA：表Z—1空气污染物</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OSHA高危险化学品过程安全管理：29CFR 1910．119，附录A，TQ=无水10000lb(4535．92kg)；溶液(氨重量含量&gt;44％)15000lb(6203．89kg)</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NIOSH标准文件：N10SH74—136</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健康危害(蓝色)：    3</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易燃性(红色)：      1</w:t>
                  </w:r>
                </w:p>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反应活性(黄色)：    0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PrEx>
              <w:trPr>
                <w:tblCellSpacing w:w="22" w:type="dxa"/>
              </w:trPr>
              <w:tc>
                <w:tcPr>
                  <w:tcW w:w="250" w:type="pct"/>
                  <w:vMerge w:val="restart"/>
                  <w:shd w:val="clear" w:color="auto" w:fill="D1D7ED"/>
                  <w:vAlign w:val="center"/>
                </w:tcPr>
                <w:p>
                  <w:pPr>
                    <w:pStyle w:val="13"/>
                    <w:keepNext w:val="0"/>
                    <w:keepLines w:val="0"/>
                    <w:widowControl/>
                    <w:suppressLineNumbers w:val="0"/>
                    <w:spacing w:line="240" w:lineRule="auto"/>
                    <w:jc w:val="center"/>
                    <w:rPr>
                      <w:color w:val="auto"/>
                    </w:rPr>
                  </w:pPr>
                  <w:r>
                    <w:rPr>
                      <w:b/>
                      <w:bCs/>
                      <w:color w:val="auto"/>
                      <w:sz w:val="20"/>
                      <w:szCs w:val="20"/>
                    </w:rPr>
                    <w:t>急</w:t>
                  </w:r>
                </w:p>
                <w:p>
                  <w:pPr>
                    <w:pStyle w:val="13"/>
                    <w:keepNext w:val="0"/>
                    <w:keepLines w:val="0"/>
                    <w:widowControl/>
                    <w:suppressLineNumbers w:val="0"/>
                    <w:spacing w:line="240" w:lineRule="auto"/>
                    <w:jc w:val="center"/>
                    <w:rPr>
                      <w:color w:val="auto"/>
                    </w:rPr>
                  </w:pPr>
                  <w:r>
                    <w:rPr>
                      <w:b/>
                      <w:bCs/>
                      <w:color w:val="auto"/>
                      <w:sz w:val="20"/>
                      <w:szCs w:val="20"/>
                    </w:rPr>
                    <w:t>救</w:t>
                  </w: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皮肤接触：</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立即脱去污染的衣着，用大量流动清水彻底冲洗。或用3%硼酸溶液冲洗。若有灼伤，就医治疗。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眼睛接触：</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立即提起眼睑，用流动清水或生理盐水冲洗至少15分钟。立即就医。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吸入：</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迅速脱离现场至空气新鲜处。保持呼吸道通畅。呼吸困难时给输氧。呼吸停止时，立即进行人工呼吸。就医。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食入：</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具体急救：1、氨(无水氨，&gt;50％氨)：移患者至空气新鲜处，就医。如果患者呼吸停止，给予人工呼吸，如果患者食入或吸入该物质不要用口对口进行人工呼吸，可用单向阀小型呼吸器或其他适当的医疗呼吸器。如果呼吸困难，给予吸氧。脱去并隔离被污染的衣服和鞋。接触液化气体，接触部位用温水浸泡复温。注意患者保暖并且保持安静。注意观察病情。接触或吸入可引起迟发反应。确保医务人员了解该物质相关的个体防护知识，注意自身防护。2、氨溶液(10％～35％)：移患者至空气新鲜处，就医。如果患者呼吸停止，给予人工呼吸，如果患者食入或吸入该物质不要用口对口进行人工呼吸，可用单向阀小型呼吸器或其他适当的医疗呼吸器。如果呼吸困难，给予吸氧。脱去并隔离被污染的衣服和鞋。如果皮肤或眼睛接触该物质，应立即用清水冲洗至少20min。对少量皮肤接触，避免将物质播散面积扩大。注意患者保暖并且保持安静。吸入、食入或皮肤接触该物质可引起迟发反应。确保医务人员了解该物质相关的个体防护知识，注意自身防护。3、氨溶液(&gt;35％且&lt;50％)：移患者至空气新鲜处，就医。如果患者呼吸停止，给予人工呼吸，如果患者食入或吸入该物质不要用口对口进行人工呼吸；可用单向阀小型呼吸器或其他适当的医疗呼吸器。如果呼吸困难，给予吸氧。脱去并隔离被污染的衣服和鞋。接触液化气体，接触部位用温水浸泡复温。如果皮肤或眼晴接触该物质，应立即用清水冲洗至少20min。注意患者保暖并且保持安静。注意观察病情。接触或吸入可引起迟发反应。确保医务人员了解该物质相关的个体防护知识，注意自身防护。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restart"/>
                  <w:shd w:val="clear" w:color="auto" w:fill="D1D7ED"/>
                  <w:vAlign w:val="center"/>
                </w:tcPr>
                <w:p>
                  <w:pPr>
                    <w:pStyle w:val="13"/>
                    <w:keepNext w:val="0"/>
                    <w:keepLines w:val="0"/>
                    <w:widowControl/>
                    <w:suppressLineNumbers w:val="0"/>
                    <w:spacing w:line="240" w:lineRule="auto"/>
                    <w:jc w:val="center"/>
                    <w:rPr>
                      <w:rFonts w:hint="eastAsia" w:eastAsia="宋体"/>
                      <w:b/>
                      <w:bCs/>
                      <w:color w:val="auto"/>
                      <w:sz w:val="20"/>
                      <w:szCs w:val="20"/>
                      <w:lang w:eastAsia="zh-CN"/>
                    </w:rPr>
                  </w:pPr>
                  <w:r>
                    <w:rPr>
                      <w:b/>
                      <w:bCs/>
                      <w:color w:val="auto"/>
                      <w:sz w:val="20"/>
                      <w:szCs w:val="20"/>
                    </w:rPr>
                    <w:t>防</w:t>
                  </w:r>
                </w:p>
                <w:p>
                  <w:pPr>
                    <w:rPr>
                      <w:rFonts w:hint="eastAsia"/>
                      <w:lang w:eastAsia="zh-CN"/>
                    </w:rPr>
                  </w:pPr>
                </w:p>
                <w:p>
                  <w:pPr>
                    <w:pStyle w:val="13"/>
                    <w:keepNext w:val="0"/>
                    <w:keepLines w:val="0"/>
                    <w:widowControl/>
                    <w:suppressLineNumbers w:val="0"/>
                    <w:spacing w:line="240" w:lineRule="auto"/>
                    <w:jc w:val="center"/>
                    <w:rPr>
                      <w:rFonts w:hint="eastAsia" w:eastAsia="宋体"/>
                      <w:b/>
                      <w:bCs/>
                      <w:color w:val="auto"/>
                      <w:sz w:val="20"/>
                      <w:szCs w:val="20"/>
                      <w:lang w:eastAsia="zh-CN"/>
                    </w:rPr>
                  </w:pPr>
                  <w:r>
                    <w:rPr>
                      <w:b/>
                      <w:bCs/>
                      <w:color w:val="auto"/>
                      <w:sz w:val="20"/>
                      <w:szCs w:val="20"/>
                    </w:rPr>
                    <w:t>护</w:t>
                  </w:r>
                </w:p>
                <w:p>
                  <w:pPr>
                    <w:rPr>
                      <w:rFonts w:hint="eastAsia"/>
                      <w:lang w:eastAsia="zh-CN"/>
                    </w:rPr>
                  </w:pPr>
                </w:p>
                <w:p>
                  <w:pPr>
                    <w:pStyle w:val="13"/>
                    <w:keepNext w:val="0"/>
                    <w:keepLines w:val="0"/>
                    <w:widowControl/>
                    <w:suppressLineNumbers w:val="0"/>
                    <w:spacing w:line="240" w:lineRule="auto"/>
                    <w:jc w:val="center"/>
                    <w:rPr>
                      <w:rFonts w:hint="eastAsia" w:eastAsia="宋体"/>
                      <w:b/>
                      <w:bCs/>
                      <w:color w:val="auto"/>
                      <w:sz w:val="20"/>
                      <w:szCs w:val="20"/>
                      <w:lang w:eastAsia="zh-CN"/>
                    </w:rPr>
                  </w:pPr>
                  <w:r>
                    <w:rPr>
                      <w:b/>
                      <w:bCs/>
                      <w:color w:val="auto"/>
                      <w:sz w:val="20"/>
                      <w:szCs w:val="20"/>
                    </w:rPr>
                    <w:t>措</w:t>
                  </w:r>
                </w:p>
                <w:p>
                  <w:pPr>
                    <w:rPr>
                      <w:rFonts w:hint="eastAsia"/>
                      <w:lang w:eastAsia="zh-CN"/>
                    </w:rPr>
                  </w:pPr>
                </w:p>
                <w:p>
                  <w:pPr>
                    <w:pStyle w:val="13"/>
                    <w:keepNext w:val="0"/>
                    <w:keepLines w:val="0"/>
                    <w:widowControl/>
                    <w:suppressLineNumbers w:val="0"/>
                    <w:spacing w:line="240" w:lineRule="auto"/>
                    <w:jc w:val="center"/>
                    <w:rPr>
                      <w:color w:val="auto"/>
                    </w:rPr>
                  </w:pPr>
                  <w:r>
                    <w:rPr>
                      <w:b/>
                      <w:bCs/>
                      <w:color w:val="auto"/>
                      <w:sz w:val="20"/>
                      <w:szCs w:val="20"/>
                    </w:rPr>
                    <w:t>施</w:t>
                  </w: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工程控制：</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严加密闭，提供充分的局部排风和全面排风。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呼吸系统防护：</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空气中浓度超标时，必须佩带防毒口罩。紧急事态抢救或逃生时，建议佩带自给式呼吸器。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眼睛防护：</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戴化学安全防护眼镜。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防护服：</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穿工作服。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手防护：</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必要时戴防护手套。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250" w:type="pct"/>
                  <w:vMerge w:val="continue"/>
                  <w:shd w:val="clear" w:color="auto" w:fill="D1D7ED"/>
                  <w:vAlign w:val="center"/>
                </w:tcPr>
                <w:p>
                  <w:pPr>
                    <w:spacing w:line="240" w:lineRule="auto"/>
                    <w:jc w:val="right"/>
                    <w:rPr>
                      <w:rFonts w:hint="eastAsia" w:ascii="宋体"/>
                      <w:color w:val="auto"/>
                      <w:sz w:val="20"/>
                      <w:szCs w:val="20"/>
                    </w:rPr>
                  </w:pPr>
                </w:p>
              </w:tc>
              <w:tc>
                <w:tcPr>
                  <w:tcW w:w="1300" w:type="pct"/>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其他：</w:t>
                  </w:r>
                </w:p>
              </w:tc>
              <w:tc>
                <w:tcPr>
                  <w:tcW w:w="3449" w:type="pct"/>
                  <w:shd w:val="clear" w:color="auto" w:fill="auto"/>
                  <w:vAlign w:val="center"/>
                </w:tcPr>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工作现场禁止吸烟、进食和饮水。工作后，淋浴更衣。保持良好的卫生习惯。   </w:t>
                  </w:r>
                </w:p>
              </w:tc>
            </w:tr>
            <w:tr>
              <w:tblPrEx>
                <w:tblBorders>
                  <w:top w:val="none" w:color="FFCCFF" w:sz="0" w:space="0"/>
                  <w:left w:val="none" w:color="FFCCFF" w:sz="0" w:space="0"/>
                  <w:bottom w:val="none" w:color="FFCCFF" w:sz="0" w:space="0"/>
                  <w:right w:val="none" w:color="FFCCFF" w:sz="0" w:space="0"/>
                  <w:insideH w:val="none" w:color="FFCCFF" w:sz="0" w:space="0"/>
                  <w:insideV w:val="none" w:color="FFCCFF" w:sz="0" w:space="0"/>
                </w:tblBorders>
                <w:shd w:val="clear" w:color="auto" w:fill="auto"/>
                <w:tblCellMar>
                  <w:top w:w="15" w:type="dxa"/>
                  <w:left w:w="15" w:type="dxa"/>
                  <w:bottom w:w="15" w:type="dxa"/>
                  <w:right w:w="15" w:type="dxa"/>
                </w:tblCellMar>
              </w:tblPrEx>
              <w:trPr>
                <w:tblCellSpacing w:w="22" w:type="dxa"/>
              </w:trPr>
              <w:tc>
                <w:tcPr>
                  <w:tcW w:w="0" w:type="auto"/>
                  <w:gridSpan w:val="2"/>
                  <w:shd w:val="clear" w:color="auto" w:fill="F2F2F2"/>
                  <w:vAlign w:val="center"/>
                </w:tcPr>
                <w:p>
                  <w:pPr>
                    <w:keepNext w:val="0"/>
                    <w:keepLines w:val="0"/>
                    <w:widowControl/>
                    <w:suppressLineNumbers w:val="0"/>
                    <w:shd w:val="clear" w:fill="F2F2F2"/>
                    <w:spacing w:line="240" w:lineRule="auto"/>
                    <w:jc w:val="right"/>
                    <w:rPr>
                      <w:color w:val="auto"/>
                      <w:sz w:val="20"/>
                      <w:szCs w:val="20"/>
                    </w:rPr>
                  </w:pPr>
                  <w:r>
                    <w:rPr>
                      <w:rFonts w:ascii="宋体" w:hAnsi="宋体" w:eastAsia="宋体" w:cs="宋体"/>
                      <w:color w:val="auto"/>
                      <w:kern w:val="0"/>
                      <w:sz w:val="20"/>
                      <w:szCs w:val="20"/>
                      <w:lang w:val="en-US" w:eastAsia="zh-CN" w:bidi="ar"/>
                    </w:rPr>
                    <w:t>泄漏处置：</w:t>
                  </w:r>
                </w:p>
              </w:tc>
              <w:tc>
                <w:tcPr>
                  <w:tcW w:w="3449" w:type="pct"/>
                  <w:shd w:val="clear" w:color="auto" w:fill="auto"/>
                  <w:vAlign w:val="center"/>
                </w:tcPr>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迅速撤离泄漏污染区人员至上风处，并隔离直至气体散尽，切断火源。建议应急处理人员戴正压自给式呼吸器，穿厂商特别推荐的化学防护服(完全隔离)。切断气源，高浓度泄漏区，喷含盐酸的雾状水中和、稀释、溶解，然后抽排(室内)或强力通风(室外)。也可以将残余气或漏出气用排风机送至水洗塔或与塔相连的通风橱内。漏气容器不能再用，且要经过技术处理以清除可能剩下的气体。储区(罐)最好设稀酸喷洒(雾)设施。</w:t>
                  </w:r>
                </w:p>
                <w:p>
                  <w:pPr>
                    <w:pStyle w:val="2"/>
                    <w:rPr>
                      <w:lang w:val="en-US" w:eastAsia="zh-CN"/>
                    </w:rPr>
                  </w:pP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环境信息：</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防止空气污染法：防事故泄漏／可燃物(款112(r)表3)，临界值(T9)  9150kg。</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防止水污染法：款307主要污染物、款313主要化学物或款401．15毒性物。</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防止水污染法：款311有害物质应报告量  主要化学物(同CERCLA)。</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应急计划和社区知情权法：款302极端有害物质，临界规划值(TPQ)  228kg。</w:t>
                  </w:r>
                </w:p>
                <w:p>
                  <w:pPr>
                    <w:keepNext w:val="0"/>
                    <w:keepLines w:val="0"/>
                    <w:widowControl/>
                    <w:suppressLineNumbers w:val="0"/>
                    <w:spacing w:line="240" w:lineRule="auto"/>
                    <w:jc w:val="left"/>
                    <w:rPr>
                      <w:rFonts w:ascii="宋体" w:hAnsi="宋体" w:eastAsia="宋体" w:cs="宋体"/>
                      <w:color w:val="auto"/>
                      <w:kern w:val="0"/>
                      <w:sz w:val="18"/>
                      <w:szCs w:val="18"/>
                      <w:lang w:val="en-US" w:eastAsia="zh-CN" w:bidi="ar"/>
                    </w:rPr>
                  </w:pPr>
                  <w:r>
                    <w:rPr>
                      <w:rFonts w:ascii="宋体" w:hAnsi="宋体" w:eastAsia="宋体" w:cs="宋体"/>
                      <w:color w:val="auto"/>
                      <w:kern w:val="0"/>
                      <w:sz w:val="18"/>
                      <w:szCs w:val="18"/>
                      <w:lang w:val="en-US" w:eastAsia="zh-CN" w:bidi="ar"/>
                    </w:rPr>
                    <w:t>应急计划和社区知情权法：款304应报告量  45．4kg。</w:t>
                  </w:r>
                </w:p>
                <w:p>
                  <w:pPr>
                    <w:keepNext w:val="0"/>
                    <w:keepLines w:val="0"/>
                    <w:widowControl/>
                    <w:suppressLineNumbers w:val="0"/>
                    <w:spacing w:line="240" w:lineRule="auto"/>
                    <w:jc w:val="left"/>
                    <w:rPr>
                      <w:color w:val="auto"/>
                      <w:sz w:val="18"/>
                      <w:szCs w:val="18"/>
                    </w:rPr>
                  </w:pPr>
                  <w:r>
                    <w:rPr>
                      <w:rFonts w:ascii="宋体" w:hAnsi="宋体" w:eastAsia="宋体" w:cs="宋体"/>
                      <w:color w:val="auto"/>
                      <w:kern w:val="0"/>
                      <w:sz w:val="18"/>
                      <w:szCs w:val="18"/>
                      <w:lang w:val="en-US" w:eastAsia="zh-CN" w:bidi="ar"/>
                    </w:rPr>
                    <w:t xml:space="preserve">应急计划和社区知情权法：款313表R，最低应报告浓度  1．0％  包括无水氨以及来自水溶性铵盐和其他来源的氨水、10％氨水和10％无水氨应列在本表中报告。如果一个工厂制造或使用无水氨或氨水，他们必须列表报告。在10％应报告列表中，浓度超过1％的氨水溶液应被临界值乘，并确定排放量。   </w:t>
                  </w:r>
                </w:p>
              </w:tc>
            </w:tr>
          </w:tbl>
          <w:p>
            <w:pPr>
              <w:spacing w:line="240" w:lineRule="auto"/>
              <w:jc w:val="left"/>
              <w:rPr>
                <w:color w:val="auto"/>
              </w:rPr>
            </w:pPr>
          </w:p>
        </w:tc>
      </w:tr>
    </w:tbl>
    <w:p>
      <w:pPr>
        <w:bidi w:val="0"/>
        <w:rPr>
          <w:rFonts w:hint="default"/>
          <w:color w:val="auto"/>
          <w:lang w:val="en-US" w:eastAsia="zh-CN"/>
        </w:rPr>
      </w:pP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br w:type="page"/>
      </w:r>
    </w:p>
    <w:p>
      <w:pPr>
        <w:rPr>
          <w:rFonts w:hint="default" w:ascii="Times New Roman" w:hAnsi="Times New Roman" w:cs="Times New Roman"/>
          <w:color w:val="auto"/>
        </w:rPr>
      </w:pPr>
      <w:r>
        <w:rPr>
          <w:rFonts w:hint="default" w:ascii="Times New Roman" w:hAnsi="Times New Roman" w:cs="Times New Roman"/>
          <w:color w:val="auto"/>
          <w:lang w:eastAsia="zh-CN"/>
        </w:rPr>
        <w:t>天然气</w:t>
      </w:r>
    </w:p>
    <w:tbl>
      <w:tblPr>
        <w:tblStyle w:val="19"/>
        <w:tblW w:w="5000" w:type="pct"/>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97"/>
        <w:gridCol w:w="2399"/>
        <w:gridCol w:w="63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restart"/>
            <w:tcBorders>
              <w:tl2br w:val="single" w:color="000000" w:sz="6" w:space="0"/>
            </w:tcBorders>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w:t>
            </w:r>
          </w:p>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识</w:t>
            </w: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中文名：</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天然气；沼气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英文名：</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Natural gas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分子式：</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分子量：</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CAS号：</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8006-14-2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RTECS号：</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UN编号：</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1971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危险货物编号：</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21007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IMDG规则页码：</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restar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理</w:t>
            </w:r>
          </w:p>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化</w:t>
            </w:r>
          </w:p>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性</w:t>
            </w:r>
          </w:p>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质</w:t>
            </w: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外观与性状：</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无色、无臭气体。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主要用途：</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是重要的有机化工原料，可用作制造炭黑、合成氨、甲醇以及其它有机化合物，亦是优良的燃料。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熔点：</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沸点：</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相对密度(水=1)：</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约0.45(液化)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相对密度(空气=1):</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饱和蒸汽压(kPa)：</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溶解性：</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溶于水。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临界温度(℃)：</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临界压力(MPa)：</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燃烧热(kj/mol)：</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restart"/>
          </w:tcPr>
          <w:p>
            <w:pPr>
              <w:widowControl/>
              <w:spacing w:line="240" w:lineRule="auto"/>
              <w:jc w:val="righ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燃</w:t>
            </w:r>
          </w:p>
          <w:p>
            <w:pPr>
              <w:pStyle w:val="6"/>
              <w:rPr>
                <w:rFonts w:hint="default" w:ascii="Times New Roman" w:hAnsi="Times New Roman" w:cs="Times New Roman"/>
                <w:color w:val="auto"/>
                <w:lang w:eastAsia="zh-CN"/>
              </w:rPr>
            </w:pPr>
          </w:p>
          <w:p>
            <w:pPr>
              <w:widowControl/>
              <w:spacing w:line="240" w:lineRule="auto"/>
              <w:jc w:val="righ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烧</w:t>
            </w:r>
          </w:p>
          <w:p>
            <w:pPr>
              <w:pStyle w:val="6"/>
              <w:rPr>
                <w:rFonts w:hint="default" w:ascii="Times New Roman" w:hAnsi="Times New Roman" w:cs="Times New Roman"/>
                <w:color w:val="auto"/>
                <w:lang w:eastAsia="zh-CN"/>
              </w:rPr>
            </w:pPr>
          </w:p>
          <w:p>
            <w:pPr>
              <w:widowControl/>
              <w:spacing w:line="240" w:lineRule="auto"/>
              <w:jc w:val="righ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爆</w:t>
            </w:r>
          </w:p>
          <w:p>
            <w:pPr>
              <w:pStyle w:val="6"/>
              <w:rPr>
                <w:rFonts w:hint="default" w:ascii="Times New Roman" w:hAnsi="Times New Roman" w:cs="Times New Roman"/>
                <w:color w:val="auto"/>
                <w:lang w:eastAsia="zh-CN"/>
              </w:rPr>
            </w:pPr>
          </w:p>
          <w:p>
            <w:pPr>
              <w:widowControl/>
              <w:spacing w:line="240" w:lineRule="auto"/>
              <w:jc w:val="righ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炸</w:t>
            </w:r>
          </w:p>
          <w:p>
            <w:pPr>
              <w:pStyle w:val="6"/>
              <w:rPr>
                <w:rFonts w:hint="default" w:ascii="Times New Roman" w:hAnsi="Times New Roman" w:cs="Times New Roman"/>
                <w:color w:val="auto"/>
                <w:lang w:eastAsia="zh-CN"/>
              </w:rPr>
            </w:pPr>
          </w:p>
          <w:p>
            <w:pPr>
              <w:widowControl/>
              <w:spacing w:line="240" w:lineRule="auto"/>
              <w:jc w:val="righ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危</w:t>
            </w:r>
          </w:p>
          <w:p>
            <w:pPr>
              <w:pStyle w:val="6"/>
              <w:rPr>
                <w:rFonts w:hint="default" w:ascii="Times New Roman" w:hAnsi="Times New Roman" w:cs="Times New Roman"/>
                <w:color w:val="auto"/>
                <w:lang w:eastAsia="zh-CN"/>
              </w:rPr>
            </w:pPr>
          </w:p>
          <w:p>
            <w:pPr>
              <w:widowControl/>
              <w:spacing w:line="240" w:lineRule="auto"/>
              <w:jc w:val="righ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险</w:t>
            </w:r>
          </w:p>
          <w:p>
            <w:pPr>
              <w:pStyle w:val="6"/>
              <w:rPr>
                <w:rFonts w:hint="default" w:ascii="Times New Roman" w:hAnsi="Times New Roman" w:cs="Times New Roman"/>
                <w:color w:val="auto"/>
                <w:lang w:eastAsia="zh-CN"/>
              </w:rPr>
            </w:pPr>
          </w:p>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性</w:t>
            </w: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避免接触的条件：</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燃烧性：</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易燃。最大爆炸压力：(100kPa)：6.8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建规火险分级：</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闪点(℃)：</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自燃温度(℃)：</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引燃温度(℃)：482～632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爆炸下限(V%)：</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爆炸上限(V%)：</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危险特性：</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与空气混合能形成爆炸性混合物，遇明火、高热极易燃烧爆炸。与氟、氯等能发生剧烈的化学反应。其蒸气比空气重，能在较低处扩散到相当远的地方，遇明火会引着回燃。若遇高热，容器内压增大，有开裂和爆炸的危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燃烧(分解)产物：</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一氧化碳、二氧化碳。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稳定性：</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稳定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聚合危害：</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不能出现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禁忌物：</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强氧化剂、卤素。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灭火方法：</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切断气源。若不能立即切断气源，则不允许熄灭正在燃烧的气体，喷水冷却容器，可能的话将容器从火场移至空旷处。雾状水、泡沫、二氧化碳。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restart"/>
          </w:tcPr>
          <w:p>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包装与储运</w:t>
            </w:r>
          </w:p>
        </w:tc>
        <w:tc>
          <w:tcPr>
            <w:tcW w:w="1290" w:type="pct"/>
          </w:tcPr>
          <w:p>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危险性类别：</w:t>
            </w:r>
          </w:p>
        </w:tc>
        <w:tc>
          <w:tcPr>
            <w:tcW w:w="3440" w:type="pct"/>
            <w:vAlign w:val="center"/>
          </w:tcPr>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第2．1类  易燃气体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default" w:ascii="Times New Roman" w:hAnsi="Times New Roman" w:eastAsia="宋体" w:cs="Times New Roman"/>
                <w:color w:val="auto"/>
                <w:kern w:val="0"/>
                <w:sz w:val="21"/>
                <w:szCs w:val="21"/>
              </w:rPr>
            </w:pPr>
          </w:p>
        </w:tc>
        <w:tc>
          <w:tcPr>
            <w:tcW w:w="1290" w:type="pct"/>
          </w:tcPr>
          <w:p>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危险货物包装标志：</w:t>
            </w:r>
          </w:p>
        </w:tc>
        <w:tc>
          <w:tcPr>
            <w:tcW w:w="3440" w:type="pct"/>
            <w:vAlign w:val="center"/>
          </w:tcPr>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default" w:ascii="Times New Roman" w:hAnsi="Times New Roman" w:eastAsia="宋体" w:cs="Times New Roman"/>
                <w:color w:val="auto"/>
                <w:kern w:val="0"/>
                <w:sz w:val="21"/>
                <w:szCs w:val="21"/>
              </w:rPr>
            </w:pPr>
          </w:p>
        </w:tc>
        <w:tc>
          <w:tcPr>
            <w:tcW w:w="1290" w:type="pct"/>
          </w:tcPr>
          <w:p>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包装类别：</w:t>
            </w:r>
          </w:p>
        </w:tc>
        <w:tc>
          <w:tcPr>
            <w:tcW w:w="3440" w:type="pct"/>
            <w:vAlign w:val="center"/>
          </w:tcPr>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default" w:ascii="Times New Roman" w:hAnsi="Times New Roman" w:eastAsia="宋体" w:cs="Times New Roman"/>
                <w:color w:val="auto"/>
                <w:kern w:val="0"/>
                <w:sz w:val="21"/>
                <w:szCs w:val="21"/>
              </w:rPr>
            </w:pPr>
          </w:p>
        </w:tc>
        <w:tc>
          <w:tcPr>
            <w:tcW w:w="1290" w:type="pct"/>
          </w:tcPr>
          <w:p>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储运注意事项：</w:t>
            </w:r>
          </w:p>
        </w:tc>
        <w:tc>
          <w:tcPr>
            <w:tcW w:w="3440" w:type="pct"/>
            <w:vAlign w:val="center"/>
          </w:tcPr>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易燃压缩气体。储存于阴凉、干燥、通风良好的不燃库房。仓温不宜超过30℃。远离火种、热源。防止阳光直射。应与氧气、压缩空气、卤素(氟、氯、溴)、氧化剂等分开存放。储存间内的照明、通风等设施应采用防爆型。若是储罐存放，储罐区域要有禁火标志和防火防爆技术措施。禁止使用易产生火花的机械设备和工具。槽车运送时要灌装适量，不可超压超量运输。搬运时轻装轻卸，防止钢瓶及附件破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restart"/>
          </w:tcPr>
          <w:p>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毒性危害</w:t>
            </w:r>
          </w:p>
        </w:tc>
        <w:tc>
          <w:tcPr>
            <w:tcW w:w="1290" w:type="pct"/>
          </w:tcPr>
          <w:p>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接触限值：</w:t>
            </w:r>
          </w:p>
        </w:tc>
        <w:tc>
          <w:tcPr>
            <w:tcW w:w="3440" w:type="pct"/>
            <w:vAlign w:val="center"/>
          </w:tcPr>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中国MAC：未制订标准</w:t>
            </w:r>
          </w:p>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前苏联MAC：未制订标准</w:t>
            </w:r>
          </w:p>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美国TLV—TWA：未制订标准</w:t>
            </w:r>
          </w:p>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美国TLV—STEL：未制订标准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default" w:ascii="Times New Roman" w:hAnsi="Times New Roman" w:eastAsia="宋体" w:cs="Times New Roman"/>
                <w:color w:val="auto"/>
                <w:kern w:val="0"/>
                <w:sz w:val="21"/>
                <w:szCs w:val="21"/>
              </w:rPr>
            </w:pPr>
          </w:p>
        </w:tc>
        <w:tc>
          <w:tcPr>
            <w:tcW w:w="1290" w:type="pct"/>
          </w:tcPr>
          <w:p>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侵入途径：</w:t>
            </w:r>
          </w:p>
        </w:tc>
        <w:tc>
          <w:tcPr>
            <w:tcW w:w="3440" w:type="pct"/>
            <w:vAlign w:val="center"/>
          </w:tcPr>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吸入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default" w:ascii="Times New Roman" w:hAnsi="Times New Roman" w:eastAsia="宋体" w:cs="Times New Roman"/>
                <w:color w:val="auto"/>
                <w:kern w:val="0"/>
                <w:sz w:val="21"/>
                <w:szCs w:val="21"/>
              </w:rPr>
            </w:pPr>
          </w:p>
        </w:tc>
        <w:tc>
          <w:tcPr>
            <w:tcW w:w="1290" w:type="pct"/>
          </w:tcPr>
          <w:p>
            <w:pPr>
              <w:keepNext w:val="0"/>
              <w:keepLines w:val="0"/>
              <w:pageBreakBefore w:val="0"/>
              <w:widowControl/>
              <w:kinsoku/>
              <w:wordWrap/>
              <w:overflowPunct/>
              <w:topLinePunct w:val="0"/>
              <w:autoSpaceDE/>
              <w:autoSpaceDN/>
              <w:bidi w:val="0"/>
              <w:adjustRightInd/>
              <w:snapToGrid/>
              <w:spacing w:line="380" w:lineRule="exact"/>
              <w:jc w:val="righ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毒性：</w:t>
            </w:r>
          </w:p>
        </w:tc>
        <w:tc>
          <w:tcPr>
            <w:tcW w:w="3440" w:type="pct"/>
            <w:vAlign w:val="center"/>
          </w:tcPr>
          <w:p>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default" w:ascii="Times New Roman" w:hAnsi="Times New Roman" w:eastAsia="宋体" w:cs="Times New Roman"/>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健康危害：</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急性中毒时，可有头昏、头痛、呕吐、乏力甚至昏迷。病程中尚可出现精神症状，步态不稳，昏迷过程久者，醒后可有运动性失语及偏瘫。长期接触天然气者，可出现神经衰弱综合征。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restar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急</w:t>
            </w:r>
          </w:p>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救</w:t>
            </w: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皮肤接触：</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眼睛接触：</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吸入：</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脱离有毒环境，至空气新鲜处，给氧，对症治疗。注意防治脑水肿。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食入：</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restart"/>
          </w:tcPr>
          <w:p>
            <w:pPr>
              <w:widowControl/>
              <w:spacing w:line="240" w:lineRule="auto"/>
              <w:jc w:val="righ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防</w:t>
            </w:r>
          </w:p>
          <w:p>
            <w:pPr>
              <w:widowControl/>
              <w:spacing w:line="240" w:lineRule="auto"/>
              <w:jc w:val="righ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护</w:t>
            </w:r>
          </w:p>
          <w:p>
            <w:pPr>
              <w:widowControl/>
              <w:spacing w:line="240" w:lineRule="auto"/>
              <w:jc w:val="righ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措</w:t>
            </w:r>
          </w:p>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w:t>
            </w: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工程控制：</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密闭操作。提供良好的自然通风条件。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呼吸系统防护：</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高浓度环境中，佩带供气式呼吸器。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眼睛防护：</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一般不需要特殊防护，高浓度接触时可戴化学安全防护眼镜。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防护服：</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穿防静电工作服。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手防护：</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必要时戴防护手套。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68" w:type="pct"/>
            <w:vMerge w:val="continue"/>
          </w:tcPr>
          <w:p>
            <w:pPr>
              <w:widowControl/>
              <w:spacing w:line="240" w:lineRule="auto"/>
              <w:jc w:val="right"/>
              <w:rPr>
                <w:rFonts w:hint="default" w:ascii="Times New Roman" w:hAnsi="Times New Roman" w:eastAsia="宋体" w:cs="Times New Roman"/>
                <w:color w:val="auto"/>
                <w:kern w:val="0"/>
                <w:sz w:val="21"/>
                <w:szCs w:val="21"/>
              </w:rPr>
            </w:pPr>
          </w:p>
        </w:tc>
        <w:tc>
          <w:tcPr>
            <w:tcW w:w="1290" w:type="pct"/>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工作现场严禁吸烟。避免高浓度吸入。进入罐或其它高浓度区作业，须有人监护。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559" w:type="pct"/>
            <w:gridSpan w:val="2"/>
          </w:tcPr>
          <w:p>
            <w:pPr>
              <w:widowControl/>
              <w:spacing w:line="240" w:lineRule="auto"/>
              <w:jc w:val="righ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泄漏处置：</w:t>
            </w:r>
          </w:p>
        </w:tc>
        <w:tc>
          <w:tcPr>
            <w:tcW w:w="3440" w:type="pct"/>
            <w:vAlign w:val="center"/>
          </w:tcPr>
          <w:p>
            <w:pPr>
              <w:widowControl/>
              <w:spacing w:line="240" w:lineRule="auto"/>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切断火源。戴自给式呼吸器，穿一般消防防护服。合理通风，禁止泄漏物进入受限制的空间(如下水道等)，以避免发生爆炸。切断气源，喷洒雾状水稀释，抽排(室内)或强力通风(室外)。漏气容器不能再用，且要经过技术处理以清除可能剩下的气体。</w:t>
            </w:r>
          </w:p>
        </w:tc>
      </w:tr>
    </w:tbl>
    <w:p>
      <w:pPr>
        <w:rPr>
          <w:rFonts w:hint="default" w:ascii="Times New Roman" w:hAnsi="Times New Roman" w:cs="Times New Roman"/>
          <w:color w:val="auto"/>
        </w:rPr>
      </w:pPr>
      <w:r>
        <w:rPr>
          <w:rFonts w:hint="default" w:ascii="Times New Roman" w:hAnsi="Times New Roman" w:cs="Times New Roman"/>
          <w:color w:val="auto"/>
        </w:rPr>
        <w:br w:type="page"/>
      </w:r>
    </w:p>
    <w:p>
      <w:pPr>
        <w:pStyle w:val="3"/>
        <w:bidi w:val="0"/>
        <w:jc w:val="center"/>
        <w:rPr>
          <w:rFonts w:hint="default" w:ascii="Times New Roman" w:hAnsi="Times New Roman" w:eastAsia="黑体" w:cs="Times New Roman"/>
          <w:b w:val="0"/>
          <w:bCs/>
          <w:color w:val="auto"/>
          <w:sz w:val="32"/>
          <w:szCs w:val="32"/>
        </w:rPr>
      </w:pPr>
      <w:bookmarkStart w:id="143" w:name="_Toc18796"/>
      <w:r>
        <w:rPr>
          <w:rFonts w:hint="default" w:ascii="Times New Roman" w:hAnsi="Times New Roman" w:eastAsia="黑体" w:cs="Times New Roman"/>
          <w:b w:val="0"/>
          <w:bCs/>
          <w:color w:val="auto"/>
          <w:sz w:val="32"/>
          <w:szCs w:val="32"/>
        </w:rPr>
        <w:t>附件B危险、有害因素的辨识及分析过程</w:t>
      </w:r>
      <w:bookmarkEnd w:id="142"/>
      <w:bookmarkEnd w:id="143"/>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危险因素是指能对人造成伤亡或对物造成突发性损坏的因素。有害因素是指能影响人的身体健康，导致疾病，或对物造成慢性损坏的因素。危险、有害因素分析是验收评价的重要环节，是验收评价的基础。</w:t>
      </w: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44" w:name="_Toc6310"/>
      <w:bookmarkStart w:id="145" w:name="_Toc6594"/>
      <w:r>
        <w:rPr>
          <w:rFonts w:hint="default" w:ascii="Times New Roman" w:hAnsi="Times New Roman" w:eastAsia="楷体" w:cs="Times New Roman"/>
          <w:b/>
          <w:bCs/>
          <w:color w:val="auto"/>
          <w:kern w:val="2"/>
          <w:sz w:val="32"/>
          <w:szCs w:val="32"/>
          <w:lang w:val="en-US" w:eastAsia="zh-CN" w:bidi="ar-SA"/>
        </w:rPr>
        <w:t>B.1 危险、有害物质的辨识</w:t>
      </w:r>
      <w:bookmarkEnd w:id="144"/>
      <w:bookmarkEnd w:id="145"/>
    </w:p>
    <w:p>
      <w:pPr>
        <w:keepNext/>
        <w:keepLines/>
        <w:widowControl w:val="0"/>
        <w:spacing w:line="600" w:lineRule="exact"/>
        <w:ind w:left="0" w:leftChars="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B.1.1.辨识依据</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《危险货物分类和品名编号》（GB6944-2012）</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《化学品分类和危险性公示 通则》（GB13690-2009）</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《危险货物品名表》（GB12268-2012）</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《危险化学品名录》（2015版）国家安监局2015年第5号</w:t>
      </w:r>
    </w:p>
    <w:p>
      <w:pPr>
        <w:keepNext/>
        <w:keepLines/>
        <w:widowControl w:val="0"/>
        <w:spacing w:line="600" w:lineRule="exact"/>
        <w:ind w:left="0" w:leftChars="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B.1.2主要危险物质分析</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该项目生产涉及的原辅材料为：</w:t>
      </w:r>
      <w:r>
        <w:rPr>
          <w:rFonts w:hint="default" w:ascii="Times New Roman" w:hAnsi="Times New Roman" w:cs="Times New Roman"/>
          <w:color w:val="auto"/>
          <w:lang w:eastAsia="zh-CN"/>
        </w:rPr>
        <w:t>氯化钾、磷酸一铵、尿素、填充料、氯化铵、防结块剂膏、防结块剂粉、包装袋、</w:t>
      </w:r>
      <w:r>
        <w:rPr>
          <w:rFonts w:hint="default" w:ascii="Times New Roman" w:hAnsi="Times New Roman" w:cs="Times New Roman"/>
          <w:color w:val="auto"/>
          <w:lang w:val="en-US" w:eastAsia="zh-CN"/>
        </w:rPr>
        <w:t>氨、天然气（燃料）等</w:t>
      </w:r>
      <w:r>
        <w:rPr>
          <w:rFonts w:hint="default" w:ascii="Times New Roman" w:hAnsi="Times New Roman" w:cs="Times New Roman"/>
          <w:color w:val="auto"/>
        </w:rPr>
        <w:t>。该项目涉及的产品为</w:t>
      </w:r>
      <w:r>
        <w:rPr>
          <w:rFonts w:hint="default" w:ascii="Times New Roman" w:hAnsi="Times New Roman" w:cs="Times New Roman"/>
          <w:color w:val="auto"/>
          <w:lang w:val="en-US" w:eastAsia="zh-CN"/>
        </w:rPr>
        <w:t>氨化复合肥、氨酸复合肥</w:t>
      </w:r>
      <w:r>
        <w:rPr>
          <w:rFonts w:hint="default" w:ascii="Times New Roman" w:hAnsi="Times New Roman" w:cs="Times New Roman"/>
          <w:color w:val="auto"/>
        </w:rPr>
        <w:t>；副产品为</w:t>
      </w:r>
      <w:r>
        <w:rPr>
          <w:rFonts w:hint="default" w:ascii="Times New Roman" w:hAnsi="Times New Roman" w:cs="Times New Roman"/>
          <w:color w:val="auto"/>
          <w:lang w:eastAsia="zh-CN"/>
        </w:rPr>
        <w:t>盐酸</w:t>
      </w:r>
      <w:r>
        <w:rPr>
          <w:rFonts w:hint="default" w:ascii="Times New Roman" w:hAnsi="Times New Roman" w:cs="Times New Roman"/>
          <w:color w:val="auto"/>
        </w:rPr>
        <w:t>。该项目涉及的中间产物有氯化氢</w:t>
      </w:r>
      <w:r>
        <w:rPr>
          <w:rFonts w:hint="default" w:ascii="Times New Roman" w:hAnsi="Times New Roman" w:cs="Times New Roman"/>
          <w:color w:val="auto"/>
          <w:lang w:eastAsia="zh-CN"/>
        </w:rPr>
        <w:t>、硫酸氢钾、硫酸铵</w:t>
      </w:r>
      <w:r>
        <w:rPr>
          <w:rFonts w:hint="default" w:ascii="Times New Roman" w:hAnsi="Times New Roman" w:cs="Times New Roman"/>
          <w:color w:val="auto"/>
        </w:rPr>
        <w:t>等。</w:t>
      </w:r>
    </w:p>
    <w:p>
      <w:pPr>
        <w:keepNext/>
        <w:widowControl w:val="0"/>
        <w:spacing w:line="600" w:lineRule="exact"/>
        <w:jc w:val="center"/>
        <w:outlineLvl w:val="1"/>
        <w:rPr>
          <w:rFonts w:hint="default" w:ascii="Times New Roman" w:hAnsi="Times New Roman" w:eastAsia="楷体" w:cs="Times New Roman"/>
          <w:b/>
          <w:bCs/>
          <w:color w:val="auto"/>
          <w:spacing w:val="-6"/>
          <w:kern w:val="2"/>
          <w:sz w:val="32"/>
          <w:szCs w:val="32"/>
          <w:lang w:val="en-US" w:eastAsia="zh-CN" w:bidi="ar-SA"/>
        </w:rPr>
      </w:pPr>
      <w:bookmarkStart w:id="146" w:name="_Toc32501"/>
      <w:bookmarkStart w:id="147" w:name="_Toc18592"/>
      <w:r>
        <w:rPr>
          <w:rFonts w:hint="default" w:ascii="Times New Roman" w:hAnsi="Times New Roman" w:eastAsia="楷体" w:cs="Times New Roman"/>
          <w:b/>
          <w:bCs/>
          <w:color w:val="auto"/>
          <w:spacing w:val="-6"/>
          <w:kern w:val="2"/>
          <w:sz w:val="32"/>
          <w:szCs w:val="32"/>
          <w:lang w:val="en-US" w:eastAsia="zh-CN" w:bidi="ar-SA"/>
        </w:rPr>
        <w:t>B.2 危险、有害因素的辨识</w:t>
      </w:r>
      <w:bookmarkEnd w:id="146"/>
      <w:bookmarkEnd w:id="147"/>
    </w:p>
    <w:p>
      <w:pPr>
        <w:keepNext/>
        <w:keepLines/>
        <w:widowControl w:val="0"/>
        <w:spacing w:line="600" w:lineRule="exact"/>
        <w:ind w:left="560" w:leftChars="200"/>
        <w:jc w:val="center"/>
        <w:outlineLvl w:val="2"/>
        <w:rPr>
          <w:rFonts w:hint="default" w:ascii="Times New Roman" w:hAnsi="Times New Roman" w:eastAsia="黑体" w:cs="Times New Roman"/>
          <w:color w:val="auto"/>
          <w:spacing w:val="-6"/>
          <w:kern w:val="0"/>
          <w:sz w:val="28"/>
          <w:szCs w:val="28"/>
          <w:lang w:val="en-US" w:eastAsia="zh-CN" w:bidi="ar-SA"/>
        </w:rPr>
      </w:pPr>
      <w:r>
        <w:rPr>
          <w:rFonts w:hint="default" w:ascii="Times New Roman" w:hAnsi="Times New Roman" w:eastAsia="黑体" w:cs="Times New Roman"/>
          <w:color w:val="auto"/>
          <w:spacing w:val="-6"/>
          <w:kern w:val="0"/>
          <w:sz w:val="28"/>
          <w:szCs w:val="28"/>
          <w:lang w:val="en-US" w:eastAsia="zh-CN" w:bidi="ar-SA"/>
        </w:rPr>
        <w:t>B.2.1 辨识依据及产生原因</w:t>
      </w:r>
    </w:p>
    <w:p>
      <w:pPr>
        <w:ind w:firstLine="536" w:firstLineChars="200"/>
        <w:rPr>
          <w:rFonts w:hint="default" w:ascii="Times New Roman" w:hAnsi="Times New Roman" w:cs="Times New Roman"/>
          <w:color w:val="auto"/>
          <w:spacing w:val="-6"/>
        </w:rPr>
      </w:pPr>
      <w:r>
        <w:rPr>
          <w:rFonts w:hint="default" w:ascii="Times New Roman" w:hAnsi="Times New Roman" w:cs="Times New Roman"/>
          <w:color w:val="auto"/>
          <w:spacing w:val="-6"/>
        </w:rPr>
        <w:t>1.依据</w:t>
      </w:r>
    </w:p>
    <w:p>
      <w:pPr>
        <w:ind w:firstLine="536" w:firstLineChars="200"/>
        <w:rPr>
          <w:rFonts w:hint="default" w:ascii="Times New Roman" w:hAnsi="Times New Roman" w:cs="Times New Roman"/>
          <w:color w:val="auto"/>
          <w:spacing w:val="-6"/>
        </w:rPr>
      </w:pPr>
      <w:r>
        <w:rPr>
          <w:rFonts w:hint="default" w:ascii="Times New Roman" w:hAnsi="Times New Roman" w:cs="Times New Roman"/>
          <w:color w:val="auto"/>
          <w:spacing w:val="-6"/>
        </w:rPr>
        <w:t>危险因素是指能对人造成伤亡或对物造成突发性损坏的因素，有害因素是指能影响人的身体健康，导致疾病，或对物造成慢性损坏的因素。危险、有害因素分析是安全评价的重要环节，也是安全评价的基础。</w:t>
      </w:r>
    </w:p>
    <w:p>
      <w:pPr>
        <w:ind w:firstLine="536" w:firstLineChars="200"/>
        <w:rPr>
          <w:rFonts w:hint="default" w:ascii="Times New Roman" w:hAnsi="Times New Roman" w:cs="Times New Roman"/>
          <w:color w:val="auto"/>
        </w:rPr>
      </w:pPr>
      <w:r>
        <w:rPr>
          <w:rFonts w:hint="default" w:ascii="Times New Roman" w:hAnsi="Times New Roman" w:cs="Times New Roman"/>
          <w:color w:val="auto"/>
          <w:spacing w:val="-6"/>
        </w:rPr>
        <w:t>对该公司的危险、有害因素进行辨识，依据《生产过程危险和有害因素分类与代码》GB/T13861-20</w:t>
      </w:r>
      <w:r>
        <w:rPr>
          <w:rFonts w:hint="default" w:ascii="Times New Roman" w:hAnsi="Times New Roman" w:cs="Times New Roman"/>
          <w:color w:val="auto"/>
          <w:spacing w:val="-6"/>
          <w:lang w:val="en-US" w:eastAsia="zh-CN"/>
        </w:rPr>
        <w:t>22</w:t>
      </w:r>
      <w:r>
        <w:rPr>
          <w:rFonts w:hint="default" w:ascii="Times New Roman" w:hAnsi="Times New Roman" w:cs="Times New Roman"/>
          <w:color w:val="auto"/>
          <w:spacing w:val="-6"/>
        </w:rPr>
        <w:t>和《企业职工伤亡事故分类》GB6441-1986的同时，通过对该公司的厂址、平面布局、建（构）筑物、物质、生产工艺及设备、辅助生产设施（含公用工程）及职业卫生等方面进行分析而得</w:t>
      </w:r>
      <w:r>
        <w:rPr>
          <w:rFonts w:hint="default" w:ascii="Times New Roman" w:hAnsi="Times New Roman" w:cs="Times New Roman"/>
          <w:color w:val="auto"/>
        </w:rPr>
        <w:t>出。</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2.产生原因</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危险、危害因素尽管表现形式不同，但从本质上讲，之所以能造成危险、危害后果（发生伤亡事故、损害人身健康和造成物的损坏等），均可归结为存在能量、有害物质和能量、有害物质失去控制等方面因素的综合作用，并导致能量的意外释放或有害物质泄漏、扩散的结果。存在能量、有害物质和失控是危险、危害因素产生的根本原因。危险、危害因素主要产生原因如下：</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1.能量、有害物质</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能量、有害物质是危险、危害因素产生的根源，也是最根本的危险、危害因素。一般地说，系统具有的能量越大、存在的危害物质的数量越多，系统的潜在危险性和危害性也越大。另一方面，只要进行生产活动，就需要相应的能量和物质（包括有害物质），因此生产活动中的危险、危害因素是客观存在的，是不能完全消除的。</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1）能量就是做工的能力。它即可以造福人类，也可能造成人员伤亡和财产损失。一切产生、供给能量的能源和能量的载体在一定条件下，都可能是危险、危害因素。</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2）有害物质在一定条件下能损伤人体的生理机能和正常代谢功能，破坏设备和物品的效能，也是主要的危险、危害因素。</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2.失控</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在生产中，人们通过工艺和工艺装备使能量、物质（包括有害物质）按人们的意愿在系统中流动、转换，进行生产。同时又必须结束和控制这些能量及有害物质，消除、减少产生不良后果的条件，使之不能发生危险、危害后果。如果发生失控(没有采取控制、屏蔽措施或控制、屏蔽措施失效)，就会发生能量、危害物质的意外释放和泄漏，从而造成人员伤害和财产损失。所以失控也是一类危险、危害因素，它主要体现在设备故障(或缺陷)、人员失误和管理缺陷3个方面。此外环境因素是引起失控的间接原因。</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1）故障（包括生产、控制、安全装置和辅助设施等故障）</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故障(含缺陷)是指系统、设备、元件等在运行过程中由于性能(含安全性能)低下而不能实现预定功能(包括安全功能)的现象。故障的发生具有随机性、渐近性或突发性。造成故障发生的原因很复杂（设计、制造、磨损、疲劳、老化、检查和维修、保养、人员失误、环境和其他系统的影响等），通过定期检查维修保养和分析总结可使多数故障在预定期间内得到控制（避免或减少）。掌握各类故障发生的规律是防止故障发生的重要手段，这需要应用大量统计数据和概率统计的方法进行分析和研究。</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2）人员失误</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人员失误泛指不安全行为中产生不良后果的行为(即职工在劳动过程中，违反劳动纪律、操作程序和操作方法等具有危险性的做法)。人员失误在一定经济、技术条件下，是引发危险、危害因素的重要因素。人员失误在规律和失误率通过大量的观测、统计和分析，是可以预测。</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我国《企业职工伤亡事故分类标准》（GB 6441</w:t>
      </w:r>
      <w:r>
        <w:rPr>
          <w:rFonts w:hint="default" w:ascii="Times New Roman" w:hAnsi="Times New Roman" w:cs="Times New Roman"/>
          <w:color w:val="auto"/>
          <w:lang w:val="en-US" w:eastAsia="zh-CN"/>
        </w:rPr>
        <w:t>-</w:t>
      </w:r>
      <w:r>
        <w:rPr>
          <w:rFonts w:hint="default" w:ascii="Times New Roman" w:hAnsi="Times New Roman" w:cs="Times New Roman"/>
          <w:color w:val="auto"/>
        </w:rPr>
        <w:t>1986）附录中将不安全行为归纳为操作失误(忽视安全、忽视警告)、造成安全装置失效、使用不安全设备、手代替工具操作、物体存放不当、冒险进入危险场所、攀坐不安全位置、在吊物下作业(停留)、机器运转时加油(修理、检查、调整、清扫等)、有分散注意力行为、忽视使用必须使用的个人防护用品或用具、不安全装束、对易燃易爆等危险品处理错误等13类。</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3）管理缺陷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安全生产管理是为保证及时、有效地实现目标，在预测、分析的基础上进行的计划、组织、协调、检查等工作，是预防发生事故和人员失误的有效手段。管理缺陷是影响失控发生的重要因素。</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4）客观因素</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温度、湿度、风雨雪、照明、视野、噪声、振动、通风换气、色彩等环境因素都会引起设备故障或人员失误，也是发生失控的间接因素。</w:t>
      </w:r>
    </w:p>
    <w:p>
      <w:pPr>
        <w:keepNext/>
        <w:keepLines/>
        <w:widowControl/>
        <w:adjustRightInd w:val="0"/>
        <w:snapToGrid w:val="0"/>
        <w:spacing w:afterLines="50"/>
        <w:ind w:firstLine="562" w:firstLineChars="200"/>
        <w:jc w:val="center"/>
        <w:outlineLvl w:val="2"/>
        <w:rPr>
          <w:rFonts w:hint="default" w:ascii="Times New Roman" w:hAnsi="Times New Roman" w:cs="Times New Roman"/>
          <w:b/>
          <w:bCs/>
          <w:color w:val="auto"/>
          <w:kern w:val="0"/>
        </w:rPr>
      </w:pPr>
      <w:r>
        <w:rPr>
          <w:rFonts w:hint="default" w:ascii="Times New Roman" w:hAnsi="Times New Roman" w:cs="Times New Roman"/>
          <w:b/>
          <w:bCs/>
          <w:color w:val="auto"/>
          <w:kern w:val="0"/>
        </w:rPr>
        <w:t>B.2.2项目厂址与总平危险有害因素辨识分析</w:t>
      </w:r>
    </w:p>
    <w:p>
      <w:pPr>
        <w:keepNext/>
        <w:keepLines/>
        <w:widowControl/>
        <w:adjustRightInd w:val="0"/>
        <w:snapToGrid w:val="0"/>
        <w:ind w:firstLine="562" w:firstLineChars="200"/>
        <w:jc w:val="center"/>
        <w:outlineLvl w:val="3"/>
        <w:rPr>
          <w:rFonts w:hint="default" w:ascii="Times New Roman" w:hAnsi="Times New Roman" w:cs="Times New Roman"/>
          <w:b/>
          <w:bCs/>
          <w:color w:val="auto"/>
          <w:kern w:val="0"/>
          <w:sz w:val="28"/>
          <w:szCs w:val="28"/>
        </w:rPr>
      </w:pPr>
      <w:r>
        <w:rPr>
          <w:rFonts w:hint="default" w:ascii="Times New Roman" w:hAnsi="Times New Roman" w:cs="Times New Roman"/>
          <w:b/>
          <w:bCs/>
          <w:color w:val="auto"/>
          <w:kern w:val="0"/>
          <w:sz w:val="28"/>
          <w:szCs w:val="28"/>
        </w:rPr>
        <w:t>B.2.2.1厂址危险有害因素辨识分析</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1.不良地质</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不良地质条件对地基及整个厂区建筑物都有很大影响。工程土建部分如未按工程场地的建筑类别进行必要的地基处理，或地基处理不当，工程运行过程中可能发生地基不均匀下沉，会对厂房、设备、管线造成不安全隐患，尤其是厂房等建筑易遭受外力如振动、风力和外加载荷等附加应力的作用而产生变形裂缝，造成不安全隐患。</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该项目地下水、土壤对混凝土结构具弱腐蚀性，对钢筋混凝土结构中钢筋具微腐蚀性，如未按规范进行防腐设计，则会造成不安全隐患，严重者引发坍塌事故。</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2.水文气象条件</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水文气象条件对整个工程项目有很大的影响。洪水、大风、暴雪等恶劣天气都易造成建筑物和设备装置的破坏，进而威胁人身安全。夏季过高气温容使人易中暑，冬季气温过低则可能导致冻伤或冻坏设备、管道，不但影响生产，而且容易造成事故危及人身安全。</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如遇强风、高温、低温雨天、雪天等恶劣天气进行户外登高作业，如不采取有针对性的防护措施，可能发生高处坠落、物体打击事故。</w:t>
      </w:r>
    </w:p>
    <w:p>
      <w:pPr>
        <w:ind w:firstLine="560" w:firstLineChars="200"/>
        <w:rPr>
          <w:rFonts w:hint="default" w:ascii="Times New Roman" w:hAnsi="Times New Roman" w:cs="Times New Roman"/>
          <w:color w:val="auto"/>
          <w:lang w:val="zh-CN"/>
        </w:rPr>
      </w:pPr>
      <w:r>
        <w:rPr>
          <w:rFonts w:hint="default" w:ascii="Times New Roman" w:hAnsi="Times New Roman" w:cs="Times New Roman"/>
          <w:color w:val="auto"/>
        </w:rPr>
        <w:t>另外，该项目所在地年平均降水量为1421.1mm，最多的年降水量为2298.4mm，如果厂区内排水系统不符合要求或出现故障不畅通，就会造成内涝灾害，而损坏设备、厂房、地下建（构）筑物，造成生产事故等。</w:t>
      </w:r>
      <w:r>
        <w:rPr>
          <w:rFonts w:hint="default" w:ascii="Times New Roman" w:hAnsi="Times New Roman" w:cs="Times New Roman"/>
          <w:color w:val="auto"/>
          <w:lang w:val="zh-CN"/>
        </w:rPr>
        <w:t>企业也应及时掌握准确的气象资料和天气预报，特别是致洪暴雨及</w:t>
      </w:r>
      <w:r>
        <w:rPr>
          <w:rFonts w:hint="default" w:ascii="Times New Roman" w:hAnsi="Times New Roman" w:cs="Times New Roman"/>
          <w:color w:val="auto"/>
        </w:rPr>
        <w:t>长期阴雨天气</w:t>
      </w:r>
      <w:r>
        <w:rPr>
          <w:rFonts w:hint="default" w:ascii="Times New Roman" w:hAnsi="Times New Roman" w:cs="Times New Roman"/>
          <w:color w:val="auto"/>
          <w:lang w:val="zh-CN"/>
        </w:rPr>
        <w:t>的预报，以避免人员、财产蒙受重大损失。</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雷电可分为直击雷、静电感应雷、电磁感应雷和球雷等。直击雷放电、二次放电、球雷侵入、雷电流转化的高温、冲击电压击穿电气设备绝缘路均可能引起爆炸和火灾。直击雷放电、二次放电、球雷打击、跨步电压、绝缘击穿均可能造成电击，造成设备损坏和人员伤亡。毁坏设备和设施。冲击电压可击穿电气设备的绝缘、力效应可毁坏设备和设施</w:t>
      </w:r>
      <w:r>
        <w:rPr>
          <w:rFonts w:hint="default" w:ascii="Times New Roman" w:hAnsi="Times New Roman" w:cs="Times New Roman"/>
          <w:color w:val="auto"/>
          <w:lang w:eastAsia="zh-CN"/>
        </w:rPr>
        <w:t>，</w:t>
      </w:r>
      <w:r>
        <w:rPr>
          <w:rFonts w:hint="default" w:ascii="Times New Roman" w:hAnsi="Times New Roman" w:cs="Times New Roman"/>
          <w:color w:val="auto"/>
        </w:rPr>
        <w:t>事故停电电力设备或电力线路损坏后可能导致大规模停电。</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如果该项目建筑物防雷接地系统不符合要求或损坏，如遇雷击，会可造成人员伤亡，生产设备设施及建筑物的损坏。</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当地的</w:t>
      </w:r>
      <w:r>
        <w:rPr>
          <w:rFonts w:hint="default" w:ascii="Times New Roman" w:hAnsi="Times New Roman" w:cs="Times New Roman"/>
          <w:color w:val="auto"/>
          <w:lang w:eastAsia="zh-CN"/>
        </w:rPr>
        <w:t>历史</w:t>
      </w:r>
      <w:r>
        <w:rPr>
          <w:rFonts w:hint="default" w:ascii="Times New Roman" w:hAnsi="Times New Roman" w:cs="Times New Roman"/>
          <w:color w:val="auto"/>
        </w:rPr>
        <w:t>最大风速为</w:t>
      </w:r>
      <w:r>
        <w:rPr>
          <w:rFonts w:hint="default" w:ascii="Times New Roman" w:hAnsi="Times New Roman" w:cs="Times New Roman"/>
          <w:color w:val="auto"/>
          <w:lang w:val="en-US" w:eastAsia="zh-CN"/>
        </w:rPr>
        <w:t>28</w:t>
      </w:r>
      <w:r>
        <w:rPr>
          <w:rFonts w:hint="default" w:ascii="Times New Roman" w:hAnsi="Times New Roman" w:cs="Times New Roman"/>
          <w:color w:val="auto"/>
        </w:rPr>
        <w:t>m/s。风对装置生产过程中安全性的影响，主要表现在有害气体的无组织排放（系指泄漏量），风可加速向外扩散，从而使泄漏的有害气体到达较远的区域，造成事故的扩大和对周围大气环境的污染。该项目中大风天气对生产车间、储罐区等破坏性较大。</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当地年极端最高温度42.8℃，高温天气会加大员工中暑几率；该项目所在地极端低温为-</w:t>
      </w:r>
      <w:r>
        <w:rPr>
          <w:rFonts w:hint="default" w:ascii="Times New Roman" w:hAnsi="Times New Roman" w:cs="Times New Roman"/>
          <w:color w:val="auto"/>
          <w:lang w:val="en-US" w:eastAsia="zh-CN"/>
        </w:rPr>
        <w:t>5</w:t>
      </w: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极端低温对于安装在室外的设备、等存在危害，这要求对设备等设施采取防冻、防凝等防护措施，如果防冻措施有疏漏，会威胁装置的安全运行。同时，严寒也会给室外作业人员带来困难和冻伤，所以这些人员应充分做好个体防护。</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4）地震</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地震是危害度较大的自然现象，地震对建筑物、设备有极大的破坏作用，它可造成厂房等建筑物的倒塌、破坏整个厂区的供电、排水系统，造成机械损害，人员伤亡。因此建（构）筑物应根据该公司场地的地震基本烈度，提高一级设防。否则一旦发生地震灾害时，如果厂房及建（构）筑物的抗震等级不够时，会发生厂房坍塌、倾倒事故，大型设备发生偏移、倾斜，从而损坏设备的使用，对人员和财产造成危害。该项目所在区域地震烈度6度，存在地震的可能性，该公司应采取相应的防震措施。</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5）周围环境</w:t>
      </w:r>
    </w:p>
    <w:p>
      <w:pPr>
        <w:ind w:firstLine="560" w:firstLineChars="200"/>
        <w:rPr>
          <w:rFonts w:hint="default" w:ascii="Times New Roman" w:hAnsi="Times New Roman" w:cs="Times New Roman"/>
          <w:color w:val="auto"/>
          <w:spacing w:val="-6"/>
        </w:rPr>
      </w:pPr>
      <w:r>
        <w:rPr>
          <w:rFonts w:hint="default" w:ascii="Times New Roman" w:hAnsi="Times New Roman" w:cs="Times New Roman"/>
          <w:color w:val="auto"/>
        </w:rPr>
        <w:t>该项目周边区域24h内均有人员活动，人员的生产经营活动一般不会对该公司的生产产生影响，但是如果没有健全的安全生产管理制度和措施，致使外部闲散人员能够随意进入厂区，也可能对正常的生产经营活动造成不良影</w:t>
      </w:r>
      <w:r>
        <w:rPr>
          <w:rFonts w:hint="default" w:ascii="Times New Roman" w:hAnsi="Times New Roman" w:cs="Times New Roman"/>
          <w:color w:val="auto"/>
          <w:spacing w:val="-6"/>
        </w:rPr>
        <w:t>响。</w:t>
      </w:r>
    </w:p>
    <w:p>
      <w:pPr>
        <w:ind w:firstLine="536" w:firstLineChars="200"/>
        <w:rPr>
          <w:rFonts w:hint="default" w:ascii="Times New Roman" w:hAnsi="Times New Roman" w:cs="Times New Roman"/>
          <w:color w:val="auto"/>
          <w:spacing w:val="-6"/>
        </w:rPr>
      </w:pPr>
      <w:r>
        <w:rPr>
          <w:rFonts w:hint="default" w:ascii="Times New Roman" w:hAnsi="Times New Roman" w:cs="Times New Roman"/>
          <w:color w:val="auto"/>
          <w:spacing w:val="-6"/>
        </w:rPr>
        <w:t>由以上的分析可知，项目厂址所在地的自然危险因素为气象、水文、地质、地震、雷击等，其会对厂址的安全产生一些影响，但采取一定的措施后是安全的。</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spacing w:val="-6"/>
          <w:kern w:val="2"/>
          <w:sz w:val="28"/>
          <w:szCs w:val="28"/>
          <w:lang w:val="en-US" w:eastAsia="zh-CN" w:bidi="ar-SA"/>
        </w:rPr>
      </w:pPr>
      <w:r>
        <w:rPr>
          <w:rFonts w:hint="default" w:ascii="Times New Roman" w:hAnsi="Times New Roman" w:eastAsia="宋体" w:cs="Times New Roman"/>
          <w:b/>
          <w:bCs/>
          <w:color w:val="auto"/>
          <w:spacing w:val="-6"/>
          <w:kern w:val="2"/>
          <w:sz w:val="28"/>
          <w:szCs w:val="28"/>
          <w:lang w:val="en-US" w:eastAsia="zh-CN" w:bidi="ar-SA"/>
        </w:rPr>
        <w:t>B.2.2.2总平面布置与建筑物危险有害因素辨识分析</w:t>
      </w:r>
    </w:p>
    <w:p>
      <w:pPr>
        <w:autoSpaceDE w:val="0"/>
        <w:autoSpaceDN w:val="0"/>
        <w:adjustRightInd w:val="0"/>
        <w:spacing w:line="360" w:lineRule="auto"/>
        <w:ind w:firstLine="536" w:firstLineChars="200"/>
        <w:jc w:val="left"/>
        <w:rPr>
          <w:rFonts w:hint="default" w:ascii="Times New Roman" w:hAnsi="Times New Roman" w:cs="Times New Roman"/>
          <w:color w:val="auto"/>
          <w:spacing w:val="-6"/>
          <w:kern w:val="0"/>
        </w:rPr>
      </w:pPr>
      <w:r>
        <w:rPr>
          <w:rFonts w:hint="default" w:ascii="Times New Roman" w:hAnsi="Times New Roman" w:cs="Times New Roman"/>
          <w:color w:val="auto"/>
          <w:spacing w:val="-6"/>
          <w:kern w:val="0"/>
        </w:rPr>
        <w:t>功能分区不合理会造成安全生产管理不便，增大了事故发生的机率，一旦发生事故救援困难、受害人数增加，财产损失加大，事故后果扩大。</w:t>
      </w:r>
    </w:p>
    <w:p>
      <w:pPr>
        <w:autoSpaceDE w:val="0"/>
        <w:autoSpaceDN w:val="0"/>
        <w:adjustRightInd w:val="0"/>
        <w:spacing w:line="360" w:lineRule="auto"/>
        <w:ind w:firstLine="536" w:firstLineChars="200"/>
        <w:jc w:val="left"/>
        <w:rPr>
          <w:rFonts w:hint="default" w:ascii="Times New Roman" w:hAnsi="Times New Roman" w:cs="Times New Roman"/>
          <w:color w:val="auto"/>
          <w:kern w:val="0"/>
        </w:rPr>
      </w:pPr>
      <w:r>
        <w:rPr>
          <w:rFonts w:hint="default" w:ascii="Times New Roman" w:hAnsi="Times New Roman" w:cs="Times New Roman"/>
          <w:color w:val="auto"/>
          <w:spacing w:val="-6"/>
          <w:kern w:val="0"/>
        </w:rPr>
        <w:t>装置与装置之间；装置与罐区相互之间安全距离如不能符合《</w:t>
      </w:r>
      <w:r>
        <w:rPr>
          <w:rFonts w:hint="default" w:ascii="Times New Roman" w:hAnsi="Times New Roman" w:cs="Times New Roman"/>
          <w:color w:val="auto"/>
          <w:spacing w:val="-6"/>
          <w:kern w:val="0"/>
          <w:lang w:eastAsia="zh-CN"/>
        </w:rPr>
        <w:t>建筑设计防火规范（</w:t>
      </w:r>
      <w:r>
        <w:rPr>
          <w:rFonts w:hint="default" w:ascii="Times New Roman" w:hAnsi="Times New Roman" w:cs="Times New Roman"/>
          <w:color w:val="auto"/>
          <w:spacing w:val="-6"/>
          <w:kern w:val="0"/>
          <w:lang w:val="en-US" w:eastAsia="zh-CN"/>
        </w:rPr>
        <w:t>2018版</w:t>
      </w:r>
      <w:r>
        <w:rPr>
          <w:rFonts w:hint="default" w:ascii="Times New Roman" w:hAnsi="Times New Roman" w:cs="Times New Roman"/>
          <w:color w:val="auto"/>
          <w:spacing w:val="-6"/>
          <w:kern w:val="0"/>
          <w:lang w:eastAsia="zh-CN"/>
        </w:rPr>
        <w:t>）</w:t>
      </w:r>
      <w:r>
        <w:rPr>
          <w:rFonts w:hint="default" w:ascii="Times New Roman" w:hAnsi="Times New Roman" w:cs="Times New Roman"/>
          <w:color w:val="auto"/>
          <w:spacing w:val="-6"/>
          <w:kern w:val="0"/>
        </w:rPr>
        <w:t>》等规范要求，容易引发火灾</w:t>
      </w:r>
      <w:r>
        <w:rPr>
          <w:rFonts w:hint="default" w:ascii="Times New Roman" w:hAnsi="Times New Roman" w:cs="Times New Roman"/>
          <w:color w:val="auto"/>
          <w:spacing w:val="-6"/>
          <w:kern w:val="0"/>
          <w:lang w:eastAsia="zh-CN"/>
        </w:rPr>
        <w:t>、</w:t>
      </w:r>
      <w:r>
        <w:rPr>
          <w:rFonts w:hint="default" w:ascii="Times New Roman" w:hAnsi="Times New Roman" w:cs="Times New Roman"/>
          <w:color w:val="auto"/>
          <w:spacing w:val="-6"/>
          <w:kern w:val="0"/>
        </w:rPr>
        <w:t>爆炸</w:t>
      </w:r>
      <w:r>
        <w:rPr>
          <w:rFonts w:hint="default" w:ascii="Times New Roman" w:hAnsi="Times New Roman" w:cs="Times New Roman"/>
          <w:color w:val="auto"/>
          <w:spacing w:val="-6"/>
          <w:kern w:val="0"/>
          <w:lang w:eastAsia="zh-CN"/>
        </w:rPr>
        <w:t>和灼烫</w:t>
      </w:r>
      <w:r>
        <w:rPr>
          <w:rFonts w:hint="default" w:ascii="Times New Roman" w:hAnsi="Times New Roman" w:cs="Times New Roman"/>
          <w:color w:val="auto"/>
          <w:spacing w:val="-6"/>
          <w:kern w:val="0"/>
        </w:rPr>
        <w:t>事故</w:t>
      </w:r>
      <w:r>
        <w:rPr>
          <w:rFonts w:hint="default" w:ascii="Times New Roman" w:hAnsi="Times New Roman" w:cs="Times New Roman"/>
          <w:color w:val="auto"/>
          <w:spacing w:val="-6"/>
          <w:kern w:val="0"/>
          <w:lang w:eastAsia="zh-CN"/>
        </w:rPr>
        <w:t>，如</w:t>
      </w:r>
      <w:r>
        <w:rPr>
          <w:rFonts w:hint="default" w:ascii="Times New Roman" w:hAnsi="Times New Roman" w:cs="Times New Roman"/>
          <w:color w:val="auto"/>
          <w:spacing w:val="-6"/>
          <w:kern w:val="0"/>
        </w:rPr>
        <w:t>火灾蔓延，火情扩大，给消防灭火、事故处置和人员抢救都带来不利</w:t>
      </w:r>
      <w:r>
        <w:rPr>
          <w:rFonts w:hint="default" w:ascii="Times New Roman" w:hAnsi="Times New Roman" w:cs="Times New Roman"/>
          <w:color w:val="auto"/>
          <w:kern w:val="0"/>
        </w:rPr>
        <w:t>影响。</w:t>
      </w:r>
    </w:p>
    <w:p>
      <w:pPr>
        <w:autoSpaceDE w:val="0"/>
        <w:autoSpaceDN w:val="0"/>
        <w:adjustRightInd w:val="0"/>
        <w:spacing w:line="360" w:lineRule="auto"/>
        <w:ind w:firstLine="56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厂区通道不畅；路面宽度不符合消防要求；无环形通道或无回四场，都将给消防灭火带来不利影响。</w:t>
      </w:r>
    </w:p>
    <w:p>
      <w:pPr>
        <w:autoSpaceDE w:val="0"/>
        <w:autoSpaceDN w:val="0"/>
        <w:adjustRightInd w:val="0"/>
        <w:spacing w:line="360" w:lineRule="auto"/>
        <w:ind w:firstLine="56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按规范要求设置出入口，合理的进行人流、物流，保证人员迅速疏散，物流畅通，有利于事故的应急处理。</w:t>
      </w:r>
    </w:p>
    <w:p>
      <w:pPr>
        <w:autoSpaceDE w:val="0"/>
        <w:autoSpaceDN w:val="0"/>
        <w:adjustRightInd w:val="0"/>
        <w:spacing w:line="360" w:lineRule="auto"/>
        <w:ind w:firstLine="56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该项目生产厂房和仓库其耐火等级必须达到二级以上，符合防火要求。生产装置、罐区、装卸设施等均需设置防雷和防直接雷设施，否则，一旦发生火灾或因雷击导致的火灾事故，会迅速穿顶，甚至造成装置、厂房倒塌等危害。</w:t>
      </w:r>
    </w:p>
    <w:p>
      <w:pPr>
        <w:autoSpaceDE w:val="0"/>
        <w:autoSpaceDN w:val="0"/>
        <w:adjustRightInd w:val="0"/>
        <w:spacing w:line="360" w:lineRule="auto"/>
        <w:ind w:firstLine="56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建（构）筑物之间的间距应考虑到消防施救和人员疏散的要求，否则可能造成火情或其它事故的扩大。</w:t>
      </w:r>
    </w:p>
    <w:p>
      <w:pPr>
        <w:autoSpaceDE w:val="0"/>
        <w:autoSpaceDN w:val="0"/>
        <w:adjustRightInd w:val="0"/>
        <w:spacing w:line="360" w:lineRule="auto"/>
        <w:ind w:firstLine="56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不得设在建筑物的地下室或半地下室内，以免发生事故影响上层，同时也不利于疏散和扑救。这些部位宜设在单层厂房靠外墙或多层厂房的最上一层靠外墙处；如有可能，尽量设在敞开式建筑物内，以利通风和防爆泄压，减少事故损失。</w:t>
      </w:r>
    </w:p>
    <w:p>
      <w:pPr>
        <w:autoSpaceDE w:val="0"/>
        <w:autoSpaceDN w:val="0"/>
        <w:adjustRightInd w:val="0"/>
        <w:spacing w:line="360" w:lineRule="auto"/>
        <w:ind w:firstLine="56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生产装置和贮槽很大，基础负荷也很大，若基础设计、施工有问题，易造成基础沉降，会引起设备、管线损坏，物料泄漏，造成中毒、火灾、爆炸事故。</w:t>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B.2.3按导致事故类别进行危险、有害因素辨识与分析</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参照《企业职工伤亡事故分类标准》(GB 6441-1986)，综合考虑起因物、引起事故的诱导性原因、致害物、伤害方式等。</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B.2.3.1</w:t>
      </w:r>
      <w:r>
        <w:rPr>
          <w:rFonts w:hint="default" w:ascii="Times New Roman" w:hAnsi="Times New Roman" w:cs="Times New Roman"/>
          <w:b/>
          <w:bCs/>
          <w:color w:val="auto"/>
          <w:kern w:val="2"/>
          <w:sz w:val="28"/>
          <w:szCs w:val="28"/>
          <w:lang w:val="en-US" w:eastAsia="zh-CN" w:bidi="ar-SA"/>
        </w:rPr>
        <w:t>中毒和窒息</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中毒和窒息是指在生产条件下，有毒物进入人体引起危及生命的急性中毒以及在缺氧条件下，发生的窒息事故。</w:t>
      </w:r>
    </w:p>
    <w:p>
      <w:pPr>
        <w:ind w:firstLine="560" w:firstLineChars="200"/>
        <w:jc w:val="left"/>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GB"/>
        </w:rPr>
        <w:t>该项目涉及有毒物质，主要为</w:t>
      </w:r>
      <w:r>
        <w:rPr>
          <w:rFonts w:hint="default" w:ascii="Times New Roman" w:hAnsi="Times New Roman" w:cs="Times New Roman"/>
          <w:color w:val="auto"/>
          <w:lang w:val="en-US" w:eastAsia="zh-CN"/>
        </w:rPr>
        <w:t>氨、天然气（燃料）以及</w:t>
      </w:r>
      <w:r>
        <w:rPr>
          <w:rFonts w:hint="default" w:ascii="Times New Roman" w:hAnsi="Times New Roman" w:eastAsia="宋体" w:cs="Times New Roman"/>
          <w:color w:val="auto"/>
          <w:lang w:val="en-GB"/>
        </w:rPr>
        <w:t>反应过程中产生</w:t>
      </w:r>
      <w:r>
        <w:rPr>
          <w:rFonts w:hint="default" w:ascii="Times New Roman" w:hAnsi="Times New Roman" w:cs="Times New Roman"/>
          <w:color w:val="auto"/>
          <w:lang w:val="en-GB" w:eastAsia="zh-CN"/>
        </w:rPr>
        <w:t>的</w:t>
      </w:r>
      <w:r>
        <w:rPr>
          <w:rFonts w:hint="default" w:ascii="Times New Roman" w:hAnsi="Times New Roman" w:eastAsia="宋体" w:cs="Times New Roman"/>
          <w:color w:val="auto"/>
          <w:lang w:val="en-GB"/>
        </w:rPr>
        <w:t>氯化氢气体</w:t>
      </w:r>
      <w:r>
        <w:rPr>
          <w:rFonts w:hint="default" w:ascii="Times New Roman" w:hAnsi="Times New Roman" w:cs="Times New Roman"/>
          <w:color w:val="auto"/>
          <w:lang w:val="en-GB" w:eastAsia="zh-CN"/>
        </w:rPr>
        <w:t>和</w:t>
      </w:r>
      <w:r>
        <w:rPr>
          <w:rFonts w:hint="default" w:ascii="Times New Roman" w:hAnsi="Times New Roman" w:cs="Times New Roman"/>
          <w:color w:val="auto"/>
          <w:lang w:val="en-US" w:eastAsia="zh-CN"/>
        </w:rPr>
        <w:t>尾</w:t>
      </w:r>
      <w:r>
        <w:rPr>
          <w:rFonts w:hint="default" w:ascii="Times New Roman" w:hAnsi="Times New Roman" w:cs="Times New Roman"/>
          <w:color w:val="auto"/>
          <w:lang w:val="en-GB" w:eastAsia="zh-CN"/>
        </w:rPr>
        <w:t>气。</w:t>
      </w:r>
      <w:r>
        <w:rPr>
          <w:rFonts w:hint="default" w:ascii="Times New Roman" w:hAnsi="Times New Roman" w:eastAsia="宋体" w:cs="Times New Roman"/>
          <w:color w:val="auto"/>
          <w:lang w:val="en-GB"/>
        </w:rPr>
        <w:t>因此，在生产过程中，如发生泄漏，可能发生中毒和窒息事故。</w:t>
      </w:r>
      <w:r>
        <w:rPr>
          <w:rFonts w:hint="default" w:ascii="Times New Roman" w:hAnsi="Times New Roman" w:cs="Times New Roman"/>
          <w:color w:val="auto"/>
          <w:lang w:val="en-US" w:eastAsia="zh-CN"/>
        </w:rPr>
        <w:t>涉及的尿素、氯化铵、硫酸氢钾、硫酸铵等物料受高热分解有毒的烟气。</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有毒物料少量泄漏，可形成局部高浓度环境，使在此环境工作的人员发生中毒，如果接触的毒物浓度高，时间长，可能造成人员死亡。另外，长期工作在有毒环境下，可引起人员慢性中毒。</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异常情况下的泄漏</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①生产过程中发生停电，尤其是局部停电，冷冻水、循环水中断，反应不能及时中止，阀门不能正常动作，可能发生事故。</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②由于该项目部分操作温度高，且存在腐蚀性物质，设备及管道易发生腐蚀泄漏；而且生产过程中</w:t>
      </w:r>
      <w:r>
        <w:rPr>
          <w:rFonts w:hint="default" w:ascii="Times New Roman" w:hAnsi="Times New Roman" w:cs="Times New Roman"/>
          <w:color w:val="auto"/>
          <w:lang w:val="en-US" w:eastAsia="zh-CN"/>
        </w:rPr>
        <w:t>涉及有毒的</w:t>
      </w:r>
      <w:r>
        <w:rPr>
          <w:rFonts w:hint="default" w:ascii="Times New Roman" w:hAnsi="Times New Roman" w:eastAsia="宋体" w:cs="Times New Roman"/>
          <w:color w:val="auto"/>
          <w:lang w:val="en-GB"/>
        </w:rPr>
        <w:t>气态</w:t>
      </w:r>
      <w:r>
        <w:rPr>
          <w:rFonts w:hint="default" w:ascii="Times New Roman" w:hAnsi="Times New Roman" w:cs="Times New Roman"/>
          <w:color w:val="auto"/>
          <w:lang w:val="en-US" w:eastAsia="zh-CN"/>
        </w:rPr>
        <w:t>物料</w:t>
      </w:r>
      <w:r>
        <w:rPr>
          <w:rFonts w:hint="default" w:ascii="Times New Roman" w:hAnsi="Times New Roman" w:eastAsia="宋体" w:cs="Times New Roman"/>
          <w:color w:val="auto"/>
          <w:lang w:val="en-GB"/>
        </w:rPr>
        <w:t>存在，加大了中毒的危险性。如设备、管道、仪表、联锁报警装置、附件等出现意外损坏或操作失控造成有毒物质等泄漏，致使其挥发混存于空气中，有毒气体或窒息性气体不断积聚，会造成有毒或窒息性成分在一定区域空气内的浓度升高。如果作业场所有毒或窒息性物质大量聚集且通风条件不好；作业人员的个人防护又不当，有可能导致中毒；当有毒或窒息性成分在一定区域空气内的浓度达到或超过急性中毒浓度时，可导致急性中毒或使人窒息死亡。</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4）其他的中毒形式</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①进入设备内作业，由于设备内未清洗置换干净，可能造成人员中毒。</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cs="Times New Roman"/>
          <w:color w:val="auto"/>
          <w:lang w:val="en-US" w:eastAsia="zh-CN"/>
        </w:rPr>
        <w:t>②</w:t>
      </w:r>
      <w:r>
        <w:rPr>
          <w:rFonts w:hint="default" w:ascii="Times New Roman" w:hAnsi="Times New Roman" w:eastAsia="宋体" w:cs="Times New Roman"/>
          <w:color w:val="auto"/>
          <w:lang w:val="en-GB"/>
        </w:rPr>
        <w:t>在有毒环境下进食、饮水，毒物随食物食入可能造成人员中毒，导致过敏性窒息。</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cs="Times New Roman"/>
          <w:color w:val="auto"/>
          <w:lang w:val="en-US" w:eastAsia="zh-CN"/>
        </w:rPr>
        <w:t>③</w:t>
      </w:r>
      <w:r>
        <w:rPr>
          <w:rFonts w:hint="default" w:ascii="Times New Roman" w:hAnsi="Times New Roman" w:eastAsia="宋体" w:cs="Times New Roman"/>
          <w:color w:val="auto"/>
          <w:lang w:val="en-GB"/>
        </w:rPr>
        <w:t>有毒物料在装卸、贮存、运输、使用过程中因碰撞、腐蚀等发生泄漏，造成局部高毒环境，从而发生人员中毒事故。装、卸车时连接管脱落，泄漏造成人员中毒或灼伤。</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cs="Times New Roman"/>
          <w:color w:val="auto"/>
          <w:lang w:val="en-US" w:eastAsia="zh-CN"/>
        </w:rPr>
        <w:t>④</w:t>
      </w:r>
      <w:r>
        <w:rPr>
          <w:rFonts w:hint="default" w:ascii="Times New Roman" w:hAnsi="Times New Roman" w:eastAsia="宋体" w:cs="Times New Roman"/>
          <w:color w:val="auto"/>
          <w:lang w:val="en-GB"/>
        </w:rPr>
        <w:t>进入设备检修时，因设备未清洗置换合格或未采取有效的隔绝措施，进入设备前或在作业期间未按规定进行取样分析，可能造成人员中毒。</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cs="Times New Roman"/>
          <w:color w:val="auto"/>
          <w:lang w:val="en-US" w:eastAsia="zh-CN"/>
        </w:rPr>
        <w:t>⑤</w:t>
      </w:r>
      <w:r>
        <w:rPr>
          <w:rFonts w:hint="default" w:ascii="Times New Roman" w:hAnsi="Times New Roman" w:eastAsia="宋体" w:cs="Times New Roman"/>
          <w:color w:val="auto"/>
          <w:lang w:val="en-GB"/>
        </w:rPr>
        <w:t>在有毒环境下进行作业，未按规定使用防毒用品，可能造成人员中毒；在有毒环境下进行应急抢险作业，未按规定使用防毒用品，可能造成人员中毒。</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cs="Times New Roman"/>
          <w:color w:val="auto"/>
          <w:lang w:val="en-US" w:eastAsia="zh-CN"/>
        </w:rPr>
        <w:t>⑥</w:t>
      </w:r>
      <w:r>
        <w:rPr>
          <w:rFonts w:hint="default" w:ascii="Times New Roman" w:hAnsi="Times New Roman" w:eastAsia="宋体" w:cs="Times New Roman"/>
          <w:color w:val="auto"/>
          <w:lang w:val="en-GB"/>
        </w:rPr>
        <w:t>生产装置发生火灾、爆炸造成设备损坏致使有毒物料等泄漏、扩散。</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cs="Times New Roman"/>
          <w:color w:val="auto"/>
          <w:lang w:val="en-US" w:eastAsia="zh-CN"/>
        </w:rPr>
        <w:t>⑦</w:t>
      </w:r>
      <w:r>
        <w:rPr>
          <w:rFonts w:hint="default" w:ascii="Times New Roman" w:hAnsi="Times New Roman" w:eastAsia="宋体" w:cs="Times New Roman"/>
          <w:color w:val="auto"/>
          <w:lang w:val="en-GB"/>
        </w:rPr>
        <w:t>人员到</w:t>
      </w:r>
      <w:r>
        <w:rPr>
          <w:rFonts w:hint="default" w:ascii="Times New Roman" w:hAnsi="Times New Roman" w:cs="Times New Roman"/>
          <w:color w:val="auto"/>
          <w:lang w:val="en-US" w:eastAsia="zh-CN"/>
        </w:rPr>
        <w:t>盐酸或硫酸</w:t>
      </w:r>
      <w:r>
        <w:rPr>
          <w:rFonts w:hint="default" w:ascii="Times New Roman" w:hAnsi="Times New Roman" w:eastAsia="宋体" w:cs="Times New Roman"/>
          <w:color w:val="auto"/>
          <w:lang w:val="en-GB"/>
        </w:rPr>
        <w:t>贮罐上维修时，呼吸到贮罐排出的气体（尤其是卸车时或卸完车后）发生中毒。</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cs="Times New Roman"/>
          <w:color w:val="auto"/>
          <w:lang w:val="en-US" w:eastAsia="zh-CN"/>
        </w:rPr>
        <w:t>⑧</w:t>
      </w:r>
      <w:r>
        <w:rPr>
          <w:rFonts w:hint="default" w:ascii="Times New Roman" w:hAnsi="Times New Roman" w:eastAsia="宋体" w:cs="Times New Roman"/>
          <w:color w:val="auto"/>
          <w:lang w:val="en-GB"/>
        </w:rPr>
        <w:t>成品在包装、转运、装卸过程中人员未采取防护措施接触有毒物质，或误服造成中毒。</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B.2.3.2</w:t>
      </w:r>
      <w:r>
        <w:rPr>
          <w:rFonts w:hint="default" w:ascii="Times New Roman" w:hAnsi="Times New Roman" w:cs="Times New Roman"/>
          <w:b/>
          <w:bCs/>
          <w:color w:val="auto"/>
          <w:kern w:val="2"/>
          <w:sz w:val="28"/>
          <w:szCs w:val="28"/>
          <w:lang w:val="en-US" w:eastAsia="zh-CN" w:bidi="ar-SA"/>
        </w:rPr>
        <w:t>灼烫</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1）高温物体灼烫</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该项目中存在高温介质的设备</w:t>
      </w:r>
      <w:r>
        <w:rPr>
          <w:rFonts w:hint="default" w:ascii="Times New Roman" w:hAnsi="Times New Roman" w:eastAsia="宋体" w:cs="Times New Roman"/>
          <w:color w:val="auto"/>
          <w:lang w:val="en-US" w:eastAsia="zh-CN"/>
        </w:rPr>
        <w:t>如</w:t>
      </w:r>
      <w:r>
        <w:rPr>
          <w:rFonts w:hint="default" w:ascii="Times New Roman" w:hAnsi="Times New Roman" w:cs="Times New Roman"/>
          <w:color w:val="auto"/>
          <w:lang w:val="en-US" w:eastAsia="zh-CN"/>
        </w:rPr>
        <w:t>热风</w:t>
      </w:r>
      <w:r>
        <w:rPr>
          <w:rFonts w:hint="default" w:ascii="Times New Roman" w:hAnsi="Times New Roman" w:eastAsia="宋体" w:cs="Times New Roman"/>
          <w:color w:val="auto"/>
          <w:lang w:val="en-US" w:eastAsia="zh-CN"/>
        </w:rPr>
        <w:t>炉</w:t>
      </w:r>
      <w:r>
        <w:rPr>
          <w:rFonts w:hint="default" w:ascii="Times New Roman" w:hAnsi="Times New Roman" w:cs="Times New Roman"/>
          <w:color w:val="auto"/>
          <w:lang w:val="en-US" w:eastAsia="zh-CN"/>
        </w:rPr>
        <w:t>、热风机、尾气风机等</w:t>
      </w:r>
      <w:r>
        <w:rPr>
          <w:rFonts w:hint="default" w:ascii="Times New Roman" w:hAnsi="Times New Roman" w:eastAsia="宋体" w:cs="Times New Roman"/>
          <w:color w:val="auto"/>
          <w:lang w:val="en-GB"/>
        </w:rPr>
        <w:t>，这类设备的外表如表面隔热层隔热效果不良或无警示标志，造成人体直接接触到高温物体的表面，或内部高温介质泄漏接触到人体，可能造成灼伤事故。该项目熔融槽、混合槽等的内部介质为热介质，泄漏喷出接触人体造成灼伤。</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2）化学灼伤</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该项目中存在的腐蚀性化学物品，如硫酸、</w:t>
      </w:r>
      <w:r>
        <w:rPr>
          <w:rFonts w:hint="default" w:ascii="Times New Roman" w:hAnsi="Times New Roman" w:eastAsia="宋体" w:cs="Times New Roman"/>
          <w:color w:val="auto"/>
        </w:rPr>
        <w:t>盐酸</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氨</w:t>
      </w:r>
      <w:r>
        <w:rPr>
          <w:rFonts w:hint="default" w:ascii="Times New Roman" w:hAnsi="Times New Roman" w:eastAsia="宋体" w:cs="Times New Roman"/>
          <w:color w:val="auto"/>
          <w:lang w:val="en-GB"/>
        </w:rPr>
        <w:t>等对人体有较强的灼伤力，人体直接接触到此类物质时，会造成严重的灼伤。如果设备、管道等装置有缺陷，阀门连接、设备密封不好或材质不良腐蚀泄漏，或者作业人员违章作业、未穿戴安全防护用品都有可能发生化学灼伤事故。</w:t>
      </w:r>
    </w:p>
    <w:p>
      <w:pPr>
        <w:ind w:firstLine="560" w:firstLineChars="200"/>
        <w:jc w:val="left"/>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这些腐蚀性介质在生产过程中形成的气、液相强腐蚀介质对建（筑）物砼、钢结构、机械设备、电器线路、道路、地面的腐蚀，可能造成建（构）筑物基础、梁、柱破坏；钢结构失去强度；电器线路接触电阻增加；接地线路损坏；机械设备和容器损坏；槽罐渗漏；道路破损从而引发各种事故。</w:t>
      </w:r>
    </w:p>
    <w:p>
      <w:pPr>
        <w:ind w:firstLine="56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3）电灼伤</w:t>
      </w:r>
    </w:p>
    <w:p>
      <w:pPr>
        <w:ind w:firstLine="56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该项目在操作带电设备开关时出现误操作，如带负荷拉闸或检修时造成短路，引起电弧，可能引起电弧灼伤。</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B.2.3.3</w:t>
      </w:r>
      <w:r>
        <w:rPr>
          <w:rFonts w:hint="default" w:ascii="Times New Roman" w:hAnsi="Times New Roman" w:cs="Times New Roman"/>
          <w:b/>
          <w:bCs/>
          <w:color w:val="auto"/>
          <w:kern w:val="2"/>
          <w:sz w:val="28"/>
          <w:szCs w:val="28"/>
          <w:lang w:val="en-US" w:eastAsia="zh-CN" w:bidi="ar-SA"/>
        </w:rPr>
        <w:t>火灾、爆炸</w:t>
      </w:r>
    </w:p>
    <w:p>
      <w:pPr>
        <w:numPr>
          <w:ilvl w:val="0"/>
          <w:numId w:val="29"/>
        </w:numPr>
        <w:ind w:firstLine="560" w:firstLineChars="200"/>
        <w:jc w:val="left"/>
        <w:rPr>
          <w:rFonts w:hint="default" w:ascii="Times New Roman" w:hAnsi="Times New Roman" w:eastAsia="宋体" w:cs="Times New Roman"/>
          <w:color w:val="auto"/>
          <w:szCs w:val="24"/>
          <w:lang w:val="en-GB"/>
        </w:rPr>
      </w:pPr>
      <w:r>
        <w:rPr>
          <w:rFonts w:hint="default" w:ascii="Times New Roman" w:hAnsi="Times New Roman" w:cs="Times New Roman"/>
          <w:color w:val="auto"/>
          <w:szCs w:val="24"/>
          <w:lang w:val="en-US" w:eastAsia="zh-CN"/>
        </w:rPr>
        <w:t>①</w:t>
      </w:r>
      <w:r>
        <w:rPr>
          <w:rFonts w:hint="default" w:ascii="Times New Roman" w:hAnsi="Times New Roman" w:eastAsia="宋体" w:cs="Times New Roman"/>
          <w:color w:val="auto"/>
          <w:szCs w:val="24"/>
          <w:lang w:val="en-GB"/>
        </w:rPr>
        <w:t>生产过程使用天然气作燃料，若天然气管道受撞击或管道受腐蚀，导致天然气泄漏，遇明火和高热可能导致火灾、爆炸事故发生。</w:t>
      </w:r>
      <w:r>
        <w:rPr>
          <w:rFonts w:hint="default" w:ascii="Times New Roman" w:hAnsi="Times New Roman" w:cs="Times New Roman"/>
          <w:color w:val="auto"/>
          <w:szCs w:val="24"/>
          <w:lang w:val="en-US" w:eastAsia="zh-CN"/>
        </w:rPr>
        <w:t>②原料氯化钾、磷酸一铵、填充料在加入系统前混入有机物、硫、磷等杂物，混合后引起爆炸。③生产使用的尿素与次氯酸钠、次氯酸钙反应能生成有爆炸性的三氯化氮。④生产过程使用的氨气通过管道运输，在输送、使用过程中泄漏可能引起火灾、爆炸。⑤原料和成品的包装物均为可燃物质，存放不当也可能发生火灾。</w:t>
      </w:r>
    </w:p>
    <w:p>
      <w:pPr>
        <w:numPr>
          <w:ilvl w:val="0"/>
          <w:numId w:val="29"/>
        </w:numPr>
        <w:ind w:firstLine="560" w:firstLineChars="200"/>
        <w:jc w:val="left"/>
        <w:rPr>
          <w:rFonts w:hint="default" w:ascii="Times New Roman" w:hAnsi="Times New Roman" w:eastAsia="宋体" w:cs="Times New Roman"/>
          <w:color w:val="auto"/>
          <w:szCs w:val="24"/>
          <w:lang w:val="en-GB"/>
        </w:rPr>
      </w:pPr>
      <w:r>
        <w:rPr>
          <w:rFonts w:hint="default" w:ascii="Times New Roman" w:hAnsi="Times New Roman" w:eastAsia="宋体" w:cs="Times New Roman"/>
          <w:color w:val="auto"/>
          <w:szCs w:val="24"/>
          <w:lang w:val="en-GB"/>
        </w:rPr>
        <w:t>因雷击造成设备损坏而引发火灾事故。</w:t>
      </w:r>
    </w:p>
    <w:p>
      <w:pPr>
        <w:ind w:firstLine="560" w:firstLineChars="20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lang w:val="en-GB"/>
        </w:rPr>
        <w:t>3、在设备检修过程中可能存在乙炔、氧气设备和容器发生泄漏，或钢瓶放置过近，或乙炔钢瓶未装阻火器，或钢瓶充装过程中超压、超重、混装，或遇撞击震动引起火灾事故。</w:t>
      </w:r>
      <w:r>
        <w:rPr>
          <w:rFonts w:hint="default" w:ascii="Times New Roman" w:hAnsi="Times New Roman" w:eastAsia="宋体" w:cs="Times New Roman"/>
          <w:color w:val="auto"/>
          <w:szCs w:val="24"/>
        </w:rPr>
        <w:t>氢气钢瓶、乙炔钢瓶、氧气钢瓶等属压力容器，人员在搬运过程中可能发生气瓶碰撞、翻到等事故，高压的气瓶在碰撞过程中可能发生内部气压增高，从而发生气瓶爆炸事故，与热源接触也可能产生爆炸。</w:t>
      </w:r>
    </w:p>
    <w:p>
      <w:pPr>
        <w:ind w:firstLine="560" w:firstLineChars="20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4、该项目涉及的盐酸、硫酸泄漏可能腐蚀金属，生产氢气而引起火灾爆炸事故。</w:t>
      </w:r>
    </w:p>
    <w:p>
      <w:pPr>
        <w:ind w:firstLine="560" w:firstLineChars="200"/>
        <w:jc w:val="left"/>
        <w:rPr>
          <w:rFonts w:hint="default" w:ascii="Times New Roman" w:hAnsi="Times New Roman" w:eastAsia="宋体" w:cs="Times New Roman"/>
          <w:color w:val="auto"/>
          <w:szCs w:val="24"/>
          <w:lang w:val="en-GB"/>
        </w:rPr>
      </w:pPr>
      <w:r>
        <w:rPr>
          <w:rFonts w:hint="default" w:ascii="Times New Roman" w:hAnsi="Times New Roman" w:eastAsia="宋体" w:cs="Times New Roman"/>
          <w:color w:val="auto"/>
          <w:szCs w:val="24"/>
        </w:rPr>
        <w:t>5</w:t>
      </w:r>
      <w:r>
        <w:rPr>
          <w:rFonts w:hint="default" w:ascii="Times New Roman" w:hAnsi="Times New Roman" w:eastAsia="宋体" w:cs="Times New Roman"/>
          <w:color w:val="auto"/>
          <w:szCs w:val="24"/>
          <w:lang w:val="en-GB"/>
        </w:rPr>
        <w:t>、电气火灾</w:t>
      </w:r>
    </w:p>
    <w:p>
      <w:pPr>
        <w:ind w:firstLine="560" w:firstLineChars="200"/>
        <w:jc w:val="left"/>
        <w:rPr>
          <w:rFonts w:hint="default" w:ascii="Times New Roman" w:hAnsi="Times New Roman" w:eastAsia="宋体" w:cs="Times New Roman"/>
          <w:color w:val="auto"/>
          <w:szCs w:val="24"/>
          <w:lang w:val="en-GB"/>
        </w:rPr>
      </w:pPr>
      <w:r>
        <w:rPr>
          <w:rFonts w:hint="default" w:ascii="Times New Roman" w:hAnsi="Times New Roman" w:eastAsia="宋体" w:cs="Times New Roman"/>
          <w:color w:val="auto"/>
          <w:szCs w:val="24"/>
          <w:lang w:val="en-GB"/>
        </w:rPr>
        <w:t>1）配电、用电的电气设备如配电装置、照明装置等，在严重过热和故障情况下，可能引起火灾。</w:t>
      </w:r>
    </w:p>
    <w:p>
      <w:pPr>
        <w:ind w:firstLine="560" w:firstLineChars="200"/>
        <w:jc w:val="left"/>
        <w:rPr>
          <w:rFonts w:hint="default" w:ascii="Times New Roman" w:hAnsi="Times New Roman" w:eastAsia="宋体" w:cs="Times New Roman"/>
          <w:color w:val="auto"/>
          <w:szCs w:val="24"/>
          <w:lang w:val="en-GB"/>
        </w:rPr>
      </w:pPr>
      <w:r>
        <w:rPr>
          <w:rFonts w:hint="default" w:ascii="Times New Roman" w:hAnsi="Times New Roman" w:eastAsia="宋体" w:cs="Times New Roman"/>
          <w:color w:val="auto"/>
          <w:szCs w:val="24"/>
          <w:lang w:val="en-GB"/>
        </w:rPr>
        <w:t>2）大量的电力电缆分布在电缆沟、电缆桥架、夹层，分别连接着各个电气设备。而电缆表面绝缘材料为可燃物质，电缆自身产生的热以及附近发生着火引起电缆的绝缘物和护套着火后具有沿电缆继续延烧的特点。如果不采取可靠的阻燃防火措施，就会扩大火灾范围及火灾损失。现场电气设备、电缆等发生着火，可能引燃周围可燃物料引发更大的事故。</w:t>
      </w:r>
    </w:p>
    <w:p>
      <w:pPr>
        <w:ind w:firstLine="560" w:firstLineChars="200"/>
        <w:jc w:val="left"/>
        <w:rPr>
          <w:rFonts w:hint="default" w:ascii="Times New Roman" w:hAnsi="Times New Roman" w:eastAsia="宋体" w:cs="Times New Roman"/>
          <w:color w:val="auto"/>
          <w:szCs w:val="24"/>
          <w:lang w:val="en-GB"/>
        </w:rPr>
      </w:pPr>
      <w:r>
        <w:rPr>
          <w:rFonts w:hint="default" w:ascii="Times New Roman" w:hAnsi="Times New Roman" w:eastAsia="宋体" w:cs="Times New Roman"/>
          <w:color w:val="auto"/>
          <w:szCs w:val="24"/>
          <w:lang w:val="en-GB"/>
        </w:rPr>
        <w:t>3）配电室因可燃气体、液体窜入或渗入引发火灾。</w:t>
      </w:r>
    </w:p>
    <w:p>
      <w:pPr>
        <w:ind w:firstLine="560" w:firstLineChars="200"/>
        <w:jc w:val="left"/>
        <w:rPr>
          <w:rFonts w:hint="default" w:ascii="Times New Roman" w:hAnsi="Times New Roman" w:eastAsia="宋体" w:cs="Times New Roman"/>
          <w:color w:val="auto"/>
          <w:szCs w:val="24"/>
          <w:lang w:val="en-GB"/>
        </w:rPr>
      </w:pPr>
      <w:r>
        <w:rPr>
          <w:rFonts w:hint="default" w:ascii="Times New Roman" w:hAnsi="Times New Roman" w:eastAsia="宋体" w:cs="Times New Roman"/>
          <w:color w:val="auto"/>
          <w:szCs w:val="24"/>
          <w:lang w:val="en-GB"/>
        </w:rPr>
        <w:t>4）电缆质量不好，电缆隔热、散热不良，过载等引起电缆发热；电缆绝缘老化，接触不良；电缆沟被车辆压坏，造成瓷套管破裂损坏，潮湿（或积水）引起短路；电缆接头不好，接头材料选择不当，接头氧化等，都容易引发电气火灾。</w:t>
      </w:r>
    </w:p>
    <w:p>
      <w:pPr>
        <w:ind w:firstLine="560" w:firstLineChars="200"/>
        <w:jc w:val="left"/>
        <w:rPr>
          <w:rFonts w:hint="default" w:ascii="Times New Roman" w:hAnsi="Times New Roman" w:eastAsia="宋体" w:cs="Times New Roman"/>
          <w:color w:val="auto"/>
          <w:szCs w:val="24"/>
          <w:lang w:val="en-GB"/>
        </w:rPr>
      </w:pPr>
      <w:r>
        <w:rPr>
          <w:rFonts w:hint="default" w:ascii="Times New Roman" w:hAnsi="Times New Roman" w:eastAsia="宋体" w:cs="Times New Roman"/>
          <w:color w:val="auto"/>
          <w:szCs w:val="24"/>
        </w:rPr>
        <w:t>6</w:t>
      </w:r>
      <w:r>
        <w:rPr>
          <w:rFonts w:hint="default" w:ascii="Times New Roman" w:hAnsi="Times New Roman" w:eastAsia="宋体" w:cs="Times New Roman"/>
          <w:color w:val="auto"/>
          <w:szCs w:val="24"/>
          <w:lang w:val="en-GB"/>
        </w:rPr>
        <w:t>、点火源</w:t>
      </w:r>
    </w:p>
    <w:p>
      <w:pPr>
        <w:ind w:firstLine="560" w:firstLineChars="200"/>
        <w:jc w:val="left"/>
        <w:rPr>
          <w:rFonts w:hint="default" w:ascii="Times New Roman" w:hAnsi="Times New Roman" w:eastAsia="宋体" w:cs="Times New Roman"/>
          <w:color w:val="auto"/>
          <w:szCs w:val="24"/>
          <w:lang w:val="en-GB"/>
        </w:rPr>
      </w:pPr>
      <w:r>
        <w:rPr>
          <w:rFonts w:hint="default" w:ascii="Times New Roman" w:hAnsi="Times New Roman" w:eastAsia="宋体" w:cs="Times New Roman"/>
          <w:color w:val="auto"/>
          <w:szCs w:val="24"/>
          <w:lang w:val="en-GB"/>
        </w:rPr>
        <w:t>1）雷电能。如果防雷设施不齐全或防雷接地措施不符合要求，在雷电时可能引发火灾事故。</w:t>
      </w:r>
    </w:p>
    <w:p>
      <w:pPr>
        <w:ind w:firstLine="560" w:firstLineChars="200"/>
        <w:jc w:val="left"/>
        <w:rPr>
          <w:rFonts w:hint="default" w:ascii="Times New Roman" w:hAnsi="Times New Roman" w:eastAsia="宋体" w:cs="Times New Roman"/>
          <w:color w:val="auto"/>
          <w:szCs w:val="24"/>
          <w:lang w:val="en-GB"/>
        </w:rPr>
      </w:pPr>
      <w:r>
        <w:rPr>
          <w:rFonts w:hint="default" w:ascii="Times New Roman" w:hAnsi="Times New Roman" w:eastAsia="宋体" w:cs="Times New Roman"/>
          <w:color w:val="auto"/>
          <w:szCs w:val="24"/>
          <w:lang w:val="en-GB"/>
        </w:rPr>
        <w:t>2）使用的电气设备、设施引起的火灾。包括配电房、电缆、电线、用电设备等，这些可能因负荷过载、绝缘老化短路、违章操作，雷击、异物侵入、电动机电刷与转子之间的缝隙进异物导致摩擦等引起火灾。</w:t>
      </w:r>
    </w:p>
    <w:p>
      <w:pPr>
        <w:ind w:firstLine="560" w:firstLineChars="200"/>
        <w:jc w:val="left"/>
        <w:rPr>
          <w:rFonts w:hint="default" w:ascii="Times New Roman" w:hAnsi="Times New Roman" w:eastAsia="宋体" w:cs="Times New Roman"/>
          <w:color w:val="auto"/>
          <w:szCs w:val="24"/>
          <w:lang w:val="en-GB"/>
        </w:rPr>
      </w:pPr>
      <w:r>
        <w:rPr>
          <w:rFonts w:hint="default" w:ascii="Times New Roman" w:hAnsi="Times New Roman" w:eastAsia="宋体" w:cs="Times New Roman"/>
          <w:color w:val="auto"/>
          <w:szCs w:val="24"/>
          <w:lang w:val="en-GB"/>
        </w:rPr>
        <w:t>3）杜绝火灾危险生产、储存场所的点火来源是防止事故发生的一项非常重要的安全措施。</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B.2.3.4触电</w:t>
      </w:r>
    </w:p>
    <w:p>
      <w:pPr>
        <w:ind w:firstLine="570"/>
        <w:rPr>
          <w:rFonts w:hint="default" w:ascii="Times New Roman" w:hAnsi="Times New Roman" w:eastAsia="宋体" w:cs="Times New Roman"/>
          <w:color w:val="auto"/>
        </w:rPr>
      </w:pPr>
      <w:r>
        <w:rPr>
          <w:rFonts w:hint="default" w:ascii="Times New Roman" w:hAnsi="Times New Roman" w:eastAsia="宋体" w:cs="Times New Roman"/>
          <w:color w:val="auto"/>
        </w:rPr>
        <w:t>人体接触高、低压电源会造成触电伤害，雷击也可能产生类似后果。如果开关等电气材料本身存有缺陷，或设备保护接地失效，操作失误，思想麻痹，个人防护缺陷，操作高压开关不使用绝缘工具等，或非专业人员违章操作等，易发生人员触电事故。</w:t>
      </w:r>
    </w:p>
    <w:p>
      <w:pPr>
        <w:ind w:firstLine="560" w:firstLineChars="200"/>
        <w:textAlignment w:val="bottom"/>
        <w:rPr>
          <w:rFonts w:hint="default" w:ascii="Times New Roman" w:hAnsi="Times New Roman" w:eastAsia="宋体" w:cs="Times New Roman"/>
          <w:color w:val="auto"/>
        </w:rPr>
      </w:pPr>
      <w:r>
        <w:rPr>
          <w:rFonts w:hint="default" w:ascii="Times New Roman" w:hAnsi="Times New Roman" w:eastAsia="宋体" w:cs="Times New Roman"/>
          <w:color w:val="auto"/>
        </w:rPr>
        <w:t>非电气人员进行电气作业，电气设备标识不明等，可能发生触电事故或带负荷拉闸引起电弧烧伤，并可能引起二次事故。</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从安全角度考虑，电气事故主要包括由电流、电磁场和某些电路故障等直接或间接造成的人员伤亡、设备损坏以及引起火灾事故等。</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触电事故的种类有：1、人直接与带电体接触；2、与绝缘损坏的电气设备接触；3、与带电体的距离小于安全距离；4、跨步电压触电。</w:t>
      </w:r>
    </w:p>
    <w:p>
      <w:pPr>
        <w:ind w:firstLine="536" w:firstLineChars="200"/>
        <w:rPr>
          <w:rFonts w:hint="default" w:ascii="Times New Roman" w:hAnsi="Times New Roman" w:eastAsia="宋体" w:cs="Times New Roman"/>
          <w:color w:val="auto"/>
          <w:spacing w:val="-6"/>
        </w:rPr>
      </w:pPr>
      <w:r>
        <w:rPr>
          <w:rFonts w:hint="default" w:ascii="Times New Roman" w:hAnsi="Times New Roman" w:eastAsia="宋体" w:cs="Times New Roman"/>
          <w:color w:val="auto"/>
          <w:spacing w:val="-6"/>
        </w:rPr>
        <w:t>该项目使用的电气设备，有电机、变配电设备、动力和照明线路、照明电器、通排风设备、消防设备等，在工作过程中，由于作业人员不能按照电气工作安全操作规程进行操作或缺乏安全用电常识，以及设备本身故障等原因，均可能造成危险事故的发生。该项目中存在的主要危险因素如下：</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1、设备故障：可造成人员伤害及财产损失。</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2、输电线路故障：如线路断路、短路等可造成触电事故或设备损坏。</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3、带电体裸露：设备或线路绝缘性能不良造成人员伤害。</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4、电气设备或输电线路短路或故障造成的监控失灵或电气火灾。</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5、工作人员对电气设备的误操作引发的事故。</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B.2.3.5高处坠落</w:t>
      </w:r>
    </w:p>
    <w:p>
      <w:pPr>
        <w:ind w:firstLine="560"/>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该项目中存在一些位置较高的操作平台，操作人经常通过钢斜梯、平台到达操作、维护、调节、检修、检查的作业位作业平面，这样虽然方便了作业，但由于处于高处，存在一定的势能，也存在着高处坠落</w:t>
      </w:r>
      <w:r>
        <w:rPr>
          <w:rFonts w:hint="default" w:ascii="Times New Roman" w:hAnsi="Times New Roman" w:cs="Times New Roman"/>
          <w:color w:val="auto"/>
          <w:spacing w:val="-2"/>
          <w:lang w:val="en-US" w:eastAsia="zh-CN"/>
        </w:rPr>
        <w:t>的危险</w:t>
      </w:r>
      <w:r>
        <w:rPr>
          <w:rFonts w:hint="default" w:ascii="Times New Roman" w:hAnsi="Times New Roman" w:eastAsia="宋体" w:cs="Times New Roman"/>
          <w:color w:val="auto"/>
          <w:spacing w:val="-2"/>
        </w:rPr>
        <w:t>。这些处于地坪2m以上高处作业的平台、若损坏、松动、打滑或不符合规范要求等，当作业人员在巡检或操作不慎而失去平衡极有可能造成坠落。此外，有时为高处检修的需要，搭建临时平台或脚手架，如果搭建不牢或不符合有关安全要求，或作业人员未遵守相关安全规定等，都容易发生高处坠落事故。特别需要指出的是该项目中设置的立式储罐较高，其用于检查、检修的钢直梯若未设置防护栏，其高处坠落的危险性非常大。</w:t>
      </w:r>
    </w:p>
    <w:p>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高处坠落常常是由于人体在高处失去重心坠落后头部先着地受到冲造成脑外伤而致命，或四肢、躯干、腰椎等部位着地受到冲击而造成重伤甚至终身残疾。造成高处坠落事故的原因主要有：</w:t>
      </w:r>
    </w:p>
    <w:p>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1)违章作业、违章指挥，不按高处作业的规程进行作业，如不办理《高处作业安全许可证》，对高处作业危险未采取应有的措施。</w:t>
      </w:r>
    </w:p>
    <w:p>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2)高处作业人员不遵守作业规程，心存侥幸，如不系安全带、不戴安全帽或其他防护措施等。</w:t>
      </w:r>
    </w:p>
    <w:p>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3)作业现场存在事故隐患，如建、构筑物用于设备吊装的预留孔未设防护栏或未加盖板，钢平台、楼梯扶手严重腐蚀或开焊等，或者因设备检修等需要而将栏杆等防护设施暂时拆除，作业人员未引起注意等。</w:t>
      </w:r>
    </w:p>
    <w:p>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4)作业人员长时间登高作业过于疲劳而发生坠落等。</w:t>
      </w:r>
    </w:p>
    <w:p>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5)登高未按规定搭设脚手架或平台，只靠作业人员随建构筑物或其他构件攀登，造成坠落，或脚手架所用材料不符合要求、搭设不规范不安全，致使其倒塌造成作业人员从脚手架上坠落。</w:t>
      </w:r>
    </w:p>
    <w:p>
      <w:pPr>
        <w:ind w:firstLine="560"/>
        <w:rPr>
          <w:rFonts w:hint="default" w:ascii="Times New Roman" w:hAnsi="Times New Roman" w:eastAsia="宋体" w:cs="Times New Roman"/>
          <w:color w:val="auto"/>
        </w:rPr>
      </w:pPr>
      <w:r>
        <w:rPr>
          <w:rFonts w:hint="default" w:ascii="Times New Roman" w:hAnsi="Times New Roman" w:eastAsia="宋体" w:cs="Times New Roman"/>
          <w:color w:val="auto"/>
        </w:rPr>
        <w:t>高处坠落事故多发于设备检修作业过程中，因此，在进行设备检修时应特别注意。</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B.2.3.6机械伤害</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该项目涉及各类机泵</w:t>
      </w:r>
      <w:r>
        <w:rPr>
          <w:rFonts w:hint="default" w:ascii="Times New Roman" w:hAnsi="Times New Roman" w:eastAsia="宋体" w:cs="Times New Roman"/>
          <w:color w:val="auto"/>
          <w:lang w:eastAsia="zh-CN"/>
        </w:rPr>
        <w:t>、</w:t>
      </w:r>
      <w:r>
        <w:rPr>
          <w:rFonts w:hint="default" w:ascii="Times New Roman" w:hAnsi="Times New Roman" w:cs="Times New Roman"/>
          <w:color w:val="auto"/>
          <w:lang w:val="en-US" w:eastAsia="zh-CN"/>
        </w:rPr>
        <w:t>滚筒筛</w:t>
      </w:r>
      <w:r>
        <w:rPr>
          <w:rFonts w:hint="default" w:ascii="Times New Roman" w:hAnsi="Times New Roman" w:eastAsia="宋体" w:cs="Times New Roman"/>
          <w:color w:val="auto"/>
          <w:lang w:val="zh-CN"/>
        </w:rPr>
        <w:t>、</w:t>
      </w:r>
      <w:r>
        <w:rPr>
          <w:rFonts w:hint="default" w:ascii="Times New Roman" w:hAnsi="Times New Roman" w:eastAsia="宋体" w:cs="Times New Roman"/>
          <w:color w:val="auto"/>
          <w:lang w:val="en-US" w:eastAsia="zh-CN"/>
        </w:rPr>
        <w:t>破碎机</w:t>
      </w:r>
      <w:r>
        <w:rPr>
          <w:rFonts w:hint="default" w:ascii="Times New Roman" w:hAnsi="Times New Roman" w:cs="Times New Roman"/>
          <w:color w:val="auto"/>
          <w:lang w:val="en-US" w:eastAsia="zh-CN"/>
        </w:rPr>
        <w:t>、料斗、计量皮带</w:t>
      </w:r>
      <w:r>
        <w:rPr>
          <w:rFonts w:hint="default" w:ascii="Times New Roman" w:hAnsi="Times New Roman" w:eastAsia="宋体" w:cs="Times New Roman"/>
          <w:color w:val="auto"/>
        </w:rPr>
        <w:t>以及其它机械设备，均存在着挤压、碰撞、卷入等伤害的危险。机械设备部件或工具直接与人体接触，可能发生挤压、夹击、碰撞、卷绞、割刺等危险。在检修各类泵等设备的传动和转动部位，如果防护不当或在检修时误启动等，可能造成机械伤害事故，搬运储存物料的铁桶，操作不当也会砸伤或碰伤操作人员。该项目中使用的传动设备，机泵转动设备，传动皮带等，如果防护不当或在检修时误启动可能造成机械伤害事故。</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主要原因有以下几类：</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1）不停车即对设备进行调整、检修与清理，容易造成肢体卷入设备造成人身伤害事故；</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2）操作中精力不集中发生误操作，造成机械、工艺事故，而在处理机械、手忙脚乱，忽视安全规章，再次造成人身伤害事故；</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3）未按规定正确穿戴劳保用品，衣袖等被带入设备造成人身事故；</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4）缺少防护设施，特别是转速慢的设备，先天缺少或过程中被拆除后未恢复，因无保护而造成人身事故；</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5）机械设备的保险、信号装置有缺陷；机械设备裸露的传动、转动部位绞、碾、碰、戳、卷缠，伤及人体；</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6）各种障碍物造成通道不畅，巡检、操作、清洁等过程中身体碰到转动设备造成人身事故；</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7）未正确使用或穿戴劳动防护用品；操作错误和违章行为； </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8）设备突出的机械部分、工具设备边缘毛刺或锋利处碰伤。</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9）操作者因好奇用手触摸运转设备，造成人身事故。</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B.2.3.7车辆伤害</w:t>
      </w:r>
    </w:p>
    <w:p>
      <w:pPr>
        <w:ind w:firstLine="552" w:firstLineChars="200"/>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指企业机动车辆在行驶中引起的人体坠落和物体倒塌、飞落、挤压伤亡事故。该项目原料和产品等由汽车和叉车运输，因此，正常生产过程时厂内机动车辆来往频繁，有可能因车辆违章行驶造成车辆伤害；厂内机动车辆在厂内作业行驶，如违章搭人、装运物资不当影响驾驶人员视线，另外道路参数，视线不良；缺少行车安全警示标志；车辆或驾驶人员的管理等方面的缺陷；驾驶人员违章作业或无证上岗等可能造成人员车辆伤害事故。</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spacing w:val="-2"/>
          <w:kern w:val="2"/>
          <w:sz w:val="28"/>
          <w:szCs w:val="28"/>
          <w:lang w:val="en-US" w:eastAsia="zh-CN" w:bidi="ar-SA"/>
        </w:rPr>
      </w:pPr>
      <w:r>
        <w:rPr>
          <w:rFonts w:hint="default" w:ascii="Times New Roman" w:hAnsi="Times New Roman" w:eastAsia="宋体" w:cs="Times New Roman"/>
          <w:b/>
          <w:bCs/>
          <w:color w:val="auto"/>
          <w:spacing w:val="-2"/>
          <w:kern w:val="2"/>
          <w:sz w:val="28"/>
          <w:szCs w:val="28"/>
          <w:lang w:val="en-US" w:eastAsia="zh-CN" w:bidi="ar-SA"/>
        </w:rPr>
        <w:t>B.2.3.8物体打击</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物体在外力或重力作用下，打击人体会造成人身伤害事故。高处的物体固定不牢，排空管线等固定不牢，因腐蚀或风造成断裂，检修时使用工具飞出击打到人体上；高处作业或在高处平台上作业工具，材料使用、放置不当，造成高空落物等；桶装物料搬运、装卸过程发生跌落碰及人体；发生爆炸产生的碎片飞出等，造成物体打击事故。造成物体打击原因为物体从上往下落或飞在人体身上造成的事故。</w:t>
      </w:r>
    </w:p>
    <w:p>
      <w:pPr>
        <w:keepNext/>
        <w:keepLines/>
        <w:widowControl w:val="0"/>
        <w:spacing w:line="600" w:lineRule="exact"/>
        <w:ind w:left="560" w:leftChars="200"/>
        <w:jc w:val="both"/>
        <w:outlineLvl w:val="3"/>
        <w:rPr>
          <w:rFonts w:hint="default" w:ascii="Times New Roman" w:hAnsi="Times New Roman" w:cs="Times New Roman"/>
          <w:color w:val="auto"/>
          <w:lang w:val="en-US"/>
        </w:rPr>
      </w:pPr>
      <w:r>
        <w:rPr>
          <w:rFonts w:hint="default" w:ascii="Times New Roman" w:hAnsi="Times New Roman" w:eastAsia="宋体" w:cs="Times New Roman"/>
          <w:b/>
          <w:bCs/>
          <w:color w:val="auto"/>
          <w:kern w:val="2"/>
          <w:sz w:val="28"/>
          <w:szCs w:val="28"/>
          <w:lang w:val="en-US" w:eastAsia="zh-CN" w:bidi="ar-SA"/>
        </w:rPr>
        <w:t>B.2.3.9</w:t>
      </w:r>
      <w:r>
        <w:rPr>
          <w:rFonts w:hint="default" w:ascii="Times New Roman" w:hAnsi="Times New Roman" w:cs="Times New Roman"/>
          <w:b/>
          <w:bCs/>
          <w:color w:val="auto"/>
          <w:kern w:val="2"/>
          <w:sz w:val="28"/>
          <w:szCs w:val="28"/>
          <w:lang w:val="en-US" w:eastAsia="zh-CN" w:bidi="ar-SA"/>
        </w:rPr>
        <w:t>起重伤害</w:t>
      </w:r>
    </w:p>
    <w:p>
      <w:pPr>
        <w:ind w:firstLine="560" w:firstLineChars="200"/>
        <w:rPr>
          <w:rFonts w:hint="default" w:ascii="Times New Roman" w:hAnsi="Times New Roman" w:cs="Times New Roman"/>
          <w:color w:val="auto"/>
          <w:lang w:val="en-US" w:eastAsia="zh-CN"/>
        </w:rPr>
      </w:pPr>
      <w:r>
        <w:rPr>
          <w:rFonts w:hint="default" w:ascii="Times New Roman" w:hAnsi="Times New Roman" w:cs="Times New Roman"/>
          <w:color w:val="auto"/>
        </w:rPr>
        <w:t>起重伤害是指起重设备安装、检修、试验中发生的挤压、坠落，运行时吊具、吊重的物体打击和触电事故。该项目涉及行车、叉车等，如因起重设备安全附件失灵或人为拆除，违章作业，钢丝绳断裂，指挥信号失误，吊物下站人等或检修时未使用相应的防护用品，可能造成起重伤害事故。</w:t>
      </w:r>
    </w:p>
    <w:p>
      <w:pPr>
        <w:keepNext/>
        <w:keepLines/>
        <w:widowControl w:val="0"/>
        <w:spacing w:line="600" w:lineRule="exact"/>
        <w:ind w:left="560" w:leftChars="200"/>
        <w:jc w:val="both"/>
        <w:outlineLvl w:val="3"/>
        <w:rPr>
          <w:rFonts w:hint="default" w:ascii="Times New Roman" w:hAnsi="Times New Roman"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B.2.3.10</w:t>
      </w:r>
      <w:r>
        <w:rPr>
          <w:rFonts w:hint="default" w:ascii="Times New Roman" w:hAnsi="Times New Roman" w:cs="Times New Roman"/>
          <w:b/>
          <w:bCs/>
          <w:color w:val="auto"/>
          <w:kern w:val="2"/>
          <w:sz w:val="28"/>
          <w:szCs w:val="28"/>
          <w:lang w:val="en-US" w:eastAsia="zh-CN" w:bidi="ar-SA"/>
        </w:rPr>
        <w:t>坍塌</w:t>
      </w:r>
    </w:p>
    <w:p>
      <w:pPr>
        <w:ind w:firstLine="56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szCs w:val="24"/>
        </w:rPr>
        <w:t>坍塌是指物体在外力或重力作用下，超过自身的强度极限或因结构稳定性破坏而造成伤害、伤亡的事故。该项目涉及大型</w:t>
      </w:r>
      <w:r>
        <w:rPr>
          <w:rFonts w:hint="default" w:ascii="Times New Roman" w:hAnsi="Times New Roman" w:cs="Times New Roman"/>
          <w:color w:val="auto"/>
          <w:szCs w:val="24"/>
          <w:lang w:eastAsia="zh-CN"/>
        </w:rPr>
        <w:t>的盐酸、硫酸储罐等</w:t>
      </w:r>
      <w:r>
        <w:rPr>
          <w:rFonts w:hint="default" w:ascii="Times New Roman" w:hAnsi="Times New Roman" w:eastAsia="宋体" w:cs="Times New Roman"/>
          <w:color w:val="auto"/>
          <w:szCs w:val="24"/>
        </w:rPr>
        <w:t>设备，可能因施工不牢固，承重部位受腐蚀或外力撞击、极端天气导致设备坍塌，造成伤害、伤亡事故。</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cs="Times New Roman"/>
          <w:b/>
          <w:bCs/>
          <w:color w:val="auto"/>
          <w:kern w:val="2"/>
          <w:sz w:val="28"/>
          <w:szCs w:val="28"/>
          <w:lang w:val="en-US" w:eastAsia="zh-CN" w:bidi="ar-SA"/>
        </w:rPr>
        <w:t>B.2.3.11</w:t>
      </w:r>
      <w:r>
        <w:rPr>
          <w:rFonts w:hint="default" w:ascii="Times New Roman" w:hAnsi="Times New Roman" w:eastAsia="宋体" w:cs="Times New Roman"/>
          <w:b/>
          <w:bCs/>
          <w:color w:val="auto"/>
          <w:kern w:val="2"/>
          <w:sz w:val="28"/>
          <w:szCs w:val="28"/>
          <w:lang w:val="en-US" w:eastAsia="zh-CN" w:bidi="ar-SA"/>
        </w:rPr>
        <w:t>其他</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该项目可能发生搬运重物时的碰伤、扭伤，非机动车碰撞造成的滑倒等伤害。</w:t>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B.2.4有害因素分析</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该项目生产系统和辅助系统中存在的有害因素为噪声与振动、高温及热辐射。</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B.2.4.1噪声与振动</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噪声是一种人们所不希望要的声音。它经常影响着人们的情绪和健康，干扰人们的工作和正常生活。长期工作在高噪声环境下而又没有采取任何有效的防护措施，必将导致永久性的无可挽回的听力损失，甚至导致严重的职业性耳聋。职业性耳聋列为重要的职业病之一。强噪声除了可导致耳聋外，还可对人体的神经系统、心血管系统、消化系统，以及生殖机能等，产生不良的影响。由于噪声易造成心理恐惧以及对报警信号的遮蔽，它常又是造成工伤死亡事故的重要配合因素。患有职业性耳聋的工人在工作中很难很好地与别人交换意见，以致影响工作效率。</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该项目产生噪声源的主要设施为</w:t>
      </w:r>
      <w:r>
        <w:rPr>
          <w:rFonts w:hint="default" w:ascii="Times New Roman" w:hAnsi="Times New Roman" w:eastAsia="宋体" w:cs="Times New Roman"/>
          <w:color w:val="auto"/>
          <w:lang w:val="en-US" w:eastAsia="zh-CN"/>
        </w:rPr>
        <w:t>曼海姆反应炉、各类泵</w:t>
      </w:r>
      <w:r>
        <w:rPr>
          <w:rFonts w:hint="default" w:ascii="Times New Roman" w:hAnsi="Times New Roman" w:eastAsia="宋体" w:cs="Times New Roman"/>
          <w:color w:val="auto"/>
        </w:rPr>
        <w:t>、各类风机以及生产过程中一些机械传动设备，其在运行过程中可能产生机械性或气动性噪声。</w:t>
      </w:r>
    </w:p>
    <w:p>
      <w:pPr>
        <w:keepNext/>
        <w:keepLines/>
        <w:widowControl w:val="0"/>
        <w:spacing w:line="600" w:lineRule="exact"/>
        <w:ind w:left="560" w:leftChars="200"/>
        <w:jc w:val="both"/>
        <w:outlineLvl w:val="3"/>
        <w:rPr>
          <w:rFonts w:hint="default" w:ascii="Times New Roman" w:hAnsi="Times New Roman"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B.2.4.2</w:t>
      </w:r>
      <w:r>
        <w:rPr>
          <w:rFonts w:hint="default" w:ascii="Times New Roman" w:hAnsi="Times New Roman" w:cs="Times New Roman"/>
          <w:b/>
          <w:bCs/>
          <w:color w:val="auto"/>
          <w:kern w:val="2"/>
          <w:sz w:val="28"/>
          <w:szCs w:val="28"/>
          <w:lang w:val="en-US" w:eastAsia="zh-CN" w:bidi="ar-SA"/>
        </w:rPr>
        <w:t>粉尘</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粉尘是指能够较长时间悬浮在空气中的固体细微颗粒，其粒径大都在 0.01～20微米之间，绝大多数为0.5~5微米。细小的粉尘被吸入人体后会激活血液中的血小板，从而增加血液的凝固性。生产性粉尘是指生产过程中所产生的粉尘，主要产生于包装过程和清扫、检修作业等作业场所。</w:t>
      </w:r>
    </w:p>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该项目中</w:t>
      </w:r>
      <w:r>
        <w:rPr>
          <w:rFonts w:hint="default" w:ascii="Times New Roman" w:hAnsi="Times New Roman" w:cs="Times New Roman"/>
          <w:color w:val="auto"/>
          <w:kern w:val="28"/>
        </w:rPr>
        <w:t>粉尘主要来源于氯化钾、</w:t>
      </w:r>
      <w:r>
        <w:rPr>
          <w:rFonts w:hint="default" w:ascii="Times New Roman" w:hAnsi="Times New Roman" w:cs="Times New Roman"/>
          <w:color w:val="auto"/>
          <w:kern w:val="28"/>
          <w:lang w:val="en-US" w:eastAsia="zh-CN"/>
        </w:rPr>
        <w:t>磷酸一铵</w:t>
      </w:r>
      <w:r>
        <w:rPr>
          <w:rFonts w:hint="default" w:ascii="Times New Roman" w:hAnsi="Times New Roman" w:cs="Times New Roman"/>
          <w:color w:val="auto"/>
          <w:kern w:val="28"/>
        </w:rPr>
        <w:t>、氯化铵等的转运/破碎以及复合肥的转运、破碎、包装过程中产生的扬尘，以及在除尘器、干燥器等设备的过程中产生的灰尘</w:t>
      </w:r>
      <w:r>
        <w:rPr>
          <w:rFonts w:hint="default" w:ascii="Times New Roman" w:hAnsi="Times New Roman" w:eastAsia="宋体" w:cs="Times New Roman"/>
          <w:color w:val="auto"/>
          <w:szCs w:val="24"/>
        </w:rPr>
        <w:t>。</w:t>
      </w:r>
      <w:r>
        <w:rPr>
          <w:rFonts w:hint="default" w:ascii="Times New Roman" w:hAnsi="Times New Roman" w:cs="Times New Roman"/>
          <w:color w:val="auto"/>
          <w:kern w:val="28"/>
        </w:rPr>
        <w:t>产生粉尘的主要设备/地点分别为氯化钾、磷酸一铵、氯化铵原料仓库、复合肥工段的斗提机、振动筛、破碎机、粉料输送带、成品输送带等，以及原料仓库、成品仓库等</w:t>
      </w:r>
      <w:r>
        <w:rPr>
          <w:rFonts w:hint="default" w:ascii="Times New Roman" w:hAnsi="Times New Roman" w:eastAsia="宋体" w:cs="Times New Roman"/>
          <w:color w:val="auto"/>
          <w:szCs w:val="24"/>
        </w:rPr>
        <w:t>，人工运输时很容易造成有害粉尘的弥散，长期吸入可致尘肺病，对健康造成伤害。</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cs="Times New Roman"/>
          <w:b/>
          <w:bCs/>
          <w:color w:val="auto"/>
          <w:kern w:val="2"/>
          <w:sz w:val="28"/>
          <w:szCs w:val="28"/>
          <w:lang w:val="en-US" w:eastAsia="zh-CN" w:bidi="ar-SA"/>
        </w:rPr>
        <w:t>B.2.4.3</w:t>
      </w:r>
      <w:r>
        <w:rPr>
          <w:rFonts w:hint="default" w:ascii="Times New Roman" w:hAnsi="Times New Roman" w:eastAsia="宋体" w:cs="Times New Roman"/>
          <w:b/>
          <w:bCs/>
          <w:color w:val="auto"/>
          <w:kern w:val="2"/>
          <w:sz w:val="28"/>
          <w:szCs w:val="28"/>
          <w:lang w:val="en-US" w:eastAsia="zh-CN" w:bidi="ar-SA"/>
        </w:rPr>
        <w:t>高温与热辐射</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该项目所在地极端最高气温4</w:t>
      </w:r>
      <w:r>
        <w:rPr>
          <w:rFonts w:hint="default" w:ascii="Times New Roman" w:hAnsi="Times New Roman" w:eastAsia="宋体" w:cs="Times New Roman"/>
          <w:color w:val="auto"/>
          <w:lang w:val="en-US" w:eastAsia="zh-CN"/>
        </w:rPr>
        <w:t>2.8</w:t>
      </w:r>
      <w:r>
        <w:rPr>
          <w:rFonts w:hint="default" w:ascii="Times New Roman" w:hAnsi="Times New Roman" w:eastAsia="宋体" w:cs="Times New Roman"/>
          <w:color w:val="auto"/>
        </w:rPr>
        <w:t>℃，相对湿度可达到近100%，如通风不良就形成高温、高湿和低气流的不良气象条件，即湿热环境。人在此环境下劳动，即使气温不很高，但由于蒸发散热更为困难，故虽大量出汗也不能发挥有效的散热作用，易导致体内热蓄积或水、电解质平衡失调，从而发生中暑。</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夏季露天作业，如：露天物料搬运、露天设备检修等，其高温和热辐射主要来源是太阳辐射。夏季露天作业时还受地表和周围物体二次辐射源的附加热作用。露天作业中的热辐射强度作用的持续时间较长，且头颅常受到阳光直接照射，加之中午前后气温升高，此时如劳动强度过大，则人体极易因过度蓄热而中暑。此外，夏天作业时，因建筑物遮挡了气流，常因无风而感到闷热不适，如不采取防暑措施，也易发生中暑。</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高温可使作业工人感到热、头晕、心慌、烦、渴、无力、疲倦等不适感，可出现一系列生理功能的改变，主要表现在：</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1、体温调节障碍，由于体内蓄热，体温升高。</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2、大量水盐丧失，可引起水盐代谢平衡紊乱，导致体内酸碱平衡和渗透压失调。</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3、心律脉搏加快，皮肤血管扩张及血管紧张度增加，加重心脏负担，血压下降。但重体力劳动时，血压也可能增加。</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4、消化道贫血，唾液、胃液分泌减少，胃液酸度减低，淀粉活性下降，胃肠蠕动减慢，造成消化不良和其他胃肠道疾病增加。</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5、高温条件下若水盐供应不足可使尿浓缩，增加肾脏负担，有时可见到肾功能不全，尿中出现蛋白、红细胞等。</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6、神经系统可出现中枢神经系统抑制，注意力和肌肉的工作能力、动作的准确性和协调性及反应速度的降低等。</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高温危害程度与气温、湿度、气流、辐射热和人体热耐受性有关。该项目蒸汽管道等高温设备、设施，向外辐射一定的热量，夏季炎热及运行过程产生的热辐射可造成作业环境高温，导致作业人员易疲劳，甚至脱水中暑、休克等。</w:t>
      </w:r>
    </w:p>
    <w:p>
      <w:pPr>
        <w:keepNext/>
        <w:keepLines/>
        <w:widowControl w:val="0"/>
        <w:spacing w:line="600" w:lineRule="exact"/>
        <w:ind w:left="560" w:leftChars="20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B.2.4.</w:t>
      </w:r>
      <w:r>
        <w:rPr>
          <w:rFonts w:hint="default" w:ascii="Times New Roman" w:hAnsi="Times New Roman" w:cs="Times New Roman"/>
          <w:b/>
          <w:bCs/>
          <w:color w:val="auto"/>
          <w:kern w:val="2"/>
          <w:sz w:val="28"/>
          <w:szCs w:val="28"/>
          <w:lang w:val="en-US" w:eastAsia="zh-CN" w:bidi="ar-SA"/>
        </w:rPr>
        <w:t>4</w:t>
      </w:r>
      <w:r>
        <w:rPr>
          <w:rFonts w:hint="default" w:ascii="Times New Roman" w:hAnsi="Times New Roman" w:eastAsia="宋体" w:cs="Times New Roman"/>
          <w:b/>
          <w:bCs/>
          <w:color w:val="auto"/>
          <w:kern w:val="2"/>
          <w:sz w:val="28"/>
          <w:szCs w:val="28"/>
          <w:lang w:val="en-US" w:eastAsia="zh-CN" w:bidi="ar-SA"/>
        </w:rPr>
        <w:t>低温</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该项目所在地极端最低气温达-</w:t>
      </w:r>
      <w:r>
        <w:rPr>
          <w:rFonts w:hint="default" w:ascii="Times New Roman" w:hAnsi="Times New Roman" w:eastAsia="宋体" w:cs="Times New Roman"/>
          <w:color w:val="auto"/>
          <w:lang w:val="en-US" w:eastAsia="zh-CN"/>
        </w:rPr>
        <w:t>5.6</w:t>
      </w:r>
      <w:r>
        <w:rPr>
          <w:rFonts w:hint="default" w:ascii="Times New Roman" w:hAnsi="Times New Roman" w:eastAsia="宋体" w:cs="Times New Roman"/>
          <w:color w:val="auto"/>
        </w:rPr>
        <w:t>℃以下，冬季露天作业，如：露天物料搬运、露天设备检修等，作业环境及场所不良导致作业人员出现冻伤等。</w:t>
      </w:r>
    </w:p>
    <w:p>
      <w:pPr>
        <w:keepNext/>
        <w:keepLines/>
        <w:widowControl w:val="0"/>
        <w:spacing w:line="600" w:lineRule="exact"/>
        <w:ind w:left="560" w:leftChars="200"/>
        <w:jc w:val="center"/>
        <w:outlineLvl w:val="2"/>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B.2.5自然环境的影响因素</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1、雷击</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该项目地处南方多雷地带，易受雷电袭击，雷击可能造成设备损坏和人员伤亡，也能引发可燃物质发生火灾、爆炸事故，同时雷击可使电气出现故障或损坏电气设备，造成全厂或局部停电，引发事故。</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2、地质灾害</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地质灾害主要包括不良地质结构，造成建筑、基础下沉等，影响安全运行。如发生地震灾害，则可能损坏设备，造成人员伤亡，甚至引发火灾、爆炸事故，造成严重事故。</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3、冰冻</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冰冻主要对输送管道、水管等因冻结而破裂造成物料的泄漏或输送不畅，仪表空气中水汽凝结造成仪表管线失灵，气动调节阀不动作等；楼梯打滑造成人员摔跌等。</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4、暴雨、洪水</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该项目厂址位于丘陵地带，厂址标高高于当地最高洪水位，厂址不受洪水威胁。</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厂址所在地夏季易发生暴雨，厂址标高高于四周的地面标高，厂内设置无完善的排水设施，发生暴雨不会造成内涝。</w:t>
      </w: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48" w:name="_Toc16982"/>
      <w:bookmarkStart w:id="149" w:name="_Toc8919"/>
      <w:r>
        <w:rPr>
          <w:rFonts w:hint="default" w:ascii="Times New Roman" w:hAnsi="Times New Roman" w:eastAsia="楷体" w:cs="Times New Roman"/>
          <w:b/>
          <w:bCs/>
          <w:color w:val="auto"/>
          <w:kern w:val="2"/>
          <w:sz w:val="32"/>
          <w:szCs w:val="32"/>
          <w:lang w:val="en-US" w:eastAsia="zh-CN" w:bidi="ar-SA"/>
        </w:rPr>
        <w:t>B.3重大危险源辨识结果</w:t>
      </w:r>
      <w:bookmarkEnd w:id="148"/>
      <w:bookmarkEnd w:id="149"/>
    </w:p>
    <w:p>
      <w:pPr>
        <w:pStyle w:val="28"/>
        <w:spacing w:beforeLines="-2147483648" w:beforeAutospacing="0" w:afterLines="-2147483648" w:afterAutospacing="0"/>
        <w:ind w:left="31680"/>
        <w:rPr>
          <w:rFonts w:hint="default" w:ascii="Times New Roman" w:hAnsi="Times New Roman" w:cs="Times New Roman"/>
          <w:b w:val="0"/>
          <w:color w:val="auto"/>
        </w:rPr>
      </w:pPr>
      <w:r>
        <w:rPr>
          <w:rFonts w:hint="default" w:ascii="Times New Roman" w:hAnsi="Times New Roman" w:cs="Times New Roman"/>
          <w:b w:val="0"/>
          <w:color w:val="auto"/>
        </w:rPr>
        <w:t>B.3.1重大危险源的辨识</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根据《危险化学品重大危险源辨识》（GB18218-2018）的相关规定，重大危险源是指长期地或者临时地生产、储存、使用和经营危险化学品，且危险化学品的数量等于或超过临界量的单元。</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重大危险源的辨识依据是物质的危险特性及其数量。</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1）危险化学品</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具有毒害、腐蚀、爆炸、燃烧、助燃等性质，对人体、设施、环境具有危害的剧毒化学品和其他化学品。</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混合物：由两种或者多种物质组成的混合体或者溶液。</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2）单元</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涉及危险化学品生产、储存装置、设施或场所。分为生产单元和储存单元。</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生产单元：危险化学品的生产、加工及使用等的装置及设施，当装置及设施之间有切断阀时，以切断阀作为分隔界限划分为独立的单元。</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储存单元：用于储存危险化学品的储罐或仓库组成的相对独立的区域，储罐区以罐区防火堤为界限划分为独立的单元，仓库以独立库房(独立建筑物〉为界限划分为独立的单元。</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3）临界量</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对于某种或某类危险化学品规定的数量，若单元中的危险化学品数量等于或超过临界量的单元。</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一个单元内存在的危险物质为多品种时，如满足下式，也同样构成重大危险源。</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S＝q1/Q1＋q2/Q2＋…＋qn/Qn≥1</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式中：S－辨识指标；</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q1，q2 ， …qn－每种危险化学品实际存在量，t；</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Q1，Q2…Qn－与每种危险化学品相对应的临界量，t。</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若构成重大危险源，应根据《危险化学品重大危险源监督管理暂行规定》（国家安全生产监督管理总局令第40号，根据2015年5月27日国家安全监管总局令第79号修正）进行分级辨识、评估和安全管理。</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根据《危险化学品重大危险源分级方法》采用单元内各种危险化学品实际存在（在线）量与其在《危险化学品重大危险源辨识》（GB18218-2018）中规定的临界量比值，经校正系数校正后的比值之和R作为分级指标。</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R的计算方法：</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R＝α×（β1q1/Q1＋β2q2/Q2＋…＋βnqn/Qn）</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式中：</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R－重大危险源分级指标；</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α— 该危险化学品重大危险源厂区外暴露人员的校正系数；</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β1，β2…，βn—与每种危险化学品相对应的校正系数；</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q1，q2，…，qn—每种危险化学品实际存在量（单位：吨）；</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Q1，Q2，…，Qn—与每种危险化学品相对应的临界量（单位：吨）。</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校正系数β的取值：</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根据单元内危险化学品的类别不同，设定校正系数β值，见表B.3-1和表B.3-2：</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表B.3-1 校正系数β取值表</w:t>
      </w:r>
    </w:p>
    <w:tbl>
      <w:tblPr>
        <w:tblStyle w:val="19"/>
        <w:tblW w:w="9299"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3515"/>
        <w:gridCol w:w="2892"/>
        <w:gridCol w:w="289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3515" w:type="dxa"/>
            <w:tcBorders>
              <w:top w:val="single" w:color="auto" w:sz="2" w:space="0"/>
            </w:tcBorders>
            <w:vAlign w:val="center"/>
          </w:tcPr>
          <w:p>
            <w:pPr>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2892" w:type="dxa"/>
            <w:tcBorders>
              <w:top w:val="single" w:color="auto" w:sz="2" w:space="0"/>
            </w:tcBorders>
            <w:vAlign w:val="center"/>
          </w:tcPr>
          <w:p>
            <w:pPr>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符号</w:t>
            </w:r>
          </w:p>
        </w:tc>
        <w:tc>
          <w:tcPr>
            <w:tcW w:w="2892" w:type="dxa"/>
            <w:tcBorders>
              <w:top w:val="single" w:color="auto" w:sz="2" w:space="0"/>
            </w:tcBorders>
            <w:vAlign w:val="center"/>
          </w:tcPr>
          <w:p>
            <w:pPr>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β校正系数</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3515"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急性毒性</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J1</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3515" w:type="dxa"/>
            <w:vMerge w:val="continue"/>
            <w:vAlign w:val="center"/>
          </w:tcPr>
          <w:p>
            <w:pPr>
              <w:widowControl/>
              <w:spacing w:line="280" w:lineRule="exact"/>
              <w:jc w:val="left"/>
              <w:rPr>
                <w:rFonts w:hint="default" w:ascii="Times New Roman" w:hAnsi="Times New Roman" w:eastAsia="宋体" w:cs="Times New Roman"/>
                <w:color w:val="auto"/>
                <w:sz w:val="21"/>
                <w:szCs w:val="21"/>
              </w:rPr>
            </w:pP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J2</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3515" w:type="dxa"/>
            <w:vMerge w:val="continue"/>
            <w:vAlign w:val="center"/>
          </w:tcPr>
          <w:p>
            <w:pPr>
              <w:widowControl/>
              <w:spacing w:line="280" w:lineRule="exact"/>
              <w:jc w:val="left"/>
              <w:rPr>
                <w:rFonts w:hint="default" w:ascii="Times New Roman" w:hAnsi="Times New Roman" w:eastAsia="宋体" w:cs="Times New Roman"/>
                <w:color w:val="auto"/>
                <w:sz w:val="21"/>
                <w:szCs w:val="21"/>
              </w:rPr>
            </w:pP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J3</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3515" w:type="dxa"/>
            <w:vMerge w:val="continue"/>
            <w:vAlign w:val="center"/>
          </w:tcPr>
          <w:p>
            <w:pPr>
              <w:widowControl/>
              <w:spacing w:line="280" w:lineRule="exact"/>
              <w:jc w:val="left"/>
              <w:rPr>
                <w:rFonts w:hint="default" w:ascii="Times New Roman" w:hAnsi="Times New Roman" w:eastAsia="宋体" w:cs="Times New Roman"/>
                <w:color w:val="auto"/>
                <w:sz w:val="21"/>
                <w:szCs w:val="21"/>
              </w:rPr>
            </w:pP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J4</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3515" w:type="dxa"/>
            <w:vMerge w:val="continue"/>
            <w:vAlign w:val="center"/>
          </w:tcPr>
          <w:p>
            <w:pPr>
              <w:widowControl/>
              <w:spacing w:line="280" w:lineRule="exact"/>
              <w:jc w:val="left"/>
              <w:rPr>
                <w:rFonts w:hint="default" w:ascii="Times New Roman" w:hAnsi="Times New Roman" w:eastAsia="宋体" w:cs="Times New Roman"/>
                <w:color w:val="auto"/>
                <w:sz w:val="21"/>
                <w:szCs w:val="21"/>
              </w:rPr>
            </w:pP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J5</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3515"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爆炸物</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W1.1</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3515" w:type="dxa"/>
            <w:vMerge w:val="continue"/>
            <w:vAlign w:val="center"/>
          </w:tcPr>
          <w:p>
            <w:pPr>
              <w:widowControl/>
              <w:spacing w:line="280" w:lineRule="exact"/>
              <w:jc w:val="left"/>
              <w:rPr>
                <w:rFonts w:hint="default" w:ascii="Times New Roman" w:hAnsi="Times New Roman" w:eastAsia="宋体" w:cs="Times New Roman"/>
                <w:color w:val="auto"/>
                <w:sz w:val="21"/>
                <w:szCs w:val="21"/>
              </w:rPr>
            </w:pP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W1.2</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3515" w:type="dxa"/>
            <w:vMerge w:val="continue"/>
            <w:vAlign w:val="center"/>
          </w:tcPr>
          <w:p>
            <w:pPr>
              <w:widowControl/>
              <w:spacing w:line="280" w:lineRule="exact"/>
              <w:jc w:val="left"/>
              <w:rPr>
                <w:rFonts w:hint="default" w:ascii="Times New Roman" w:hAnsi="Times New Roman" w:eastAsia="宋体" w:cs="Times New Roman"/>
                <w:color w:val="auto"/>
                <w:sz w:val="21"/>
                <w:szCs w:val="21"/>
              </w:rPr>
            </w:pP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W1.3</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3515"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易燃气体</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W2</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3515"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气溶胶</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W3</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3515"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氧化性气体</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W4</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3515"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易燃液体</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W5.1</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3515" w:type="dxa"/>
            <w:vMerge w:val="continue"/>
            <w:vAlign w:val="center"/>
          </w:tcPr>
          <w:p>
            <w:pPr>
              <w:widowControl/>
              <w:spacing w:line="280" w:lineRule="exact"/>
              <w:jc w:val="left"/>
              <w:rPr>
                <w:rFonts w:hint="default" w:ascii="Times New Roman" w:hAnsi="Times New Roman" w:eastAsia="宋体" w:cs="Times New Roman"/>
                <w:color w:val="auto"/>
                <w:sz w:val="21"/>
                <w:szCs w:val="21"/>
              </w:rPr>
            </w:pP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W5.2</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3515" w:type="dxa"/>
            <w:vMerge w:val="continue"/>
            <w:vAlign w:val="center"/>
          </w:tcPr>
          <w:p>
            <w:pPr>
              <w:widowControl/>
              <w:spacing w:line="280" w:lineRule="exact"/>
              <w:jc w:val="left"/>
              <w:rPr>
                <w:rFonts w:hint="default" w:ascii="Times New Roman" w:hAnsi="Times New Roman" w:eastAsia="宋体" w:cs="Times New Roman"/>
                <w:color w:val="auto"/>
                <w:sz w:val="21"/>
                <w:szCs w:val="21"/>
              </w:rPr>
            </w:pP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W5.3</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3515" w:type="dxa"/>
            <w:vMerge w:val="continue"/>
            <w:vAlign w:val="center"/>
          </w:tcPr>
          <w:p>
            <w:pPr>
              <w:widowControl/>
              <w:spacing w:line="280" w:lineRule="exact"/>
              <w:jc w:val="left"/>
              <w:rPr>
                <w:rFonts w:hint="default" w:ascii="Times New Roman" w:hAnsi="Times New Roman" w:eastAsia="宋体" w:cs="Times New Roman"/>
                <w:color w:val="auto"/>
                <w:sz w:val="21"/>
                <w:szCs w:val="21"/>
              </w:rPr>
            </w:pP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W5.4</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3515"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自反应物质和混合物</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W6.1</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3515" w:type="dxa"/>
            <w:vMerge w:val="continue"/>
            <w:vAlign w:val="center"/>
          </w:tcPr>
          <w:p>
            <w:pPr>
              <w:widowControl/>
              <w:spacing w:line="280" w:lineRule="exact"/>
              <w:jc w:val="left"/>
              <w:rPr>
                <w:rFonts w:hint="default" w:ascii="Times New Roman" w:hAnsi="Times New Roman" w:eastAsia="宋体" w:cs="Times New Roman"/>
                <w:color w:val="auto"/>
                <w:sz w:val="21"/>
                <w:szCs w:val="21"/>
              </w:rPr>
            </w:pP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W6.2</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3515"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有机过氧化物</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W7.1</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3515" w:type="dxa"/>
            <w:vMerge w:val="continue"/>
            <w:vAlign w:val="center"/>
          </w:tcPr>
          <w:p>
            <w:pPr>
              <w:widowControl/>
              <w:spacing w:line="280" w:lineRule="exact"/>
              <w:jc w:val="left"/>
              <w:rPr>
                <w:rFonts w:hint="default" w:ascii="Times New Roman" w:hAnsi="Times New Roman" w:eastAsia="宋体" w:cs="Times New Roman"/>
                <w:color w:val="auto"/>
                <w:sz w:val="21"/>
                <w:szCs w:val="21"/>
              </w:rPr>
            </w:pP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W7.2</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3515"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自燃液体和自燃固体</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W8</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3515"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氧化性固体和液体</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W9.1</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3515" w:type="dxa"/>
            <w:vMerge w:val="continue"/>
            <w:vAlign w:val="center"/>
          </w:tcPr>
          <w:p>
            <w:pPr>
              <w:widowControl/>
              <w:spacing w:line="280" w:lineRule="exact"/>
              <w:jc w:val="left"/>
              <w:rPr>
                <w:rFonts w:hint="default" w:ascii="Times New Roman" w:hAnsi="Times New Roman" w:eastAsia="宋体" w:cs="Times New Roman"/>
                <w:color w:val="auto"/>
                <w:sz w:val="21"/>
                <w:szCs w:val="21"/>
              </w:rPr>
            </w:pP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W9.2</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3515"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易燃固体</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W10</w:t>
            </w:r>
          </w:p>
        </w:tc>
        <w:tc>
          <w:tcPr>
            <w:tcW w:w="289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3515" w:type="dxa"/>
            <w:tcBorders>
              <w:bottom w:val="single" w:color="auto" w:sz="2" w:space="0"/>
            </w:tcBorders>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遇水放出易燃气体的物质和混合物</w:t>
            </w:r>
          </w:p>
        </w:tc>
        <w:tc>
          <w:tcPr>
            <w:tcW w:w="2892" w:type="dxa"/>
            <w:tcBorders>
              <w:bottom w:val="single" w:color="auto" w:sz="2" w:space="0"/>
            </w:tcBorders>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W11</w:t>
            </w:r>
          </w:p>
        </w:tc>
        <w:tc>
          <w:tcPr>
            <w:tcW w:w="2892" w:type="dxa"/>
            <w:tcBorders>
              <w:bottom w:val="single" w:color="auto" w:sz="2" w:space="0"/>
            </w:tcBorders>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bl>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注：危险化学品类别依据《危险货物品名表》中分类标准确定。</w:t>
      </w:r>
    </w:p>
    <w:p>
      <w:pPr>
        <w:ind w:firstLine="56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表B.3-2 常见毒性气体校正系数β值取值表</w:t>
      </w:r>
    </w:p>
    <w:tbl>
      <w:tblPr>
        <w:tblStyle w:val="19"/>
        <w:tblW w:w="928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92"/>
        <w:gridCol w:w="1112"/>
        <w:gridCol w:w="1114"/>
        <w:gridCol w:w="1115"/>
        <w:gridCol w:w="1114"/>
        <w:gridCol w:w="1114"/>
        <w:gridCol w:w="924"/>
        <w:gridCol w:w="13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atLeast"/>
          <w:jc w:val="center"/>
        </w:trPr>
        <w:tc>
          <w:tcPr>
            <w:tcW w:w="149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毒性气体名称</w:t>
            </w:r>
          </w:p>
        </w:tc>
        <w:tc>
          <w:tcPr>
            <w:tcW w:w="111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一氧化碳</w:t>
            </w:r>
          </w:p>
        </w:tc>
        <w:tc>
          <w:tcPr>
            <w:tcW w:w="111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二氧化硫</w:t>
            </w:r>
          </w:p>
        </w:tc>
        <w:tc>
          <w:tcPr>
            <w:tcW w:w="111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c>
          <w:tcPr>
            <w:tcW w:w="111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环氧乙烷</w:t>
            </w:r>
          </w:p>
        </w:tc>
        <w:tc>
          <w:tcPr>
            <w:tcW w:w="111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氯化氢</w:t>
            </w:r>
          </w:p>
        </w:tc>
        <w:tc>
          <w:tcPr>
            <w:tcW w:w="92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溴甲烷</w:t>
            </w:r>
          </w:p>
        </w:tc>
        <w:tc>
          <w:tcPr>
            <w:tcW w:w="1303"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49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β</w:t>
            </w:r>
          </w:p>
        </w:tc>
        <w:tc>
          <w:tcPr>
            <w:tcW w:w="111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1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1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1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1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2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303"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49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毒性气体名称</w:t>
            </w:r>
          </w:p>
        </w:tc>
        <w:tc>
          <w:tcPr>
            <w:tcW w:w="111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111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氟化氢</w:t>
            </w:r>
          </w:p>
        </w:tc>
        <w:tc>
          <w:tcPr>
            <w:tcW w:w="111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二氧化氮</w:t>
            </w:r>
          </w:p>
        </w:tc>
        <w:tc>
          <w:tcPr>
            <w:tcW w:w="111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氰化氢</w:t>
            </w:r>
          </w:p>
        </w:tc>
        <w:tc>
          <w:tcPr>
            <w:tcW w:w="111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碳酰氯</w:t>
            </w:r>
          </w:p>
        </w:tc>
        <w:tc>
          <w:tcPr>
            <w:tcW w:w="92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磷化氢</w:t>
            </w:r>
          </w:p>
        </w:tc>
        <w:tc>
          <w:tcPr>
            <w:tcW w:w="1303"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异氰酸甲酯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49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β</w:t>
            </w:r>
          </w:p>
        </w:tc>
        <w:tc>
          <w:tcPr>
            <w:tcW w:w="1112"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11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11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1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1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92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303"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bl>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注：在表3.7-2范围内的危险化学品，其β值按表B.3-2确定；未在表3.7-2范围内的危险化学品，其β值按表B.3-1确定。</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校正系数α的取值：</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根据重大危险源的厂区边界向外扩展500米范围内常住人口数量，设定厂外暴露人员校正系数α值，见表B.3-3。</w:t>
      </w:r>
    </w:p>
    <w:p>
      <w:pPr>
        <w:ind w:firstLine="56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表B.3-3 校正系数α取值表</w:t>
      </w:r>
    </w:p>
    <w:tbl>
      <w:tblPr>
        <w:tblStyle w:val="19"/>
        <w:tblW w:w="928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643"/>
        <w:gridCol w:w="464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1" w:hRule="atLeast"/>
          <w:jc w:val="center"/>
        </w:trPr>
        <w:tc>
          <w:tcPr>
            <w:tcW w:w="4643" w:type="dxa"/>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厂外可能暴露人员数量</w:t>
            </w:r>
          </w:p>
        </w:tc>
        <w:tc>
          <w:tcPr>
            <w:tcW w:w="4645" w:type="dxa"/>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α</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6" w:hRule="atLeast"/>
          <w:jc w:val="center"/>
        </w:trPr>
        <w:tc>
          <w:tcPr>
            <w:tcW w:w="4643" w:type="dxa"/>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100人以上</w:t>
            </w:r>
          </w:p>
        </w:tc>
        <w:tc>
          <w:tcPr>
            <w:tcW w:w="4645" w:type="dxa"/>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jc w:val="center"/>
        </w:trPr>
        <w:tc>
          <w:tcPr>
            <w:tcW w:w="4643" w:type="dxa"/>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50人～99人</w:t>
            </w:r>
          </w:p>
        </w:tc>
        <w:tc>
          <w:tcPr>
            <w:tcW w:w="4645" w:type="dxa"/>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6" w:hRule="atLeast"/>
          <w:jc w:val="center"/>
        </w:trPr>
        <w:tc>
          <w:tcPr>
            <w:tcW w:w="4643" w:type="dxa"/>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30人～49人</w:t>
            </w:r>
          </w:p>
        </w:tc>
        <w:tc>
          <w:tcPr>
            <w:tcW w:w="4645" w:type="dxa"/>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8" w:hRule="atLeast"/>
          <w:jc w:val="center"/>
        </w:trPr>
        <w:tc>
          <w:tcPr>
            <w:tcW w:w="4643" w:type="dxa"/>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1～29人</w:t>
            </w:r>
          </w:p>
        </w:tc>
        <w:tc>
          <w:tcPr>
            <w:tcW w:w="4645" w:type="dxa"/>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6" w:hRule="atLeast"/>
          <w:jc w:val="center"/>
        </w:trPr>
        <w:tc>
          <w:tcPr>
            <w:tcW w:w="4643" w:type="dxa"/>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0人</w:t>
            </w:r>
          </w:p>
        </w:tc>
        <w:tc>
          <w:tcPr>
            <w:tcW w:w="4645" w:type="dxa"/>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bl>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分级标准：</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根据计算出来的R值，按表B.3-4确定危险化学品重大危险源的级别。</w:t>
      </w:r>
    </w:p>
    <w:p>
      <w:pPr>
        <w:ind w:firstLine="56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表B.3-4 危险化学品重大危险源级别和R值的对应关系</w:t>
      </w:r>
    </w:p>
    <w:tbl>
      <w:tblPr>
        <w:tblStyle w:val="19"/>
        <w:tblW w:w="928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49"/>
        <w:gridCol w:w="45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4749" w:type="dxa"/>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危险化学品重大危险源级别</w:t>
            </w:r>
          </w:p>
        </w:tc>
        <w:tc>
          <w:tcPr>
            <w:tcW w:w="4539" w:type="dxa"/>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4749" w:type="dxa"/>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4539" w:type="dxa"/>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4749" w:type="dxa"/>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4539" w:type="dxa"/>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100&gt;R≥50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4749" w:type="dxa"/>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4539" w:type="dxa"/>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50&gt;R≥10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jc w:val="center"/>
        </w:trPr>
        <w:tc>
          <w:tcPr>
            <w:tcW w:w="4749" w:type="dxa"/>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四级</w:t>
            </w:r>
          </w:p>
        </w:tc>
        <w:tc>
          <w:tcPr>
            <w:tcW w:w="4539" w:type="dxa"/>
            <w:tcBorders>
              <w:top w:val="single" w:color="auto" w:sz="8" w:space="0"/>
              <w:left w:val="single" w:color="auto" w:sz="8" w:space="0"/>
              <w:bottom w:val="single" w:color="auto" w:sz="8" w:space="0"/>
              <w:right w:val="single" w:color="auto" w:sz="8" w:space="0"/>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R&lt;10</w:t>
            </w:r>
          </w:p>
        </w:tc>
      </w:tr>
    </w:tbl>
    <w:p>
      <w:pPr>
        <w:pageBreakBefore w:val="0"/>
        <w:widowControl w:val="0"/>
        <w:numPr>
          <w:ilvl w:val="0"/>
          <w:numId w:val="30"/>
        </w:numPr>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构成重大危险源物质辨识</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w:t>
      </w:r>
      <w:r>
        <w:rPr>
          <w:rFonts w:hint="default" w:ascii="Times New Roman" w:hAnsi="Times New Roman" w:eastAsia="宋体" w:cs="Times New Roman"/>
          <w:color w:val="auto"/>
          <w:lang w:eastAsia="zh-CN"/>
        </w:rPr>
        <w:t>江西心连心化学工业有限公司</w:t>
      </w:r>
      <w:r>
        <w:rPr>
          <w:rFonts w:hint="default" w:ascii="Times New Roman" w:hAnsi="Times New Roman" w:eastAsia="宋体" w:cs="Times New Roman"/>
          <w:color w:val="auto"/>
        </w:rPr>
        <w:t>提供的工艺流程描述，最后查相应物质的理化性质及危险特性表，列入《危险化学品目录》的危险化学品有：</w:t>
      </w:r>
      <w:r>
        <w:rPr>
          <w:rFonts w:hint="default" w:ascii="Times New Roman" w:hAnsi="Times New Roman" w:eastAsia="宋体" w:cs="Times New Roman"/>
          <w:color w:val="auto"/>
          <w:sz w:val="28"/>
          <w:szCs w:val="28"/>
          <w:lang w:eastAsia="zh-CN"/>
        </w:rPr>
        <w:t>盐酸、硫酸、</w:t>
      </w:r>
      <w:r>
        <w:rPr>
          <w:rFonts w:hint="default" w:ascii="Times New Roman" w:hAnsi="Times New Roman" w:cs="Times New Roman"/>
          <w:color w:val="auto"/>
          <w:sz w:val="28"/>
          <w:szCs w:val="28"/>
          <w:lang w:val="en-US" w:eastAsia="zh-CN"/>
        </w:rPr>
        <w:t>氨（</w:t>
      </w:r>
      <w:r>
        <w:rPr>
          <w:rFonts w:hint="eastAsia" w:cs="Times New Roman"/>
          <w:color w:val="auto"/>
          <w:sz w:val="28"/>
          <w:szCs w:val="28"/>
          <w:lang w:val="en-US" w:eastAsia="zh-CN"/>
        </w:rPr>
        <w:t>管道，</w:t>
      </w:r>
      <w:r>
        <w:rPr>
          <w:rFonts w:hint="default" w:ascii="Times New Roman" w:hAnsi="Times New Roman" w:cs="Times New Roman"/>
          <w:color w:val="auto"/>
          <w:sz w:val="28"/>
          <w:szCs w:val="28"/>
          <w:lang w:val="en-US" w:eastAsia="zh-CN"/>
        </w:rPr>
        <w:t>不涉及储存）、</w:t>
      </w:r>
      <w:r>
        <w:rPr>
          <w:rFonts w:hint="default" w:ascii="Times New Roman" w:hAnsi="Times New Roman" w:eastAsia="宋体" w:cs="Times New Roman"/>
          <w:color w:val="auto"/>
          <w:sz w:val="28"/>
          <w:lang w:eastAsia="zh-CN"/>
        </w:rPr>
        <w:t>天然气（管道，燃料</w:t>
      </w:r>
      <w:r>
        <w:rPr>
          <w:rFonts w:hint="default" w:ascii="Times New Roman" w:hAnsi="Times New Roman" w:cs="Times New Roman"/>
          <w:color w:val="auto"/>
          <w:sz w:val="28"/>
          <w:lang w:eastAsia="zh-CN"/>
        </w:rPr>
        <w:t>，</w:t>
      </w:r>
      <w:r>
        <w:rPr>
          <w:rFonts w:hint="default" w:ascii="Times New Roman" w:hAnsi="Times New Roman" w:cs="Times New Roman"/>
          <w:color w:val="auto"/>
          <w:sz w:val="28"/>
          <w:lang w:val="en-US" w:eastAsia="zh-CN"/>
        </w:rPr>
        <w:t>不涉及储存</w:t>
      </w:r>
      <w:r>
        <w:rPr>
          <w:rFonts w:hint="default" w:ascii="Times New Roman" w:hAnsi="Times New Roman" w:eastAsia="宋体" w:cs="Times New Roman"/>
          <w:color w:val="auto"/>
          <w:sz w:val="28"/>
          <w:lang w:eastAsia="zh-CN"/>
        </w:rPr>
        <w:t>）</w:t>
      </w:r>
      <w:r>
        <w:rPr>
          <w:rFonts w:hint="default" w:ascii="Times New Roman" w:hAnsi="Times New Roman" w:eastAsia="宋体" w:cs="Times New Roman"/>
          <w:color w:val="auto"/>
        </w:rPr>
        <w:t>等。</w:t>
      </w:r>
    </w:p>
    <w:p>
      <w:pPr>
        <w:ind w:firstLine="560" w:firstLineChars="200"/>
        <w:rPr>
          <w:rFonts w:ascii="Times New Roman" w:hAnsi="Times New Roman" w:cs="Times New Roman"/>
          <w:color w:val="auto"/>
          <w:szCs w:val="28"/>
        </w:rPr>
      </w:pPr>
      <w:r>
        <w:rPr>
          <w:rFonts w:hint="eastAsia" w:ascii="Times New Roman" w:hAnsi="Times New Roman" w:cs="宋体"/>
          <w:color w:val="auto"/>
          <w:szCs w:val="28"/>
        </w:rPr>
        <w:t>根据《危险化学品重大危险源辨识》</w:t>
      </w:r>
      <w:r>
        <w:rPr>
          <w:rFonts w:ascii="Times New Roman" w:hAnsi="Times New Roman" w:cs="Times New Roman"/>
          <w:color w:val="auto"/>
          <w:szCs w:val="28"/>
        </w:rPr>
        <w:t>GB18218-2018</w:t>
      </w:r>
      <w:r>
        <w:rPr>
          <w:rFonts w:hint="eastAsia" w:ascii="Times New Roman" w:hAnsi="Times New Roman" w:cs="宋体"/>
          <w:color w:val="auto"/>
          <w:szCs w:val="28"/>
        </w:rPr>
        <w:t>：</w:t>
      </w:r>
    </w:p>
    <w:p>
      <w:pPr>
        <w:numPr>
          <w:ilvl w:val="0"/>
          <w:numId w:val="31"/>
        </w:numPr>
        <w:ind w:firstLine="560" w:firstLineChars="200"/>
        <w:rPr>
          <w:rFonts w:ascii="Times New Roman" w:hAnsi="Times New Roman" w:cs="Times New Roman"/>
          <w:color w:val="auto"/>
          <w:szCs w:val="28"/>
        </w:rPr>
      </w:pPr>
      <w:r>
        <w:rPr>
          <w:rFonts w:hint="eastAsia" w:ascii="Times New Roman" w:hAnsi="Times New Roman" w:cs="宋体"/>
          <w:color w:val="auto"/>
          <w:szCs w:val="28"/>
        </w:rPr>
        <w:t>构成重大危险源的物质辨识：</w:t>
      </w:r>
    </w:p>
    <w:p>
      <w:pPr>
        <w:jc w:val="center"/>
        <w:rPr>
          <w:rFonts w:ascii="Times New Roman" w:hAnsi="Times New Roman" w:cs="Times New Roman"/>
          <w:color w:val="auto"/>
          <w:szCs w:val="28"/>
        </w:rPr>
      </w:pPr>
      <w:r>
        <w:rPr>
          <w:rFonts w:hint="eastAsia" w:ascii="Times New Roman" w:hAnsi="Times New Roman" w:cs="宋体"/>
          <w:color w:val="auto"/>
          <w:szCs w:val="28"/>
        </w:rPr>
        <w:t>表</w:t>
      </w:r>
      <w:r>
        <w:rPr>
          <w:rFonts w:ascii="Times New Roman" w:hAnsi="Times New Roman" w:cs="Times New Roman"/>
          <w:color w:val="auto"/>
          <w:szCs w:val="28"/>
        </w:rPr>
        <w:t>B.3-5 GB18218-2018</w:t>
      </w:r>
      <w:r>
        <w:rPr>
          <w:rFonts w:hint="eastAsia" w:ascii="Times New Roman" w:hAnsi="Times New Roman" w:cs="宋体"/>
          <w:color w:val="auto"/>
          <w:szCs w:val="28"/>
        </w:rPr>
        <w:t>表</w:t>
      </w:r>
      <w:r>
        <w:rPr>
          <w:rFonts w:ascii="Times New Roman" w:hAnsi="Times New Roman" w:cs="Times New Roman"/>
          <w:color w:val="auto"/>
          <w:szCs w:val="28"/>
        </w:rPr>
        <w:t>1</w:t>
      </w:r>
      <w:r>
        <w:rPr>
          <w:rFonts w:hint="eastAsia" w:ascii="Times New Roman" w:hAnsi="Times New Roman" w:cs="宋体"/>
          <w:color w:val="auto"/>
          <w:szCs w:val="28"/>
        </w:rPr>
        <w:t>列出的物质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2340"/>
        <w:gridCol w:w="1515"/>
        <w:gridCol w:w="1481"/>
        <w:gridCol w:w="1548"/>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lang w:val="zh-CN"/>
              </w:rPr>
              <w:t>序号</w:t>
            </w:r>
          </w:p>
        </w:tc>
        <w:tc>
          <w:tcPr>
            <w:tcW w:w="1259"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lang w:val="zh-CN"/>
              </w:rPr>
              <w:t>危险化学品名称和说明</w:t>
            </w:r>
          </w:p>
        </w:tc>
        <w:tc>
          <w:tcPr>
            <w:tcW w:w="815"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lang w:val="zh-CN"/>
              </w:rPr>
              <w:t>别名</w:t>
            </w:r>
          </w:p>
        </w:tc>
        <w:tc>
          <w:tcPr>
            <w:tcW w:w="797"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lang w:val="zh-CN"/>
              </w:rPr>
              <w:t>CAS号</w:t>
            </w:r>
          </w:p>
        </w:tc>
        <w:tc>
          <w:tcPr>
            <w:tcW w:w="833"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lang w:val="zh-CN"/>
              </w:rPr>
              <w:t>临界量(吨）</w:t>
            </w:r>
          </w:p>
        </w:tc>
        <w:tc>
          <w:tcPr>
            <w:tcW w:w="833"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pct"/>
            <w:noWrap w:val="0"/>
            <w:vAlign w:val="top"/>
          </w:tcPr>
          <w:p>
            <w:pPr>
              <w:numPr>
                <w:ilvl w:val="0"/>
                <w:numId w:val="0"/>
              </w:numPr>
              <w:bidi w:val="0"/>
              <w:spacing w:line="240" w:lineRule="auto"/>
              <w:jc w:val="center"/>
              <w:rPr>
                <w:rFonts w:hint="default" w:ascii="Times New Roman" w:hAnsi="宋体"/>
                <w:color w:val="auto"/>
                <w:sz w:val="21"/>
                <w:szCs w:val="21"/>
                <w:vertAlign w:val="baseline"/>
                <w:lang w:val="en-US" w:eastAsia="zh-CN"/>
              </w:rPr>
            </w:pPr>
            <w:r>
              <w:rPr>
                <w:rFonts w:hint="eastAsia" w:ascii="Times New Roman" w:hAnsi="宋体"/>
                <w:color w:val="auto"/>
                <w:sz w:val="21"/>
                <w:szCs w:val="21"/>
                <w:vertAlign w:val="baseline"/>
                <w:lang w:val="en-US" w:eastAsia="zh-CN"/>
              </w:rPr>
              <w:t>1</w:t>
            </w:r>
          </w:p>
        </w:tc>
        <w:tc>
          <w:tcPr>
            <w:tcW w:w="1259" w:type="pct"/>
            <w:noWrap w:val="0"/>
            <w:vAlign w:val="center"/>
          </w:tcPr>
          <w:p>
            <w:pPr>
              <w:autoSpaceDE w:val="0"/>
              <w:autoSpaceDN w:val="0"/>
              <w:adjustRightIn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kern w:val="0"/>
                <w:sz w:val="21"/>
                <w:szCs w:val="21"/>
                <w:lang w:val="en-US" w:eastAsia="zh-CN"/>
              </w:rPr>
              <w:t>氨</w:t>
            </w:r>
          </w:p>
        </w:tc>
        <w:tc>
          <w:tcPr>
            <w:tcW w:w="815" w:type="pct"/>
            <w:noWrap w:val="0"/>
            <w:vAlign w:val="center"/>
          </w:tcPr>
          <w:p>
            <w:pPr>
              <w:autoSpaceDE w:val="0"/>
              <w:autoSpaceDN w:val="0"/>
              <w:adjustRightIn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宋体" w:eastAsia="宋体" w:cs="宋体"/>
                <w:color w:val="auto"/>
                <w:kern w:val="0"/>
                <w:sz w:val="21"/>
                <w:szCs w:val="21"/>
                <w:lang w:val="en-US" w:eastAsia="zh-CN"/>
              </w:rPr>
              <w:t>液氨</w:t>
            </w:r>
          </w:p>
        </w:tc>
        <w:tc>
          <w:tcPr>
            <w:tcW w:w="797" w:type="pct"/>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kern w:val="0"/>
                <w:sz w:val="21"/>
                <w:szCs w:val="21"/>
                <w:lang w:val="en-US" w:eastAsia="zh-CN"/>
              </w:rPr>
              <w:t>7664-41-7</w:t>
            </w:r>
          </w:p>
        </w:tc>
        <w:tc>
          <w:tcPr>
            <w:tcW w:w="833" w:type="pct"/>
            <w:noWrap w:val="0"/>
            <w:vAlign w:val="top"/>
          </w:tcPr>
          <w:p>
            <w:pPr>
              <w:spacing w:line="240" w:lineRule="auto"/>
              <w:jc w:val="center"/>
              <w:rPr>
                <w:rFonts w:hint="default" w:ascii="Times New Roman" w:hAnsi="宋体" w:eastAsia="宋体"/>
                <w:color w:val="auto"/>
                <w:sz w:val="21"/>
                <w:szCs w:val="21"/>
                <w:vertAlign w:val="baseline"/>
                <w:lang w:val="en-US" w:eastAsia="zh-CN"/>
              </w:rPr>
            </w:pPr>
            <w:r>
              <w:rPr>
                <w:rFonts w:hint="eastAsia" w:ascii="Times New Roman" w:hAnsi="宋体"/>
                <w:color w:val="auto"/>
                <w:sz w:val="21"/>
                <w:szCs w:val="21"/>
                <w:lang w:val="en-US" w:eastAsia="zh-CN"/>
              </w:rPr>
              <w:t>10</w:t>
            </w:r>
          </w:p>
        </w:tc>
        <w:tc>
          <w:tcPr>
            <w:tcW w:w="833" w:type="pct"/>
            <w:noWrap w:val="0"/>
            <w:vAlign w:val="top"/>
          </w:tcPr>
          <w:p>
            <w:pPr>
              <w:spacing w:line="240" w:lineRule="auto"/>
              <w:jc w:val="center"/>
              <w:rPr>
                <w:rFonts w:hint="default" w:ascii="Times New Roman" w:hAnsi="宋体"/>
                <w:color w:val="auto"/>
                <w:sz w:val="21"/>
                <w:szCs w:val="21"/>
                <w:vertAlign w:val="baseline"/>
                <w:lang w:val="en-US" w:eastAsia="zh-CN"/>
              </w:rPr>
            </w:pPr>
          </w:p>
        </w:tc>
      </w:tr>
    </w:tbl>
    <w:p>
      <w:pPr>
        <w:numPr>
          <w:ilvl w:val="0"/>
          <w:numId w:val="0"/>
        </w:numPr>
        <w:bidi w:val="0"/>
        <w:ind w:leftChars="200"/>
        <w:jc w:val="both"/>
        <w:rPr>
          <w:rFonts w:ascii="Times New Roman" w:hAnsi="Times New Roman"/>
          <w:color w:val="auto"/>
          <w:sz w:val="28"/>
          <w:szCs w:val="28"/>
        </w:rPr>
      </w:pPr>
      <w:r>
        <w:rPr>
          <w:rFonts w:hint="eastAsia" w:ascii="Times New Roman" w:hAnsi="宋体"/>
          <w:color w:val="auto"/>
          <w:sz w:val="28"/>
          <w:szCs w:val="28"/>
          <w:lang w:val="en-US" w:eastAsia="zh-CN"/>
        </w:rPr>
        <w:t>（2）不属于</w:t>
      </w:r>
      <w:r>
        <w:rPr>
          <w:rFonts w:ascii="Times New Roman" w:hAnsi="Times New Roman"/>
          <w:color w:val="auto"/>
          <w:sz w:val="28"/>
          <w:szCs w:val="28"/>
        </w:rPr>
        <w:t>构成重大危险源物质辨识的说明</w:t>
      </w:r>
    </w:p>
    <w:p>
      <w:pPr>
        <w:ind w:firstLine="560" w:firstLineChars="200"/>
        <w:rPr>
          <w:rFonts w:ascii="Times New Roman" w:hAnsi="Times New Roman" w:cs="Times New Roman"/>
          <w:color w:val="auto"/>
          <w:szCs w:val="28"/>
        </w:rPr>
      </w:pPr>
      <w:r>
        <w:rPr>
          <w:rFonts w:ascii="Times New Roman" w:hAnsi="Times New Roman"/>
          <w:color w:val="auto"/>
        </w:rPr>
        <w:t>盐酸、</w:t>
      </w:r>
      <w:r>
        <w:rPr>
          <w:rFonts w:hint="eastAsia"/>
          <w:color w:val="auto"/>
          <w:lang w:eastAsia="zh-CN"/>
        </w:rPr>
        <w:t>硫酸</w:t>
      </w:r>
      <w:r>
        <w:rPr>
          <w:rFonts w:ascii="Times New Roman" w:hAnsi="Times New Roman"/>
          <w:color w:val="auto"/>
        </w:rPr>
        <w:t>等物质在表1、表2均未列出，不属于构成重大危险源物质</w:t>
      </w:r>
      <w:r>
        <w:rPr>
          <w:rFonts w:hint="eastAsia" w:ascii="Times New Roman" w:hAnsi="Times New Roman"/>
          <w:color w:val="auto"/>
          <w:lang w:eastAsia="zh-CN"/>
        </w:rPr>
        <w:t>。</w:t>
      </w:r>
      <w:r>
        <w:rPr>
          <w:rFonts w:hint="eastAsia" w:ascii="Times New Roman" w:hAnsi="Times New Roman" w:cs="宋体"/>
          <w:color w:val="auto"/>
          <w:szCs w:val="28"/>
        </w:rPr>
        <w:t>天然气作为燃料，因此不作为构成重大危险源物质进行辨识。</w:t>
      </w:r>
    </w:p>
    <w:p>
      <w:pPr>
        <w:bidi w:val="0"/>
        <w:ind w:firstLine="560" w:firstLineChars="200"/>
        <w:rPr>
          <w:rFonts w:hint="eastAsia" w:ascii="Times New Roman" w:hAnsi="Times New Roman"/>
          <w:color w:val="auto"/>
          <w:sz w:val="28"/>
          <w:szCs w:val="28"/>
          <w:lang w:eastAsia="zh-CN"/>
        </w:rPr>
      </w:pPr>
      <w:r>
        <w:rPr>
          <w:rFonts w:ascii="Times New Roman" w:hAnsi="Times New Roman"/>
          <w:color w:val="auto"/>
          <w:sz w:val="28"/>
          <w:szCs w:val="28"/>
        </w:rPr>
        <w:t>因此，构成危险化学品重大危险源物质的辨识符合</w:t>
      </w:r>
      <w:r>
        <w:rPr>
          <w:rFonts w:ascii="Times New Roman" w:hAnsi="Times New Roman"/>
          <w:color w:val="auto"/>
          <w:sz w:val="28"/>
          <w:szCs w:val="28"/>
          <w:lang w:val="zh-CN"/>
        </w:rPr>
        <w:t>《危险化学品重大危险源辨识》</w:t>
      </w:r>
      <w:r>
        <w:rPr>
          <w:rFonts w:ascii="Times New Roman" w:hAnsi="Times New Roman"/>
          <w:color w:val="auto"/>
          <w:sz w:val="28"/>
          <w:szCs w:val="28"/>
        </w:rPr>
        <w:t>GB18218-2018的规定</w:t>
      </w:r>
      <w:r>
        <w:rPr>
          <w:rFonts w:hint="eastAsia" w:ascii="Times New Roman" w:hAnsi="Times New Roman"/>
          <w:color w:val="auto"/>
          <w:sz w:val="28"/>
          <w:szCs w:val="28"/>
          <w:lang w:eastAsia="zh-CN"/>
        </w:rPr>
        <w:t>。</w:t>
      </w:r>
    </w:p>
    <w:p>
      <w:pPr>
        <w:numPr>
          <w:ilvl w:val="0"/>
          <w:numId w:val="32"/>
        </w:numPr>
        <w:bidi w:val="0"/>
        <w:ind w:left="0" w:leftChars="0" w:firstLine="560" w:firstLineChars="200"/>
        <w:rPr>
          <w:rFonts w:ascii="Times New Roman" w:hAnsi="Times New Roman"/>
          <w:color w:val="auto"/>
          <w:sz w:val="28"/>
          <w:szCs w:val="28"/>
        </w:rPr>
      </w:pPr>
      <w:r>
        <w:rPr>
          <w:rFonts w:ascii="Times New Roman" w:hAnsi="Times New Roman"/>
          <w:i/>
          <w:color w:val="auto"/>
          <w:sz w:val="28"/>
          <w:szCs w:val="28"/>
        </w:rPr>
        <w:t>α、β</w:t>
      </w:r>
      <w:r>
        <w:rPr>
          <w:rFonts w:ascii="Times New Roman" w:hAnsi="Times New Roman"/>
          <w:color w:val="auto"/>
          <w:sz w:val="28"/>
          <w:szCs w:val="28"/>
        </w:rPr>
        <w:t>值的确定</w:t>
      </w:r>
    </w:p>
    <w:p>
      <w:pPr>
        <w:numPr>
          <w:ilvl w:val="0"/>
          <w:numId w:val="0"/>
        </w:numPr>
        <w:bidi w:val="0"/>
        <w:ind w:firstLine="560" w:firstLineChars="200"/>
        <w:rPr>
          <w:rFonts w:hint="eastAsia" w:ascii="Times New Roman" w:hAnsi="Times New Roman"/>
          <w:color w:val="auto"/>
          <w:sz w:val="28"/>
          <w:szCs w:val="28"/>
          <w:lang w:eastAsia="zh-CN"/>
        </w:rPr>
      </w:pPr>
      <w:r>
        <w:rPr>
          <w:rFonts w:hint="eastAsia" w:ascii="Times New Roman" w:hAnsi="Times New Roman"/>
          <w:color w:val="auto"/>
          <w:sz w:val="28"/>
          <w:szCs w:val="28"/>
          <w:lang w:eastAsia="zh-CN"/>
        </w:rPr>
        <w:t>（</w:t>
      </w:r>
      <w:r>
        <w:rPr>
          <w:rFonts w:hint="eastAsia" w:ascii="Times New Roman" w:hAnsi="Times New Roman"/>
          <w:color w:val="auto"/>
          <w:sz w:val="28"/>
          <w:szCs w:val="28"/>
          <w:lang w:val="en-US" w:eastAsia="zh-CN"/>
        </w:rPr>
        <w:t>1</w:t>
      </w:r>
      <w:r>
        <w:rPr>
          <w:rFonts w:hint="eastAsia" w:ascii="Times New Roman" w:hAnsi="Times New Roman"/>
          <w:color w:val="auto"/>
          <w:sz w:val="28"/>
          <w:szCs w:val="28"/>
          <w:lang w:eastAsia="zh-CN"/>
        </w:rPr>
        <w:t>）</w:t>
      </w:r>
      <w:r>
        <w:rPr>
          <w:rFonts w:ascii="Times New Roman" w:hAnsi="Times New Roman"/>
          <w:color w:val="auto"/>
          <w:sz w:val="28"/>
          <w:szCs w:val="28"/>
        </w:rPr>
        <w:t>校正系数α的</w:t>
      </w:r>
      <w:r>
        <w:rPr>
          <w:rFonts w:hint="eastAsia" w:ascii="Times New Roman" w:hAnsi="Times New Roman"/>
          <w:color w:val="auto"/>
          <w:sz w:val="28"/>
          <w:szCs w:val="28"/>
          <w:lang w:eastAsia="zh-CN"/>
        </w:rPr>
        <w:t>取值</w:t>
      </w:r>
    </w:p>
    <w:p>
      <w:pPr>
        <w:numPr>
          <w:ilvl w:val="0"/>
          <w:numId w:val="0"/>
        </w:numPr>
        <w:bidi w:val="0"/>
        <w:ind w:firstLine="560" w:firstLineChars="200"/>
        <w:rPr>
          <w:rFonts w:hint="eastAsia" w:ascii="Times New Roman" w:hAnsi="Times New Roman"/>
          <w:color w:val="auto"/>
          <w:sz w:val="28"/>
          <w:szCs w:val="28"/>
          <w:lang w:eastAsia="zh-CN"/>
        </w:rPr>
      </w:pPr>
      <w:r>
        <w:rPr>
          <w:rFonts w:hint="default" w:ascii="Times New Roman" w:hAnsi="Times New Roman" w:eastAsia="宋体" w:cs="Times New Roman"/>
          <w:color w:val="auto"/>
          <w:lang w:eastAsia="zh-CN"/>
        </w:rPr>
        <w:t>江西心连心化学工业有限公司</w:t>
      </w:r>
      <w:r>
        <w:rPr>
          <w:rFonts w:ascii="Times New Roman" w:hAnsi="Times New Roman"/>
          <w:color w:val="auto"/>
          <w:sz w:val="28"/>
          <w:szCs w:val="28"/>
        </w:rPr>
        <w:t>红线外部</w:t>
      </w:r>
      <w:r>
        <w:rPr>
          <w:rFonts w:ascii="Times New Roman" w:hAnsi="Times New Roman"/>
          <w:color w:val="auto"/>
          <w:position w:val="2"/>
          <w:sz w:val="28"/>
          <w:szCs w:val="28"/>
        </w:rPr>
        <w:t>周边500m范围内</w:t>
      </w:r>
      <w:r>
        <w:rPr>
          <w:rFonts w:hint="eastAsia" w:ascii="Times New Roman" w:hAnsi="Times New Roman"/>
          <w:color w:val="auto"/>
          <w:position w:val="2"/>
          <w:sz w:val="28"/>
          <w:szCs w:val="28"/>
        </w:rPr>
        <w:t>暴露</w:t>
      </w:r>
      <w:r>
        <w:rPr>
          <w:rFonts w:ascii="Times New Roman" w:hAnsi="Times New Roman"/>
          <w:color w:val="auto"/>
          <w:position w:val="2"/>
          <w:sz w:val="28"/>
          <w:szCs w:val="28"/>
        </w:rPr>
        <w:t>人口</w:t>
      </w:r>
      <w:r>
        <w:rPr>
          <w:rFonts w:hint="eastAsia" w:ascii="Times New Roman" w:hAnsi="Times New Roman"/>
          <w:color w:val="auto"/>
          <w:position w:val="2"/>
          <w:sz w:val="28"/>
          <w:szCs w:val="28"/>
          <w:lang w:eastAsia="zh-CN"/>
        </w:rPr>
        <w:t>不</w:t>
      </w:r>
      <w:r>
        <w:rPr>
          <w:rFonts w:ascii="Times New Roman" w:hAnsi="Times New Roman"/>
          <w:color w:val="auto"/>
          <w:position w:val="2"/>
          <w:sz w:val="28"/>
          <w:szCs w:val="28"/>
        </w:rPr>
        <w:t>超过</w:t>
      </w:r>
      <w:r>
        <w:rPr>
          <w:rFonts w:hint="eastAsia"/>
          <w:color w:val="auto"/>
          <w:position w:val="2"/>
          <w:sz w:val="28"/>
          <w:szCs w:val="28"/>
          <w:lang w:val="en-US" w:eastAsia="zh-CN"/>
        </w:rPr>
        <w:t>1~29</w:t>
      </w:r>
      <w:r>
        <w:rPr>
          <w:rFonts w:ascii="Times New Roman" w:hAnsi="Times New Roman"/>
          <w:color w:val="auto"/>
          <w:position w:val="2"/>
          <w:sz w:val="28"/>
          <w:szCs w:val="28"/>
        </w:rPr>
        <w:t>人，因此</w:t>
      </w:r>
      <w:r>
        <w:rPr>
          <w:rFonts w:ascii="Times New Roman" w:hAnsi="Times New Roman"/>
          <w:i/>
          <w:color w:val="auto"/>
          <w:sz w:val="28"/>
          <w:szCs w:val="28"/>
        </w:rPr>
        <w:t>α</w:t>
      </w:r>
      <w:r>
        <w:rPr>
          <w:rFonts w:ascii="Times New Roman" w:hAnsi="Times New Roman"/>
          <w:color w:val="auto"/>
          <w:sz w:val="28"/>
          <w:szCs w:val="28"/>
        </w:rPr>
        <w:t>＝</w:t>
      </w:r>
      <w:r>
        <w:rPr>
          <w:rFonts w:hint="eastAsia" w:ascii="Times New Roman" w:hAnsi="Times New Roman"/>
          <w:color w:val="auto"/>
          <w:sz w:val="28"/>
          <w:szCs w:val="28"/>
          <w:lang w:val="en-US" w:eastAsia="zh-CN"/>
        </w:rPr>
        <w:t>1</w:t>
      </w:r>
      <w:r>
        <w:rPr>
          <w:rFonts w:hint="eastAsia" w:ascii="Times New Roman" w:hAnsi="Times New Roman"/>
          <w:color w:val="auto"/>
          <w:sz w:val="28"/>
          <w:szCs w:val="28"/>
          <w:lang w:eastAsia="zh-CN"/>
        </w:rPr>
        <w:t>。</w:t>
      </w:r>
    </w:p>
    <w:p>
      <w:pPr>
        <w:numPr>
          <w:ilvl w:val="0"/>
          <w:numId w:val="0"/>
        </w:numPr>
        <w:bidi w:val="0"/>
        <w:ind w:firstLine="560" w:firstLineChars="200"/>
        <w:rPr>
          <w:rFonts w:ascii="Times New Roman" w:hAnsi="Times New Roman"/>
          <w:color w:val="auto"/>
          <w:sz w:val="28"/>
          <w:szCs w:val="28"/>
        </w:rPr>
      </w:pPr>
      <w:r>
        <w:rPr>
          <w:rFonts w:hint="eastAsia" w:ascii="Times New Roman" w:hAnsi="Times New Roman"/>
          <w:color w:val="auto"/>
          <w:sz w:val="28"/>
          <w:szCs w:val="28"/>
          <w:lang w:eastAsia="zh-CN"/>
        </w:rPr>
        <w:t>（</w:t>
      </w:r>
      <w:r>
        <w:rPr>
          <w:rFonts w:hint="eastAsia" w:ascii="Times New Roman" w:hAnsi="Times New Roman"/>
          <w:color w:val="auto"/>
          <w:sz w:val="28"/>
          <w:szCs w:val="28"/>
          <w:lang w:val="en-US" w:eastAsia="zh-CN"/>
        </w:rPr>
        <w:t>2</w:t>
      </w:r>
      <w:r>
        <w:rPr>
          <w:rFonts w:hint="eastAsia" w:ascii="Times New Roman" w:hAnsi="Times New Roman"/>
          <w:color w:val="auto"/>
          <w:sz w:val="28"/>
          <w:szCs w:val="28"/>
          <w:lang w:eastAsia="zh-CN"/>
        </w:rPr>
        <w:t>）校正</w:t>
      </w:r>
      <w:r>
        <w:rPr>
          <w:rFonts w:ascii="Times New Roman" w:hAnsi="Times New Roman"/>
          <w:color w:val="auto"/>
          <w:sz w:val="28"/>
          <w:szCs w:val="28"/>
        </w:rPr>
        <w:t>系数β的取值</w:t>
      </w:r>
    </w:p>
    <w:p>
      <w:pPr>
        <w:pStyle w:val="7"/>
        <w:rPr>
          <w:rFonts w:hint="eastAsia" w:ascii="Times New Roman" w:hAnsi="Times New Roman"/>
          <w:color w:val="auto"/>
          <w:sz w:val="28"/>
          <w:szCs w:val="28"/>
          <w:lang w:val="en-US" w:eastAsia="zh-CN"/>
        </w:rPr>
      </w:pPr>
      <w:r>
        <w:rPr>
          <w:rFonts w:ascii="Times New Roman" w:hAnsi="Times New Roman"/>
          <w:color w:val="auto"/>
          <w:sz w:val="28"/>
          <w:szCs w:val="28"/>
        </w:rPr>
        <w:t>根据</w:t>
      </w:r>
      <w:r>
        <w:rPr>
          <w:rFonts w:ascii="Times New Roman" w:hAnsi="Times New Roman"/>
          <w:color w:val="auto"/>
          <w:kern w:val="0"/>
          <w:sz w:val="28"/>
          <w:szCs w:val="28"/>
        </w:rPr>
        <w:t>《危险化学品重大危险源监督管理暂行规定》</w:t>
      </w:r>
      <w:r>
        <w:rPr>
          <w:rFonts w:ascii="Times New Roman" w:hAnsi="Times New Roman"/>
          <w:color w:val="auto"/>
          <w:sz w:val="28"/>
          <w:szCs w:val="28"/>
        </w:rPr>
        <w:t>国家安全生产监督管理总局令第40号附件1，β取值表见表</w:t>
      </w:r>
      <w:r>
        <w:rPr>
          <w:rFonts w:hint="eastAsia" w:ascii="Times New Roman" w:hAnsi="Times New Roman"/>
          <w:color w:val="auto"/>
          <w:sz w:val="28"/>
          <w:szCs w:val="28"/>
          <w:lang w:val="en-US" w:eastAsia="zh-CN"/>
        </w:rPr>
        <w:t>3.7-1、3.7-2，</w:t>
      </w:r>
      <w:r>
        <w:rPr>
          <w:rFonts w:hint="eastAsia" w:cs="宋体"/>
          <w:color w:val="auto"/>
        </w:rPr>
        <w:t>因此</w:t>
      </w:r>
      <w:r>
        <w:rPr>
          <w:rFonts w:hint="eastAsia" w:cs="宋体"/>
          <w:color w:val="auto"/>
          <w:lang w:val="en-US" w:eastAsia="zh-CN"/>
        </w:rPr>
        <w:t>氨</w:t>
      </w:r>
      <w:r>
        <w:rPr>
          <w:rFonts w:hint="eastAsia" w:cs="宋体"/>
          <w:color w:val="auto"/>
        </w:rPr>
        <w:t>的</w:t>
      </w:r>
      <w:r>
        <w:rPr>
          <w:color w:val="auto"/>
        </w:rPr>
        <w:t>β</w:t>
      </w:r>
      <w:r>
        <w:rPr>
          <w:rFonts w:hint="eastAsia" w:cs="宋体"/>
          <w:color w:val="auto"/>
        </w:rPr>
        <w:t>取值为</w:t>
      </w:r>
      <w:r>
        <w:rPr>
          <w:rFonts w:hint="eastAsia"/>
          <w:color w:val="auto"/>
          <w:lang w:val="en-US" w:eastAsia="zh-CN"/>
        </w:rPr>
        <w:t>2</w:t>
      </w:r>
      <w:r>
        <w:rPr>
          <w:rFonts w:hint="eastAsia" w:cs="宋体"/>
          <w:color w:val="auto"/>
        </w:rPr>
        <w:t>。</w:t>
      </w:r>
    </w:p>
    <w:p>
      <w:pPr>
        <w:pStyle w:val="28"/>
        <w:pageBreakBefore w:val="0"/>
        <w:widowControl w:val="0"/>
        <w:kinsoku/>
        <w:wordWrap/>
        <w:overflowPunct/>
        <w:topLinePunct w:val="0"/>
        <w:autoSpaceDE/>
        <w:autoSpaceDN/>
        <w:bidi w:val="0"/>
        <w:adjustRightInd/>
        <w:snapToGrid/>
        <w:spacing w:beforeLines="-2147483648" w:beforeAutospacing="0" w:afterLines="-2147483648" w:afterAutospacing="0" w:line="580" w:lineRule="exact"/>
        <w:ind w:left="31680"/>
        <w:textAlignment w:val="auto"/>
        <w:rPr>
          <w:rFonts w:hint="default" w:ascii="Times New Roman" w:hAnsi="Times New Roman" w:cs="Times New Roman"/>
          <w:b w:val="0"/>
          <w:color w:val="auto"/>
        </w:rPr>
      </w:pPr>
      <w:r>
        <w:rPr>
          <w:rFonts w:hint="default" w:ascii="Times New Roman" w:hAnsi="Times New Roman" w:eastAsia="宋体" w:cs="Times New Roman"/>
          <w:b w:val="0"/>
          <w:color w:val="auto"/>
        </w:rPr>
        <w:t>B</w:t>
      </w:r>
      <w:r>
        <w:rPr>
          <w:rFonts w:hint="default" w:ascii="Times New Roman" w:hAnsi="Times New Roman" w:cs="Times New Roman"/>
          <w:b w:val="0"/>
          <w:color w:val="auto"/>
        </w:rPr>
        <w:t>.</w:t>
      </w:r>
      <w:r>
        <w:rPr>
          <w:rFonts w:hint="default" w:ascii="Times New Roman" w:hAnsi="Times New Roman" w:eastAsia="宋体" w:cs="Times New Roman"/>
          <w:b w:val="0"/>
          <w:color w:val="auto"/>
        </w:rPr>
        <w:t>3</w:t>
      </w:r>
      <w:r>
        <w:rPr>
          <w:rFonts w:hint="default" w:ascii="Times New Roman" w:hAnsi="Times New Roman" w:cs="Times New Roman"/>
          <w:b w:val="0"/>
          <w:color w:val="auto"/>
        </w:rPr>
        <w:t>.2危险化学品的危险源辨识及分级</w:t>
      </w:r>
    </w:p>
    <w:p>
      <w:pPr>
        <w:ind w:firstLine="560" w:firstLineChars="200"/>
        <w:rPr>
          <w:rFonts w:ascii="Times New Roman" w:hAnsi="Times New Roman" w:cs="Times New Roman"/>
          <w:color w:val="auto"/>
          <w:szCs w:val="28"/>
        </w:rPr>
      </w:pPr>
      <w:r>
        <w:rPr>
          <w:rFonts w:hint="eastAsia" w:ascii="Times New Roman" w:hAnsi="Times New Roman" w:cs="宋体"/>
          <w:color w:val="auto"/>
          <w:szCs w:val="28"/>
        </w:rPr>
        <w:t>根据《危险化学品重大危险源辨识》</w:t>
      </w:r>
      <w:r>
        <w:rPr>
          <w:rFonts w:ascii="Times New Roman" w:hAnsi="Times New Roman" w:cs="Times New Roman"/>
          <w:color w:val="auto"/>
          <w:szCs w:val="28"/>
        </w:rPr>
        <w:t>GB18218-2018</w:t>
      </w:r>
      <w:r>
        <w:rPr>
          <w:rFonts w:hint="eastAsia" w:ascii="Times New Roman" w:hAnsi="Times New Roman" w:cs="宋体"/>
          <w:color w:val="auto"/>
          <w:szCs w:val="28"/>
        </w:rPr>
        <w:t>，该</w:t>
      </w:r>
      <w:r>
        <w:rPr>
          <w:rFonts w:hint="eastAsia" w:cs="宋体"/>
          <w:color w:val="auto"/>
          <w:szCs w:val="28"/>
          <w:lang w:eastAsia="zh-CN"/>
        </w:rPr>
        <w:t>项目</w:t>
      </w:r>
      <w:r>
        <w:rPr>
          <w:rFonts w:hint="eastAsia" w:ascii="Times New Roman" w:hAnsi="Times New Roman" w:cs="宋体"/>
          <w:color w:val="auto"/>
          <w:szCs w:val="28"/>
        </w:rPr>
        <w:t>涉及构成重大危险源物质的单元分为生产装置单元（</w:t>
      </w:r>
      <w:r>
        <w:rPr>
          <w:rFonts w:hint="eastAsia" w:cs="宋体"/>
          <w:color w:val="auto"/>
          <w:szCs w:val="28"/>
          <w:lang w:val="en-US" w:eastAsia="zh-CN"/>
        </w:rPr>
        <w:t>氨化车间</w:t>
      </w:r>
      <w:r>
        <w:rPr>
          <w:rFonts w:hint="eastAsia" w:ascii="Times New Roman" w:hAnsi="Times New Roman" w:cs="宋体"/>
          <w:color w:val="auto"/>
          <w:szCs w:val="28"/>
        </w:rPr>
        <w:t>）</w:t>
      </w:r>
      <w:r>
        <w:rPr>
          <w:rFonts w:hint="eastAsia" w:ascii="Times New Roman" w:hAnsi="Times New Roman" w:cs="宋体"/>
          <w:color w:val="auto"/>
          <w:szCs w:val="28"/>
          <w:lang w:eastAsia="zh-CN"/>
        </w:rPr>
        <w:t>。</w:t>
      </w:r>
      <w:r>
        <w:rPr>
          <w:rFonts w:hint="eastAsia" w:ascii="Times New Roman" w:hAnsi="Times New Roman" w:cs="宋体"/>
          <w:color w:val="auto"/>
          <w:szCs w:val="28"/>
          <w:lang w:val="en-US" w:eastAsia="zh-CN"/>
        </w:rPr>
        <w:t>储罐单元和</w:t>
      </w:r>
      <w:r>
        <w:rPr>
          <w:rFonts w:hint="eastAsia" w:ascii="Times New Roman" w:hAnsi="Times New Roman" w:cs="宋体"/>
          <w:color w:val="auto"/>
          <w:szCs w:val="28"/>
        </w:rPr>
        <w:t>其他</w:t>
      </w:r>
      <w:r>
        <w:rPr>
          <w:rFonts w:hint="eastAsia" w:ascii="Times New Roman" w:hAnsi="Times New Roman" w:cs="宋体"/>
          <w:color w:val="auto"/>
          <w:szCs w:val="28"/>
          <w:lang w:val="en-US" w:eastAsia="zh-CN"/>
        </w:rPr>
        <w:t>单元</w:t>
      </w:r>
      <w:r>
        <w:rPr>
          <w:rFonts w:hint="eastAsia" w:ascii="Times New Roman" w:hAnsi="Times New Roman" w:cs="宋体"/>
          <w:color w:val="auto"/>
          <w:szCs w:val="28"/>
        </w:rPr>
        <w:t>不涉及构成重大危险源物质的单元未列入。</w:t>
      </w:r>
    </w:p>
    <w:p>
      <w:pPr>
        <w:jc w:val="center"/>
        <w:rPr>
          <w:rFonts w:cs="Times New Roman"/>
          <w:color w:val="auto"/>
          <w:sz w:val="24"/>
          <w:szCs w:val="24"/>
          <w:lang w:val="zh-CN"/>
        </w:rPr>
      </w:pPr>
      <w:r>
        <w:rPr>
          <w:rFonts w:hint="eastAsia" w:cs="宋体"/>
          <w:color w:val="auto"/>
          <w:sz w:val="24"/>
          <w:szCs w:val="24"/>
        </w:rPr>
        <w:t>表</w:t>
      </w:r>
      <w:r>
        <w:rPr>
          <w:rFonts w:cs="Times New Roman"/>
          <w:color w:val="auto"/>
          <w:sz w:val="24"/>
          <w:szCs w:val="24"/>
        </w:rPr>
        <w:t>B.3.2-</w:t>
      </w:r>
      <w:r>
        <w:rPr>
          <w:rFonts w:hint="eastAsia" w:cs="Times New Roman"/>
          <w:color w:val="auto"/>
          <w:sz w:val="24"/>
          <w:szCs w:val="24"/>
          <w:lang w:val="en-US" w:eastAsia="zh-CN"/>
        </w:rPr>
        <w:t>1</w:t>
      </w:r>
      <w:r>
        <w:rPr>
          <w:rFonts w:cs="Times New Roman"/>
          <w:color w:val="auto"/>
          <w:sz w:val="24"/>
          <w:szCs w:val="24"/>
        </w:rPr>
        <w:t xml:space="preserve"> </w:t>
      </w:r>
      <w:r>
        <w:rPr>
          <w:rFonts w:hint="eastAsia" w:cs="宋体"/>
          <w:color w:val="auto"/>
          <w:sz w:val="24"/>
          <w:szCs w:val="24"/>
          <w:lang w:val="en-US" w:eastAsia="zh-CN"/>
        </w:rPr>
        <w:t>101车间生产</w:t>
      </w:r>
      <w:r>
        <w:rPr>
          <w:rFonts w:hint="eastAsia" w:cs="宋体"/>
          <w:color w:val="auto"/>
          <w:sz w:val="24"/>
          <w:szCs w:val="24"/>
        </w:rPr>
        <w:t>单元</w:t>
      </w:r>
      <w:r>
        <w:rPr>
          <w:rFonts w:hint="eastAsia" w:cs="宋体"/>
          <w:color w:val="auto"/>
          <w:sz w:val="24"/>
          <w:szCs w:val="24"/>
          <w:lang w:val="zh-CN"/>
        </w:rPr>
        <w:t>危险化学品重大危险源辨识和分级一览表</w:t>
      </w:r>
    </w:p>
    <w:tbl>
      <w:tblPr>
        <w:tblStyle w:val="19"/>
        <w:tblW w:w="9281"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664"/>
        <w:gridCol w:w="1463"/>
        <w:gridCol w:w="1959"/>
        <w:gridCol w:w="1976"/>
        <w:gridCol w:w="1003"/>
        <w:gridCol w:w="1094"/>
        <w:gridCol w:w="112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664" w:type="dxa"/>
            <w:tcBorders>
              <w:top w:val="single" w:color="auto" w:sz="2" w:space="0"/>
            </w:tcBorders>
            <w:vAlign w:val="center"/>
          </w:tcPr>
          <w:p>
            <w:pPr>
              <w:autoSpaceDE w:val="0"/>
              <w:autoSpaceDN w:val="0"/>
              <w:adjustRightInd w:val="0"/>
              <w:spacing w:line="240" w:lineRule="auto"/>
              <w:jc w:val="center"/>
              <w:rPr>
                <w:rFonts w:cs="Times New Roman"/>
                <w:color w:val="auto"/>
                <w:sz w:val="21"/>
                <w:szCs w:val="21"/>
                <w:lang w:val="zh-CN"/>
              </w:rPr>
            </w:pPr>
            <w:r>
              <w:rPr>
                <w:rFonts w:hint="eastAsia" w:cs="宋体"/>
                <w:color w:val="auto"/>
                <w:sz w:val="21"/>
                <w:szCs w:val="21"/>
                <w:lang w:val="zh-CN"/>
              </w:rPr>
              <w:t>序号</w:t>
            </w:r>
          </w:p>
        </w:tc>
        <w:tc>
          <w:tcPr>
            <w:tcW w:w="1463" w:type="dxa"/>
            <w:tcBorders>
              <w:top w:val="single" w:color="auto" w:sz="2" w:space="0"/>
            </w:tcBorders>
            <w:vAlign w:val="center"/>
          </w:tcPr>
          <w:p>
            <w:pPr>
              <w:autoSpaceDE w:val="0"/>
              <w:autoSpaceDN w:val="0"/>
              <w:adjustRightInd w:val="0"/>
              <w:spacing w:line="240" w:lineRule="auto"/>
              <w:jc w:val="center"/>
              <w:rPr>
                <w:rFonts w:cs="Times New Roman"/>
                <w:color w:val="auto"/>
                <w:sz w:val="21"/>
                <w:szCs w:val="21"/>
                <w:lang w:val="zh-CN"/>
              </w:rPr>
            </w:pPr>
            <w:r>
              <w:rPr>
                <w:rFonts w:hint="eastAsia" w:cs="宋体"/>
                <w:color w:val="auto"/>
                <w:sz w:val="21"/>
                <w:szCs w:val="21"/>
                <w:lang w:val="zh-CN"/>
              </w:rPr>
              <w:t>名称</w:t>
            </w:r>
          </w:p>
        </w:tc>
        <w:tc>
          <w:tcPr>
            <w:tcW w:w="1959" w:type="dxa"/>
            <w:tcBorders>
              <w:top w:val="single" w:color="auto" w:sz="2" w:space="0"/>
            </w:tcBorders>
            <w:vAlign w:val="center"/>
          </w:tcPr>
          <w:p>
            <w:pPr>
              <w:autoSpaceDE w:val="0"/>
              <w:autoSpaceDN w:val="0"/>
              <w:adjustRightInd w:val="0"/>
              <w:spacing w:line="240" w:lineRule="auto"/>
              <w:jc w:val="center"/>
              <w:rPr>
                <w:rFonts w:cs="Times New Roman"/>
                <w:color w:val="auto"/>
                <w:sz w:val="21"/>
                <w:szCs w:val="21"/>
                <w:lang w:val="zh-CN"/>
              </w:rPr>
            </w:pPr>
            <w:r>
              <w:rPr>
                <w:rFonts w:hint="eastAsia" w:cs="宋体"/>
                <w:color w:val="auto"/>
                <w:sz w:val="21"/>
                <w:szCs w:val="21"/>
                <w:lang w:val="zh-CN"/>
              </w:rPr>
              <w:t>危险性分类及说明</w:t>
            </w:r>
          </w:p>
        </w:tc>
        <w:tc>
          <w:tcPr>
            <w:tcW w:w="1976" w:type="dxa"/>
            <w:tcBorders>
              <w:top w:val="single" w:color="auto" w:sz="2" w:space="0"/>
            </w:tcBorders>
            <w:vAlign w:val="center"/>
          </w:tcPr>
          <w:p>
            <w:pPr>
              <w:autoSpaceDE w:val="0"/>
              <w:autoSpaceDN w:val="0"/>
              <w:adjustRightInd w:val="0"/>
              <w:spacing w:line="240" w:lineRule="auto"/>
              <w:jc w:val="center"/>
              <w:rPr>
                <w:rFonts w:cs="Times New Roman"/>
                <w:color w:val="auto"/>
                <w:sz w:val="21"/>
                <w:szCs w:val="21"/>
                <w:lang w:val="zh-CN"/>
              </w:rPr>
            </w:pPr>
            <w:r>
              <w:rPr>
                <w:rFonts w:hint="eastAsia" w:cs="宋体"/>
                <w:color w:val="auto"/>
                <w:sz w:val="21"/>
                <w:szCs w:val="21"/>
                <w:lang w:val="zh-CN"/>
              </w:rPr>
              <w:t>状态</w:t>
            </w:r>
          </w:p>
        </w:tc>
        <w:tc>
          <w:tcPr>
            <w:tcW w:w="1003" w:type="dxa"/>
            <w:tcBorders>
              <w:top w:val="single" w:color="auto" w:sz="2" w:space="0"/>
            </w:tcBorders>
            <w:vAlign w:val="center"/>
          </w:tcPr>
          <w:p>
            <w:pPr>
              <w:autoSpaceDE w:val="0"/>
              <w:autoSpaceDN w:val="0"/>
              <w:adjustRightInd w:val="0"/>
              <w:spacing w:line="240" w:lineRule="auto"/>
              <w:jc w:val="center"/>
              <w:rPr>
                <w:rFonts w:cs="Times New Roman"/>
                <w:color w:val="auto"/>
                <w:sz w:val="21"/>
                <w:szCs w:val="21"/>
                <w:lang w:val="zh-CN"/>
              </w:rPr>
            </w:pPr>
            <w:r>
              <w:rPr>
                <w:rFonts w:hint="eastAsia" w:cs="宋体"/>
                <w:color w:val="auto"/>
                <w:sz w:val="21"/>
                <w:szCs w:val="21"/>
                <w:lang w:val="zh-CN"/>
              </w:rPr>
              <w:t>临界量（</w:t>
            </w:r>
            <w:r>
              <w:rPr>
                <w:rFonts w:cs="Times New Roman"/>
                <w:color w:val="auto"/>
                <w:sz w:val="21"/>
                <w:szCs w:val="21"/>
                <w:lang w:val="zh-CN"/>
              </w:rPr>
              <w:t>t</w:t>
            </w:r>
            <w:r>
              <w:rPr>
                <w:rFonts w:hint="eastAsia" w:cs="宋体"/>
                <w:color w:val="auto"/>
                <w:sz w:val="21"/>
                <w:szCs w:val="21"/>
                <w:lang w:val="zh-CN"/>
              </w:rPr>
              <w:t>）</w:t>
            </w:r>
          </w:p>
        </w:tc>
        <w:tc>
          <w:tcPr>
            <w:tcW w:w="1094" w:type="dxa"/>
            <w:tcBorders>
              <w:top w:val="single" w:color="auto" w:sz="2" w:space="0"/>
            </w:tcBorders>
            <w:vAlign w:val="center"/>
          </w:tcPr>
          <w:p>
            <w:pPr>
              <w:autoSpaceDE w:val="0"/>
              <w:autoSpaceDN w:val="0"/>
              <w:adjustRightInd w:val="0"/>
              <w:spacing w:line="240" w:lineRule="auto"/>
              <w:jc w:val="center"/>
              <w:rPr>
                <w:rFonts w:cs="Times New Roman"/>
                <w:color w:val="auto"/>
                <w:sz w:val="21"/>
                <w:szCs w:val="21"/>
                <w:lang w:val="zh-CN"/>
              </w:rPr>
            </w:pPr>
            <w:r>
              <w:rPr>
                <w:rFonts w:hint="eastAsia" w:cs="宋体"/>
                <w:color w:val="auto"/>
                <w:sz w:val="21"/>
                <w:szCs w:val="21"/>
                <w:lang w:val="zh-CN"/>
              </w:rPr>
              <w:t>最大量（</w:t>
            </w:r>
            <w:r>
              <w:rPr>
                <w:rFonts w:cs="Times New Roman"/>
                <w:color w:val="auto"/>
                <w:sz w:val="21"/>
                <w:szCs w:val="21"/>
                <w:lang w:val="zh-CN"/>
              </w:rPr>
              <w:t>t</w:t>
            </w:r>
            <w:r>
              <w:rPr>
                <w:rFonts w:hint="eastAsia" w:cs="宋体"/>
                <w:color w:val="auto"/>
                <w:sz w:val="21"/>
                <w:szCs w:val="21"/>
                <w:lang w:val="zh-CN"/>
              </w:rPr>
              <w:t>）</w:t>
            </w:r>
          </w:p>
        </w:tc>
        <w:tc>
          <w:tcPr>
            <w:tcW w:w="1122" w:type="dxa"/>
            <w:tcBorders>
              <w:top w:val="single" w:color="auto" w:sz="2" w:space="0"/>
            </w:tcBorders>
            <w:vAlign w:val="center"/>
          </w:tcPr>
          <w:p>
            <w:pPr>
              <w:autoSpaceDE w:val="0"/>
              <w:autoSpaceDN w:val="0"/>
              <w:adjustRightInd w:val="0"/>
              <w:spacing w:line="240" w:lineRule="auto"/>
              <w:jc w:val="center"/>
              <w:rPr>
                <w:rFonts w:cs="Times New Roman"/>
                <w:color w:val="auto"/>
                <w:sz w:val="21"/>
                <w:szCs w:val="21"/>
                <w:lang w:val="zh-CN"/>
              </w:rPr>
            </w:pPr>
            <w:r>
              <w:rPr>
                <w:rFonts w:cs="Times New Roman"/>
                <w:color w:val="auto"/>
                <w:sz w:val="21"/>
                <w:szCs w:val="21"/>
                <w:lang w:val="zh-CN"/>
              </w:rPr>
              <w:t>q/Q</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664" w:type="dxa"/>
            <w:vAlign w:val="center"/>
          </w:tcPr>
          <w:p>
            <w:pPr>
              <w:autoSpaceDE w:val="0"/>
              <w:autoSpaceDN w:val="0"/>
              <w:adjustRightInd w:val="0"/>
              <w:spacing w:line="240" w:lineRule="auto"/>
              <w:jc w:val="center"/>
              <w:rPr>
                <w:rFonts w:cs="Times New Roman"/>
                <w:color w:val="auto"/>
                <w:sz w:val="21"/>
                <w:szCs w:val="21"/>
              </w:rPr>
            </w:pPr>
            <w:r>
              <w:rPr>
                <w:rFonts w:cs="Times New Roman"/>
                <w:color w:val="auto"/>
                <w:sz w:val="21"/>
                <w:szCs w:val="21"/>
              </w:rPr>
              <w:t>1</w:t>
            </w:r>
          </w:p>
        </w:tc>
        <w:tc>
          <w:tcPr>
            <w:tcW w:w="1463" w:type="dxa"/>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lang w:val="zh-CN" w:eastAsia="zh-CN" w:bidi="ar-SA"/>
              </w:rPr>
            </w:pPr>
            <w:r>
              <w:rPr>
                <w:rFonts w:hint="eastAsia" w:cs="Times New Roman"/>
                <w:color w:val="auto"/>
                <w:kern w:val="2"/>
                <w:sz w:val="21"/>
                <w:szCs w:val="21"/>
                <w:lang w:val="en-US" w:eastAsia="zh-CN" w:bidi="ar-SA"/>
              </w:rPr>
              <w:t>氨</w:t>
            </w:r>
          </w:p>
        </w:tc>
        <w:tc>
          <w:tcPr>
            <w:tcW w:w="1959" w:type="dxa"/>
            <w:vAlign w:val="center"/>
          </w:tcPr>
          <w:p>
            <w:pPr>
              <w:widowControl/>
              <w:spacing w:line="240" w:lineRule="auto"/>
              <w:jc w:val="center"/>
              <w:rPr>
                <w:rFonts w:hint="eastAsia" w:ascii="Times New Roman" w:hAnsi="Times New Roman" w:eastAsia="宋体" w:cs="Times New Roman"/>
                <w:color w:val="auto"/>
                <w:kern w:val="0"/>
                <w:sz w:val="21"/>
                <w:szCs w:val="21"/>
                <w:lang w:val="zh-CN" w:eastAsia="zh-CN" w:bidi="ar-SA"/>
              </w:rPr>
            </w:pPr>
            <w:r>
              <w:rPr>
                <w:rFonts w:hint="eastAsia" w:cs="宋体"/>
                <w:color w:val="auto"/>
                <w:kern w:val="0"/>
                <w:sz w:val="21"/>
                <w:szCs w:val="21"/>
              </w:rPr>
              <w:t>表</w:t>
            </w:r>
            <w:r>
              <w:rPr>
                <w:rFonts w:cs="Times New Roman"/>
                <w:color w:val="auto"/>
                <w:kern w:val="0"/>
                <w:sz w:val="21"/>
                <w:szCs w:val="21"/>
              </w:rPr>
              <w:t>1</w:t>
            </w:r>
          </w:p>
        </w:tc>
        <w:tc>
          <w:tcPr>
            <w:tcW w:w="1976" w:type="dxa"/>
            <w:vAlign w:val="center"/>
          </w:tcPr>
          <w:p>
            <w:pPr>
              <w:autoSpaceDE w:val="0"/>
              <w:autoSpaceDN w:val="0"/>
              <w:adjustRightInd w:val="0"/>
              <w:spacing w:line="240" w:lineRule="auto"/>
              <w:jc w:val="center"/>
              <w:rPr>
                <w:rFonts w:cs="Times New Roman"/>
                <w:color w:val="auto"/>
                <w:sz w:val="21"/>
                <w:szCs w:val="21"/>
                <w:lang w:val="zh-CN"/>
              </w:rPr>
            </w:pPr>
            <w:r>
              <w:rPr>
                <w:rFonts w:cs="Times New Roman"/>
                <w:color w:val="auto"/>
                <w:sz w:val="21"/>
                <w:szCs w:val="21"/>
              </w:rPr>
              <w:t>/</w:t>
            </w:r>
          </w:p>
        </w:tc>
        <w:tc>
          <w:tcPr>
            <w:tcW w:w="1003" w:type="dxa"/>
            <w:vAlign w:val="center"/>
          </w:tcPr>
          <w:p>
            <w:pPr>
              <w:autoSpaceDE w:val="0"/>
              <w:autoSpaceDN w:val="0"/>
              <w:adjustRightInd w:val="0"/>
              <w:spacing w:line="240" w:lineRule="auto"/>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10</w:t>
            </w:r>
          </w:p>
        </w:tc>
        <w:tc>
          <w:tcPr>
            <w:tcW w:w="1094" w:type="dxa"/>
            <w:vAlign w:val="center"/>
          </w:tcPr>
          <w:p>
            <w:pPr>
              <w:autoSpaceDE w:val="0"/>
              <w:autoSpaceDN w:val="0"/>
              <w:adjustRightInd w:val="0"/>
              <w:spacing w:line="240" w:lineRule="auto"/>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w:t>
            </w:r>
          </w:p>
        </w:tc>
        <w:tc>
          <w:tcPr>
            <w:tcW w:w="1122" w:type="dxa"/>
            <w:vAlign w:val="center"/>
          </w:tcPr>
          <w:p>
            <w:pPr>
              <w:autoSpaceDE w:val="0"/>
              <w:autoSpaceDN w:val="0"/>
              <w:adjustRightInd w:val="0"/>
              <w:spacing w:line="240" w:lineRule="auto"/>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664" w:type="dxa"/>
            <w:vAlign w:val="center"/>
          </w:tcPr>
          <w:p>
            <w:pPr>
              <w:autoSpaceDE w:val="0"/>
              <w:autoSpaceDN w:val="0"/>
              <w:adjustRightInd w:val="0"/>
              <w:spacing w:line="240" w:lineRule="auto"/>
              <w:jc w:val="center"/>
              <w:rPr>
                <w:rFonts w:cs="Times New Roman"/>
                <w:color w:val="auto"/>
                <w:sz w:val="21"/>
                <w:szCs w:val="21"/>
                <w:lang w:val="zh-CN"/>
              </w:rPr>
            </w:pPr>
          </w:p>
        </w:tc>
        <w:tc>
          <w:tcPr>
            <w:tcW w:w="1463" w:type="dxa"/>
            <w:vAlign w:val="center"/>
          </w:tcPr>
          <w:p>
            <w:pPr>
              <w:autoSpaceDE w:val="0"/>
              <w:autoSpaceDN w:val="0"/>
              <w:adjustRightInd w:val="0"/>
              <w:spacing w:line="240" w:lineRule="auto"/>
              <w:jc w:val="center"/>
              <w:rPr>
                <w:rFonts w:cs="Times New Roman"/>
                <w:color w:val="auto"/>
                <w:sz w:val="21"/>
                <w:szCs w:val="21"/>
                <w:lang w:val="zh-CN"/>
              </w:rPr>
            </w:pPr>
            <w:r>
              <w:rPr>
                <w:rFonts w:hint="eastAsia" w:cs="宋体"/>
                <w:color w:val="auto"/>
                <w:sz w:val="21"/>
                <w:szCs w:val="21"/>
              </w:rPr>
              <w:t>重大危险源辨识结论</w:t>
            </w:r>
          </w:p>
        </w:tc>
        <w:tc>
          <w:tcPr>
            <w:tcW w:w="7154" w:type="dxa"/>
            <w:gridSpan w:val="5"/>
            <w:vAlign w:val="center"/>
          </w:tcPr>
          <w:p>
            <w:pPr>
              <w:autoSpaceDE w:val="0"/>
              <w:autoSpaceDN w:val="0"/>
              <w:adjustRightInd w:val="0"/>
              <w:spacing w:line="240" w:lineRule="auto"/>
              <w:jc w:val="center"/>
              <w:rPr>
                <w:rFonts w:cs="Times New Roman"/>
                <w:color w:val="auto"/>
                <w:sz w:val="21"/>
                <w:szCs w:val="21"/>
                <w:lang w:val="zh-CN"/>
              </w:rPr>
            </w:pPr>
            <w:r>
              <w:rPr>
                <w:rFonts w:cs="Times New Roman"/>
                <w:color w:val="auto"/>
                <w:sz w:val="21"/>
                <w:szCs w:val="21"/>
                <w:lang w:val="zh-CN"/>
              </w:rPr>
              <w:t>∑ q/Q</w:t>
            </w:r>
            <w:r>
              <w:rPr>
                <w:rFonts w:cs="Times New Roman"/>
                <w:color w:val="auto"/>
                <w:sz w:val="21"/>
                <w:szCs w:val="21"/>
              </w:rPr>
              <w:t>=</w:t>
            </w:r>
            <w:r>
              <w:rPr>
                <w:rFonts w:hint="eastAsia" w:cs="Times New Roman"/>
                <w:color w:val="auto"/>
                <w:sz w:val="21"/>
                <w:szCs w:val="21"/>
                <w:lang w:val="en-US" w:eastAsia="zh-CN"/>
              </w:rPr>
              <w:t>0.1＜1</w:t>
            </w:r>
            <w:r>
              <w:rPr>
                <w:rFonts w:hint="eastAsia" w:cs="宋体"/>
                <w:color w:val="auto"/>
                <w:sz w:val="21"/>
                <w:szCs w:val="21"/>
              </w:rPr>
              <w:t>，</w:t>
            </w:r>
            <w:r>
              <w:rPr>
                <w:rFonts w:hint="eastAsia" w:cs="宋体"/>
                <w:color w:val="auto"/>
                <w:sz w:val="21"/>
                <w:szCs w:val="21"/>
                <w:lang w:eastAsia="zh-CN"/>
              </w:rPr>
              <w:t>不</w:t>
            </w:r>
            <w:r>
              <w:rPr>
                <w:rFonts w:hint="eastAsia" w:cs="宋体"/>
                <w:color w:val="auto"/>
                <w:sz w:val="21"/>
                <w:szCs w:val="21"/>
              </w:rPr>
              <w:t>构成重大危险源</w:t>
            </w:r>
          </w:p>
        </w:tc>
      </w:tr>
    </w:tbl>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因此</w:t>
      </w:r>
      <w:r>
        <w:rPr>
          <w:rFonts w:hint="default" w:ascii="Times New Roman" w:hAnsi="Times New Roman" w:eastAsia="宋体" w:cs="Times New Roman"/>
          <w:color w:val="auto"/>
        </w:rPr>
        <w:t>根据《危险化学品重大危险源辨识》的定义和《危险化学品重大危险源监督管理暂行规定》（国家安全生产监督管理总局令第40号，根据2015年5月27日国家安全监管总局令第79号修正）得出结论如下：该项目</w:t>
      </w:r>
      <w:r>
        <w:rPr>
          <w:rFonts w:hint="default" w:ascii="Times New Roman" w:hAnsi="Times New Roman" w:eastAsia="宋体" w:cs="Times New Roman"/>
          <w:color w:val="auto"/>
          <w:lang w:val="en-US" w:eastAsia="zh-CN"/>
        </w:rPr>
        <w:t>各</w:t>
      </w:r>
      <w:r>
        <w:rPr>
          <w:rFonts w:hint="default" w:ascii="Times New Roman" w:hAnsi="Times New Roman" w:eastAsia="宋体" w:cs="Times New Roman"/>
          <w:color w:val="auto"/>
        </w:rPr>
        <w:t>单元均不构成重大危险源。</w:t>
      </w:r>
    </w:p>
    <w:p>
      <w:pPr>
        <w:bidi w:val="0"/>
        <w:rPr>
          <w:rFonts w:hint="default" w:ascii="Times New Roman" w:hAnsi="Times New Roman" w:cs="Times New Roman"/>
          <w:color w:val="auto"/>
          <w:lang w:eastAsia="zh-CN"/>
        </w:rPr>
      </w:pPr>
      <w:r>
        <w:rPr>
          <w:rFonts w:hint="default" w:ascii="Times New Roman" w:hAnsi="Times New Roman" w:eastAsia="黑体" w:cs="Times New Roman"/>
          <w:color w:val="auto"/>
          <w:kern w:val="10"/>
          <w:sz w:val="32"/>
          <w:szCs w:val="32"/>
          <w:lang w:val="en-US" w:eastAsia="zh-CN" w:bidi="ar-SA"/>
        </w:rPr>
        <w:br w:type="page"/>
      </w:r>
    </w:p>
    <w:p>
      <w:pPr>
        <w:keepNext/>
        <w:keepLines/>
        <w:widowControl w:val="0"/>
        <w:spacing w:line="600" w:lineRule="exact"/>
        <w:jc w:val="center"/>
        <w:outlineLvl w:val="0"/>
        <w:rPr>
          <w:rFonts w:hint="default" w:ascii="Times New Roman" w:hAnsi="Times New Roman" w:eastAsia="黑体" w:cs="Times New Roman"/>
          <w:color w:val="auto"/>
          <w:kern w:val="10"/>
          <w:sz w:val="32"/>
          <w:szCs w:val="32"/>
          <w:lang w:val="en-US" w:eastAsia="zh-CN" w:bidi="ar-SA"/>
        </w:rPr>
      </w:pPr>
      <w:bookmarkStart w:id="150" w:name="_Toc19561"/>
      <w:r>
        <w:rPr>
          <w:rFonts w:hint="default" w:ascii="Times New Roman" w:hAnsi="Times New Roman" w:eastAsia="黑体" w:cs="Times New Roman"/>
          <w:color w:val="auto"/>
          <w:kern w:val="10"/>
          <w:sz w:val="32"/>
          <w:szCs w:val="32"/>
          <w:lang w:val="en-US" w:eastAsia="zh-CN" w:bidi="ar-SA"/>
        </w:rPr>
        <w:t>附件C定性、定量分析危险、有害程度的过程</w:t>
      </w:r>
      <w:bookmarkEnd w:id="150"/>
    </w:p>
    <w:p>
      <w:pPr>
        <w:keepNext/>
        <w:widowControl w:val="0"/>
        <w:spacing w:line="600" w:lineRule="exact"/>
        <w:jc w:val="center"/>
        <w:outlineLvl w:val="1"/>
        <w:rPr>
          <w:rFonts w:hint="default" w:ascii="Times New Roman" w:hAnsi="Times New Roman" w:eastAsia="黑体" w:cs="Times New Roman"/>
          <w:color w:val="auto"/>
          <w:kern w:val="0"/>
          <w:szCs w:val="24"/>
        </w:rPr>
      </w:pPr>
      <w:bookmarkStart w:id="151" w:name="_Toc8451"/>
      <w:r>
        <w:rPr>
          <w:rFonts w:hint="default" w:ascii="Times New Roman" w:hAnsi="Times New Roman" w:eastAsia="黑体" w:cs="Times New Roman"/>
          <w:color w:val="auto"/>
          <w:kern w:val="0"/>
          <w:szCs w:val="24"/>
        </w:rPr>
        <w:t>C.1项目选址与周边环境单元</w:t>
      </w:r>
      <w:bookmarkEnd w:id="151"/>
    </w:p>
    <w:p>
      <w:pPr>
        <w:ind w:firstLine="560" w:firstLineChars="200"/>
        <w:rPr>
          <w:rFonts w:hint="default" w:ascii="Times New Roman" w:hAnsi="Times New Roman" w:eastAsia="宋体" w:cs="Times New Roman"/>
          <w:color w:val="auto"/>
        </w:rPr>
      </w:pPr>
      <w:r>
        <w:rPr>
          <w:rFonts w:hint="default" w:ascii="Times New Roman" w:hAnsi="Times New Roman" w:cs="Times New Roman"/>
          <w:color w:val="auto"/>
        </w:rPr>
        <w:t>该项目拟建设于</w:t>
      </w:r>
      <w:r>
        <w:rPr>
          <w:rFonts w:hint="default" w:ascii="Times New Roman" w:hAnsi="Times New Roman" w:eastAsia="宋体" w:cs="Times New Roman"/>
          <w:color w:val="auto"/>
          <w:kern w:val="0"/>
          <w:sz w:val="28"/>
          <w:szCs w:val="28"/>
          <w:lang w:val="en-US" w:eastAsia="zh-CN" w:bidi="ar"/>
        </w:rPr>
        <w:t>江西省九江市彭泽县矶山工业园区江西心连心化学工业有限公司</w:t>
      </w:r>
      <w:r>
        <w:rPr>
          <w:rFonts w:hint="default" w:ascii="Times New Roman" w:hAnsi="Times New Roman" w:cs="Times New Roman"/>
          <w:color w:val="auto"/>
        </w:rPr>
        <w:t>预留用地范围内</w:t>
      </w:r>
      <w:r>
        <w:rPr>
          <w:rFonts w:hint="default" w:ascii="Times New Roman" w:hAnsi="Times New Roman" w:cs="Times New Roman"/>
          <w:color w:val="auto"/>
          <w:lang w:eastAsia="zh-CN"/>
        </w:rPr>
        <w:t>，</w:t>
      </w:r>
      <w:r>
        <w:rPr>
          <w:rFonts w:hint="default" w:ascii="Times New Roman" w:hAnsi="Times New Roman" w:eastAsia="宋体" w:cs="Times New Roman"/>
          <w:color w:val="auto"/>
        </w:rPr>
        <w:t>不属于基本农田和耕地，符合城市发展规划及土地利用政策。该地</w:t>
      </w:r>
      <w:r>
        <w:rPr>
          <w:rFonts w:hint="default" w:ascii="Times New Roman" w:hAnsi="Times New Roman" w:eastAsia="宋体" w:cs="Times New Roman"/>
          <w:color w:val="auto"/>
          <w:lang w:val="en-US" w:eastAsia="zh-CN"/>
        </w:rPr>
        <w:t>北</w:t>
      </w:r>
      <w:r>
        <w:rPr>
          <w:rFonts w:hint="default" w:ascii="Times New Roman" w:hAnsi="Times New Roman" w:eastAsia="宋体" w:cs="Times New Roman"/>
          <w:color w:val="auto"/>
        </w:rPr>
        <w:t>侧距</w:t>
      </w:r>
      <w:r>
        <w:rPr>
          <w:rFonts w:hint="default" w:ascii="Times New Roman" w:hAnsi="Times New Roman" w:eastAsia="宋体" w:cs="Times New Roman"/>
          <w:color w:val="auto"/>
          <w:lang w:val="en-US" w:eastAsia="zh-CN"/>
        </w:rPr>
        <w:t>长江大于1000m</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厂址周边1000m范围内无商业中心、公园等人员密集场所及重要公共设施。项目周边1000m范围内无基本农田保护区、基本草原、畜禽遗传资源保护区、畜禽规模化养殖场（养殖小区）、渔业水域以及种子、种畜禽、水产苗种生产基地；项目周边1000m范围内无湖泊、风景名胜区和自然保护区。项目周边无军事禁区、军事管理区；项目周边无法律、行政法规规定予以保护的其他区域。</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表C.1-1 周边环境符合性情况一览表</w:t>
      </w:r>
    </w:p>
    <w:tbl>
      <w:tblPr>
        <w:tblStyle w:val="19"/>
        <w:tblW w:w="5038"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463"/>
        <w:gridCol w:w="2343"/>
        <w:gridCol w:w="811"/>
        <w:gridCol w:w="705"/>
        <w:gridCol w:w="3828"/>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47"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方向</w:t>
            </w:r>
          </w:p>
        </w:tc>
        <w:tc>
          <w:tcPr>
            <w:tcW w:w="1251"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与周边设施名称</w:t>
            </w:r>
          </w:p>
        </w:tc>
        <w:tc>
          <w:tcPr>
            <w:tcW w:w="433"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拟设距离（m）</w:t>
            </w:r>
          </w:p>
        </w:tc>
        <w:tc>
          <w:tcPr>
            <w:tcW w:w="376"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规范距离（m）</w:t>
            </w:r>
          </w:p>
        </w:tc>
        <w:tc>
          <w:tcPr>
            <w:tcW w:w="2045"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检查依据</w:t>
            </w:r>
          </w:p>
        </w:tc>
        <w:tc>
          <w:tcPr>
            <w:tcW w:w="39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46" w:type="pct"/>
            <w:vMerge w:val="restar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47" w:type="pct"/>
            <w:vMerge w:val="restar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东北</w:t>
            </w:r>
          </w:p>
        </w:tc>
        <w:tc>
          <w:tcPr>
            <w:tcW w:w="1251" w:type="pct"/>
            <w:vMerge w:val="restar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九江杜威橡胶科技有限公司甲类厂房</w:t>
            </w:r>
          </w:p>
        </w:tc>
        <w:tc>
          <w:tcPr>
            <w:tcW w:w="43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283</w:t>
            </w:r>
          </w:p>
        </w:tc>
        <w:tc>
          <w:tcPr>
            <w:tcW w:w="376"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2045"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建筑设计防火规范（2018版）</w:t>
            </w: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3.4.1</w:t>
            </w:r>
            <w:r>
              <w:rPr>
                <w:rFonts w:hint="default" w:ascii="Times New Roman" w:hAnsi="Times New Roman" w:eastAsia="宋体" w:cs="Times New Roman"/>
                <w:color w:val="auto"/>
                <w:sz w:val="21"/>
                <w:szCs w:val="21"/>
              </w:rPr>
              <w:t>条；以最近的</w:t>
            </w:r>
            <w:r>
              <w:rPr>
                <w:rFonts w:hint="default" w:ascii="Times New Roman" w:hAnsi="Times New Roman" w:cs="Times New Roman"/>
                <w:color w:val="auto"/>
                <w:sz w:val="21"/>
                <w:szCs w:val="21"/>
                <w:lang w:eastAsia="zh-CN"/>
              </w:rPr>
              <w:t>氨化车间</w:t>
            </w:r>
            <w:r>
              <w:rPr>
                <w:rFonts w:hint="default" w:ascii="Times New Roman" w:hAnsi="Times New Roman" w:eastAsia="宋体" w:cs="Times New Roman"/>
                <w:color w:val="auto"/>
                <w:sz w:val="21"/>
                <w:szCs w:val="21"/>
              </w:rPr>
              <w:t>为参照物</w:t>
            </w:r>
          </w:p>
        </w:tc>
        <w:tc>
          <w:tcPr>
            <w:tcW w:w="39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46" w:type="pct"/>
            <w:vMerge w:val="continue"/>
            <w:vAlign w:val="center"/>
          </w:tcPr>
          <w:p>
            <w:pPr>
              <w:spacing w:line="240" w:lineRule="auto"/>
              <w:jc w:val="center"/>
            </w:pPr>
          </w:p>
        </w:tc>
        <w:tc>
          <w:tcPr>
            <w:tcW w:w="247" w:type="pct"/>
            <w:vMerge w:val="continue"/>
            <w:vAlign w:val="center"/>
          </w:tcPr>
          <w:p>
            <w:pPr>
              <w:spacing w:line="240" w:lineRule="auto"/>
              <w:jc w:val="center"/>
              <w:rPr>
                <w:rFonts w:hint="default" w:ascii="Times New Roman" w:hAnsi="Times New Roman" w:cs="Times New Roman"/>
                <w:color w:val="auto"/>
                <w:sz w:val="21"/>
                <w:szCs w:val="21"/>
                <w:lang w:eastAsia="zh-CN"/>
              </w:rPr>
            </w:pPr>
          </w:p>
        </w:tc>
        <w:tc>
          <w:tcPr>
            <w:tcW w:w="1251" w:type="pct"/>
            <w:vMerge w:val="continue"/>
            <w:vAlign w:val="center"/>
          </w:tcPr>
          <w:p>
            <w:pPr>
              <w:spacing w:line="240" w:lineRule="auto"/>
              <w:jc w:val="center"/>
              <w:rPr>
                <w:rFonts w:hint="default" w:ascii="Times New Roman" w:hAnsi="Times New Roman" w:cs="Times New Roman"/>
                <w:color w:val="auto"/>
                <w:sz w:val="21"/>
                <w:szCs w:val="21"/>
                <w:lang w:eastAsia="zh-CN"/>
              </w:rPr>
            </w:pPr>
          </w:p>
        </w:tc>
        <w:tc>
          <w:tcPr>
            <w:tcW w:w="433" w:type="pc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210</w:t>
            </w:r>
          </w:p>
        </w:tc>
        <w:tc>
          <w:tcPr>
            <w:tcW w:w="376" w:type="pc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30</w:t>
            </w:r>
          </w:p>
        </w:tc>
        <w:tc>
          <w:tcPr>
            <w:tcW w:w="2045" w:type="pc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eastAsia="zh-CN"/>
              </w:rPr>
              <w:t>《石油化工厂际管道工程技术标准》</w:t>
            </w:r>
            <w:r>
              <w:rPr>
                <w:rFonts w:hint="eastAsia" w:cs="Times New Roman"/>
                <w:color w:val="auto"/>
                <w:sz w:val="21"/>
                <w:szCs w:val="21"/>
                <w:lang w:val="en-US" w:eastAsia="zh-CN"/>
              </w:rPr>
              <w:t>第4.0.8条；以最近的液氨管道为参照物</w:t>
            </w:r>
          </w:p>
        </w:tc>
        <w:tc>
          <w:tcPr>
            <w:tcW w:w="399" w:type="pc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46" w:type="pct"/>
            <w:vMerge w:val="restar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47" w:type="pct"/>
            <w:vMerge w:val="restart"/>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西北</w:t>
            </w:r>
          </w:p>
        </w:tc>
        <w:tc>
          <w:tcPr>
            <w:tcW w:w="1251" w:type="pct"/>
            <w:vMerge w:val="restart"/>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江西善渊药业有限公司甲类厂房</w:t>
            </w:r>
          </w:p>
        </w:tc>
        <w:tc>
          <w:tcPr>
            <w:tcW w:w="433"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395</w:t>
            </w:r>
          </w:p>
        </w:tc>
        <w:tc>
          <w:tcPr>
            <w:tcW w:w="376" w:type="pc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2045"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《建筑设计防火规范（2018版）》第3.4.1条；以最近的</w:t>
            </w:r>
            <w:r>
              <w:rPr>
                <w:rFonts w:hint="default" w:ascii="Times New Roman" w:hAnsi="Times New Roman" w:cs="Times New Roman"/>
                <w:color w:val="auto"/>
                <w:sz w:val="21"/>
                <w:szCs w:val="21"/>
                <w:lang w:eastAsia="zh-CN"/>
              </w:rPr>
              <w:t>氨化车间</w:t>
            </w:r>
            <w:r>
              <w:rPr>
                <w:rFonts w:hint="default" w:ascii="Times New Roman" w:hAnsi="Times New Roman" w:eastAsia="宋体" w:cs="Times New Roman"/>
                <w:color w:val="auto"/>
                <w:sz w:val="21"/>
                <w:szCs w:val="21"/>
              </w:rPr>
              <w:t>为参照物</w:t>
            </w:r>
          </w:p>
        </w:tc>
        <w:tc>
          <w:tcPr>
            <w:tcW w:w="39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46" w:type="pct"/>
            <w:vMerge w:val="continue"/>
            <w:vAlign w:val="center"/>
          </w:tcPr>
          <w:p>
            <w:pPr>
              <w:spacing w:line="240" w:lineRule="auto"/>
              <w:jc w:val="center"/>
            </w:pPr>
          </w:p>
        </w:tc>
        <w:tc>
          <w:tcPr>
            <w:tcW w:w="247" w:type="pct"/>
            <w:vMerge w:val="continue"/>
            <w:vAlign w:val="center"/>
          </w:tcPr>
          <w:p>
            <w:pPr>
              <w:spacing w:line="240" w:lineRule="auto"/>
              <w:jc w:val="center"/>
            </w:pPr>
          </w:p>
        </w:tc>
        <w:tc>
          <w:tcPr>
            <w:tcW w:w="1251" w:type="pct"/>
            <w:vMerge w:val="continue"/>
            <w:vAlign w:val="center"/>
          </w:tcPr>
          <w:p>
            <w:pPr>
              <w:spacing w:line="240" w:lineRule="auto"/>
              <w:jc w:val="center"/>
            </w:pPr>
          </w:p>
        </w:tc>
        <w:tc>
          <w:tcPr>
            <w:tcW w:w="433" w:type="pc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310</w:t>
            </w:r>
          </w:p>
        </w:tc>
        <w:tc>
          <w:tcPr>
            <w:tcW w:w="376" w:type="pc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30</w:t>
            </w:r>
          </w:p>
        </w:tc>
        <w:tc>
          <w:tcPr>
            <w:tcW w:w="2045" w:type="pc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《石油化工厂际管道工程技术标准》第4.0.8条；以最近的液氨管道为参照物</w:t>
            </w:r>
          </w:p>
        </w:tc>
        <w:tc>
          <w:tcPr>
            <w:tcW w:w="399" w:type="pc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247" w:type="pct"/>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东北</w:t>
            </w:r>
          </w:p>
        </w:tc>
        <w:tc>
          <w:tcPr>
            <w:tcW w:w="1251" w:type="pct"/>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江西善水科技发展有限公司预留用地</w:t>
            </w:r>
          </w:p>
        </w:tc>
        <w:tc>
          <w:tcPr>
            <w:tcW w:w="433" w:type="pc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376" w:type="pc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04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39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restar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247" w:type="pct"/>
            <w:vMerge w:val="restart"/>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北</w:t>
            </w:r>
          </w:p>
        </w:tc>
        <w:tc>
          <w:tcPr>
            <w:tcW w:w="1251" w:type="pct"/>
            <w:vMerge w:val="restart"/>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长江大堤</w:t>
            </w:r>
          </w:p>
        </w:tc>
        <w:tc>
          <w:tcPr>
            <w:tcW w:w="433" w:type="pc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1100</w:t>
            </w:r>
          </w:p>
        </w:tc>
        <w:tc>
          <w:tcPr>
            <w:tcW w:w="376" w:type="pc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1000</w:t>
            </w:r>
          </w:p>
        </w:tc>
        <w:tc>
          <w:tcPr>
            <w:tcW w:w="2045" w:type="pc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《中华人民共和国长江保护法》</w:t>
            </w:r>
          </w:p>
        </w:tc>
        <w:tc>
          <w:tcPr>
            <w:tcW w:w="399" w:type="pc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continue"/>
            <w:vAlign w:val="center"/>
          </w:tcPr>
          <w:p>
            <w:pPr>
              <w:spacing w:line="240" w:lineRule="auto"/>
              <w:jc w:val="center"/>
              <w:rPr>
                <w:rFonts w:hint="default" w:ascii="Times New Roman" w:hAnsi="Times New Roman" w:cs="Times New Roman"/>
                <w:color w:val="auto"/>
                <w:sz w:val="21"/>
                <w:szCs w:val="21"/>
                <w:lang w:val="en-US" w:eastAsia="zh-CN"/>
              </w:rPr>
            </w:pPr>
          </w:p>
        </w:tc>
        <w:tc>
          <w:tcPr>
            <w:tcW w:w="247" w:type="pct"/>
            <w:vMerge w:val="continue"/>
            <w:vAlign w:val="center"/>
          </w:tcPr>
          <w:p>
            <w:pPr>
              <w:spacing w:line="240" w:lineRule="auto"/>
              <w:jc w:val="center"/>
              <w:rPr>
                <w:rFonts w:hint="default" w:ascii="Times New Roman" w:hAnsi="Times New Roman" w:cs="Times New Roman"/>
                <w:color w:val="auto"/>
                <w:sz w:val="21"/>
                <w:szCs w:val="21"/>
                <w:lang w:eastAsia="zh-CN"/>
              </w:rPr>
            </w:pPr>
          </w:p>
        </w:tc>
        <w:tc>
          <w:tcPr>
            <w:tcW w:w="1251" w:type="pct"/>
            <w:vMerge w:val="continue"/>
            <w:vAlign w:val="center"/>
          </w:tcPr>
          <w:p>
            <w:pPr>
              <w:spacing w:line="240" w:lineRule="auto"/>
              <w:jc w:val="center"/>
              <w:rPr>
                <w:rFonts w:hint="default" w:ascii="Times New Roman" w:hAnsi="Times New Roman" w:cs="Times New Roman"/>
                <w:color w:val="auto"/>
                <w:sz w:val="21"/>
                <w:szCs w:val="21"/>
                <w:lang w:eastAsia="zh-CN"/>
              </w:rPr>
            </w:pPr>
          </w:p>
        </w:tc>
        <w:tc>
          <w:tcPr>
            <w:tcW w:w="433" w:type="pc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1060</w:t>
            </w:r>
          </w:p>
        </w:tc>
        <w:tc>
          <w:tcPr>
            <w:tcW w:w="376" w:type="pc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w:t>
            </w:r>
          </w:p>
        </w:tc>
        <w:tc>
          <w:tcPr>
            <w:tcW w:w="2045" w:type="pc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《石油化工厂际管道工程技术标准》第4.0.8条；以最近的液氨管道为参照物</w:t>
            </w:r>
          </w:p>
        </w:tc>
        <w:tc>
          <w:tcPr>
            <w:tcW w:w="399" w:type="pc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bl>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综上所述，该项目选址及与周边企业、环境敏感点等场所、设施间距符合要求。</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1、安全检查表法分析评价</w:t>
      </w:r>
    </w:p>
    <w:p>
      <w:pPr>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评价组依据《工业企业总平面设计规范》、《工业企业设计卫生标准》、《化工企业总图运输设计规范》、《建筑设计防火规范（2018版）》等法规、规范，使用安全检查表对该项目的厂址及周边环境单元进行了检查，检查情况见下表。</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表C.1-2 项目选址与周边环境单元检查表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751"/>
        <w:gridCol w:w="661"/>
        <w:gridCol w:w="1764"/>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检查项目和内容</w:t>
            </w:r>
          </w:p>
        </w:tc>
        <w:tc>
          <w:tcPr>
            <w:tcW w:w="66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检查结果</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检查依据</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从2011年3月起，对没有划定危险化学品生产、储存专门区域的地区，城乡规划部门原则上不再受理危险化学品生产、储存建设项目“一书两证”（规划选址意见书、建设用地规划许可证、建设工程规划许可证）的申请许可，安全监管部门原则上不再受理危险化学品生产、储存建设项目的安全审查申请，投资主管部门原则上不再受理危险化学品生产、储存建设项目的立项申请，拟建化工项目原则上必须进入产业集中区或化工园区。</w:t>
            </w:r>
          </w:p>
        </w:tc>
        <w:tc>
          <w:tcPr>
            <w:tcW w:w="66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江西省人民政府办公厅赣府厅发[2010]3号</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建设于</w:t>
            </w:r>
            <w:r>
              <w:rPr>
                <w:rFonts w:hint="default" w:ascii="Times New Roman" w:hAnsi="Times New Roman" w:eastAsia="宋体" w:cs="Times New Roman"/>
                <w:color w:val="auto"/>
                <w:sz w:val="21"/>
                <w:szCs w:val="21"/>
              </w:rPr>
              <w:t>彭泽工业园区矶山化工园区内。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厂址选择应符合国家的工业布局、城镇（乡）总体规划及土地利用总体规划的要求。</w:t>
            </w:r>
          </w:p>
        </w:tc>
        <w:tc>
          <w:tcPr>
            <w:tcW w:w="661"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《工业企业总平面设计规范》3.0.1</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该项目拟建于彭泽工业园区矶山化工园区内，属规划</w:t>
            </w:r>
            <w:r>
              <w:rPr>
                <w:rFonts w:hint="default" w:ascii="Times New Roman" w:hAnsi="Times New Roman" w:eastAsia="宋体" w:cs="Times New Roman"/>
                <w:color w:val="auto"/>
                <w:sz w:val="21"/>
                <w:szCs w:val="21"/>
                <w:lang w:eastAsia="zh-CN"/>
              </w:rPr>
              <w:t>的</w:t>
            </w:r>
            <w:r>
              <w:rPr>
                <w:rFonts w:hint="default" w:ascii="Times New Roman" w:hAnsi="Times New Roman" w:eastAsia="宋体" w:cs="Times New Roman"/>
                <w:color w:val="auto"/>
                <w:sz w:val="21"/>
                <w:szCs w:val="21"/>
              </w:rPr>
              <w:t>工业用地。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厂址应有便利和经济的交通运输条件，与厂外铁路、公路的连接，应便捷、工程量小。临近江、河、湖、海的厂址，通航条件满足企业运输要求时，应尽量利用水运，且厂址宜靠近适合建设码头的地段。</w:t>
            </w:r>
          </w:p>
        </w:tc>
        <w:tc>
          <w:tcPr>
            <w:tcW w:w="661"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《工业企业总平面设计规范》3.0.5</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有便利和经济的交通运输条件，与厂外铁路、公路的连接，便捷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厂址应具有满足生产、生活及发展所必需的水源和电源。水源和电源与厂址之间的管线连接应尽量短捷，且用水、用电量（特别）大的工业企业宜靠近水</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源及电源地。</w:t>
            </w:r>
          </w:p>
        </w:tc>
        <w:tc>
          <w:tcPr>
            <w:tcW w:w="661"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《工业企业总平面设计规范》3.0.6</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厂址满足生产、生活及发展规划所必需的水源和电源。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厂址应具有满足建设工程需要的工程地质条件和水文地质条件。</w:t>
            </w:r>
          </w:p>
        </w:tc>
        <w:tc>
          <w:tcPr>
            <w:tcW w:w="661"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《工业企业总平面设计规范》3.08</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厂址具有满足建设的地址和水文条件。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厂址应位于不受洪水、潮水或内涝威胁的地带，并应符合下列规定：</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 当厂址不可避免不受洪水、潮水、或内涝威胁的地带时，必须采取防洪、排涝措施；</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 凡受江、河、潮、海洪水、潮水或山洪威胁的工业企业，防洪标准应符合现行国家标准《防洪标准》GB 50201 的有关规定</w:t>
            </w:r>
          </w:p>
        </w:tc>
        <w:tc>
          <w:tcPr>
            <w:tcW w:w="661"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《工业企业总平面设计规范》3.0.12</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该公司</w:t>
            </w:r>
            <w:r>
              <w:rPr>
                <w:rFonts w:hint="default" w:ascii="Times New Roman" w:hAnsi="Times New Roman" w:eastAsia="宋体" w:cs="Times New Roman"/>
                <w:color w:val="auto"/>
                <w:sz w:val="21"/>
                <w:szCs w:val="21"/>
                <w:lang w:eastAsia="zh-CN"/>
              </w:rPr>
              <w:t>北</w:t>
            </w:r>
            <w:r>
              <w:rPr>
                <w:rFonts w:hint="default" w:ascii="Times New Roman" w:hAnsi="Times New Roman" w:eastAsia="宋体" w:cs="Times New Roman"/>
                <w:color w:val="auto"/>
                <w:sz w:val="21"/>
                <w:szCs w:val="21"/>
              </w:rPr>
              <w:t>侧距离</w:t>
            </w:r>
            <w:r>
              <w:rPr>
                <w:rFonts w:hint="default" w:ascii="Times New Roman" w:hAnsi="Times New Roman" w:eastAsia="宋体" w:cs="Times New Roman"/>
                <w:color w:val="auto"/>
                <w:sz w:val="21"/>
                <w:szCs w:val="21"/>
                <w:lang w:eastAsia="zh-CN"/>
              </w:rPr>
              <w:t>长江</w:t>
            </w:r>
            <w:r>
              <w:rPr>
                <w:rFonts w:hint="default" w:ascii="Times New Roman" w:hAnsi="Times New Roman" w:eastAsia="宋体" w:cs="Times New Roman"/>
                <w:color w:val="auto"/>
                <w:sz w:val="21"/>
                <w:szCs w:val="21"/>
              </w:rPr>
              <w:t>大于1km；该公司受洪水威胁的可能性很小。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下列地段和地区不得选为厂址：</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一、发震断层和设防烈度高于九度的地震区；</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二、有泥石流、滑坡、流沙、溶洞等直接危害的地段；</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三、采矿陷落（错动）区界限内；</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四、爆破危险范围内；</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五、坝或堤决溃后可能淹没的地区；</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六、重要的供水水源卫生保护区；</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七、国家规定的风景区及森林和自然保护区；</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八、历史文物古迹保护区；</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九、对飞机起落、电台通讯、电视转播、雷达导航和重要的天文、气象、地震观察以及军事设施等规定有影响的范围内；</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十、Ⅳ级自重湿陷性黄土、厚度大的新近堆积黄土、高压缩性的饱和黄土和Ⅲ级膨胀土等工程地质恶劣地区；</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十一、具有开采价值的矿藏区。</w:t>
            </w:r>
          </w:p>
        </w:tc>
        <w:tc>
          <w:tcPr>
            <w:tcW w:w="661"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《工业企业总平面设计规范》3.0.14</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该项目所在地地震设防烈度为6度，无不良地质地段。周边无重要的供水水源卫生保护区、国家规定的风景区及森林和自然保护区历史文物古迹保护区等；基地地下无具有开采价值的矿藏。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工业企业厂外道路的规划，应符合城镇规划或当地交通运输规划。并应合理地利用现有的国家公路及城镇道路。厂外道路与国家公路或城镇道路连接时，应使路线短捷，项目量小。</w:t>
            </w:r>
          </w:p>
        </w:tc>
        <w:tc>
          <w:tcPr>
            <w:tcW w:w="661"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《工业企业总平面设计规范》第4.3.5条</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该项目拟建于</w:t>
            </w:r>
            <w:r>
              <w:rPr>
                <w:rFonts w:hint="default" w:ascii="Times New Roman" w:hAnsi="Times New Roman" w:eastAsia="宋体" w:cs="Times New Roman"/>
                <w:color w:val="auto"/>
                <w:sz w:val="21"/>
                <w:szCs w:val="21"/>
                <w:lang w:eastAsia="zh-CN"/>
              </w:rPr>
              <w:t>彭泽工业园区矶山化工园区</w:t>
            </w:r>
            <w:r>
              <w:rPr>
                <w:rFonts w:hint="default" w:ascii="Times New Roman" w:hAnsi="Times New Roman" w:eastAsia="宋体" w:cs="Times New Roman"/>
                <w:color w:val="auto"/>
                <w:sz w:val="21"/>
                <w:szCs w:val="21"/>
              </w:rPr>
              <w:t>内，企业厂外道路的规划，符合城镇规划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厂址选择应同时满足交通运输设施、能源和动力设施、防洪设施、环境保护工程及生活等配套建设用地的要求。</w:t>
            </w:r>
          </w:p>
        </w:tc>
        <w:tc>
          <w:tcPr>
            <w:tcW w:w="66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《化工企业总图运输设计规范》3.1.4</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该项目拟建于</w:t>
            </w:r>
            <w:r>
              <w:rPr>
                <w:rFonts w:hint="default" w:ascii="Times New Roman" w:hAnsi="Times New Roman" w:eastAsia="宋体" w:cs="Times New Roman"/>
                <w:color w:val="auto"/>
                <w:sz w:val="21"/>
                <w:szCs w:val="21"/>
                <w:lang w:eastAsia="zh-CN"/>
              </w:rPr>
              <w:t>江西心连心化学工业有限公司</w:t>
            </w:r>
            <w:r>
              <w:rPr>
                <w:rFonts w:hint="default" w:ascii="Times New Roman" w:hAnsi="Times New Roman" w:eastAsia="宋体" w:cs="Times New Roman"/>
                <w:color w:val="auto"/>
                <w:sz w:val="21"/>
                <w:szCs w:val="21"/>
              </w:rPr>
              <w:t>厂区内，厂址选择满足交通运输设施、能源和动力设施、防洪设施、环境保护工程及生活等配套建设用地的要求。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厂址应具有方便和经济的交通运输条件。</w:t>
            </w:r>
          </w:p>
        </w:tc>
        <w:tc>
          <w:tcPr>
            <w:tcW w:w="66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《化工企业总图运输设计规范》3.1.6</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该项目具有方便和经济的交通运输条件。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厂址应有充足、可靠的水源和电源，且应满足企业发展需要。</w:t>
            </w:r>
          </w:p>
        </w:tc>
        <w:tc>
          <w:tcPr>
            <w:tcW w:w="66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《化工企业总图运输设计规范》3.1.7</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该项目拟建于</w:t>
            </w:r>
            <w:r>
              <w:rPr>
                <w:rFonts w:hint="default" w:ascii="Times New Roman" w:hAnsi="Times New Roman" w:eastAsia="宋体" w:cs="Times New Roman"/>
                <w:color w:val="auto"/>
                <w:sz w:val="21"/>
                <w:szCs w:val="21"/>
                <w:lang w:eastAsia="zh-CN"/>
              </w:rPr>
              <w:t>彭泽工业园区矶山化工园区</w:t>
            </w:r>
            <w:r>
              <w:rPr>
                <w:rFonts w:hint="default" w:ascii="Times New Roman" w:hAnsi="Times New Roman" w:eastAsia="宋体" w:cs="Times New Roman"/>
                <w:color w:val="auto"/>
                <w:sz w:val="21"/>
                <w:szCs w:val="21"/>
              </w:rPr>
              <w:t>内，有充足、可靠的水源和电源。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选择厂址应充分考虑地震、软地基、湿陷性黄土、膨胀土等地质因素以及飓风、雷暴、沙暴等气象危害，采取可靠技术方案，避开断层、滑波、泥石流、地下溶洞等比较发育的地区。</w:t>
            </w:r>
          </w:p>
        </w:tc>
        <w:tc>
          <w:tcPr>
            <w:tcW w:w="66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《化工企业安全卫生设计规定》第3.1.2条</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厂址选择考虑地震、软地基、湿陷性黄土、膨胀土等地质因素以及飓风、雷暴、沙暴等气象危害。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厂址应避开新旧矿产采掘区、水坝（或大堤）溃决后可能淹没地区、地方病严重流行区、国家及省市级文物保护区，并与《危险化学品安全管理条例》规定的敏感目标保持安全距离。</w:t>
            </w:r>
          </w:p>
        </w:tc>
        <w:tc>
          <w:tcPr>
            <w:tcW w:w="66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《化工企业安全卫生设计规定》第3.1.4条</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厂址周边无矿产采掘区、地方病严重流行区、国家及省市级文物保护区及、影剧院、体育场（馆）等公共设施。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化工企业之间、化工企业与其它工矿企业、交通线站、港埠之间的卫生防护距离应满足国家现行标准《工业企业设计卫生标准》GB Z1附录B和《石油化工企业卫生防护距离》SH 3093的要求，防火间距应满足现行国家标准《石油化工企业设计防火规范》GB 50160和《建筑设计防火规范》GB 50016等规范的要求。</w:t>
            </w:r>
          </w:p>
        </w:tc>
        <w:tc>
          <w:tcPr>
            <w:tcW w:w="66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《化工企业安全卫生设计规定》第3.1.5条</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化工企业之间、化工企业与其它工矿企业距离满足要求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化工企业的厂址应符合当地规划，明确占用土地的类别及拆迁工程的情况。</w:t>
            </w:r>
          </w:p>
        </w:tc>
        <w:tc>
          <w:tcPr>
            <w:tcW w:w="66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《化工企业安全卫生设计规定》第3.1.6条</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该厂址园区的规划符合当地城乡规划要求。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37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厂区应与当地现有和规划的交通线路、车站、港口进行顺捷合理的联结。厂前区尽量临靠公路干道，铁路、索道和码头应在厂后、侧部位，避免不同方式的交通线路平面交叉。</w:t>
            </w:r>
          </w:p>
        </w:tc>
        <w:tc>
          <w:tcPr>
            <w:tcW w:w="661"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《化工企业安全卫生设计规定》第3.1.7条</w:t>
            </w:r>
          </w:p>
        </w:tc>
        <w:tc>
          <w:tcPr>
            <w:tcW w:w="266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与当地现有和规划的交通线路、车站、港口进行顺捷合理的联结；临靠公路干道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37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工厂的居住区、水源地等环境质量要求较高的设施与各种有害或危险场所应设置防护距离，并应位于不洁水体、废渣堆场的上游和全年最小频率风向的下风侧。</w:t>
            </w:r>
          </w:p>
        </w:tc>
        <w:tc>
          <w:tcPr>
            <w:tcW w:w="661"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《化工企业安全卫生设计规定》第3.1.8条</w:t>
            </w:r>
          </w:p>
        </w:tc>
        <w:tc>
          <w:tcPr>
            <w:tcW w:w="266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工厂的居住区等环境质量要求较高的设施与各种有害或危险场所已经过环境影响评价，依据报告符合要求。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37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化工企业厂址应依据当地风向因素，选择位于城镇、工厂居住区全年最小频率风向的上风侧。</w:t>
            </w:r>
          </w:p>
        </w:tc>
        <w:tc>
          <w:tcPr>
            <w:tcW w:w="661"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《化工企业安全卫生设计规定》第3.1.9条</w:t>
            </w:r>
          </w:p>
        </w:tc>
        <w:tc>
          <w:tcPr>
            <w:tcW w:w="266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位于城镇、工厂居住区全年最小频率风向的上风侧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37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依法依规清除距离长江和赣江、抚河、信江、饶河、修河岸线及鄱阳湖周边1公里范围内未入园的化工企业，依法关闭“小化工”企业，全面加强化工企业环境监管。</w:t>
            </w:r>
          </w:p>
        </w:tc>
        <w:tc>
          <w:tcPr>
            <w:tcW w:w="661"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《江西省人民政府办公厅关于印发鄱阳湖生态环境综合整治三年行动计划（2018-2020年）的通知》</w:t>
            </w:r>
          </w:p>
        </w:tc>
        <w:tc>
          <w:tcPr>
            <w:tcW w:w="266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该项目最近生产装置距离</w:t>
            </w:r>
            <w:r>
              <w:rPr>
                <w:rFonts w:hint="default" w:ascii="Times New Roman" w:hAnsi="Times New Roman" w:eastAsia="宋体" w:cs="Times New Roman"/>
                <w:color w:val="auto"/>
                <w:sz w:val="21"/>
                <w:szCs w:val="21"/>
                <w:lang w:eastAsia="zh-CN"/>
              </w:rPr>
              <w:t>长江</w:t>
            </w:r>
            <w:r>
              <w:rPr>
                <w:rFonts w:hint="default" w:ascii="Times New Roman" w:hAnsi="Times New Roman" w:eastAsia="宋体" w:cs="Times New Roman"/>
                <w:color w:val="auto"/>
                <w:sz w:val="21"/>
                <w:szCs w:val="21"/>
              </w:rPr>
              <w:t>最近距离超过1000m。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除按照国家有关规定设立的为车辆补充燃料的场所、设施外，禁止在下列范围内设立生产、储存、销售易燃、易爆、剧毒、放射性等危险物品的场所、设施：</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（一）公路用地外缘起向外100米；</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（二）公路渡口和中型以上公路桥梁周围200米；</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（三）公路隧道上方和洞口外100米。</w:t>
            </w:r>
          </w:p>
        </w:tc>
        <w:tc>
          <w:tcPr>
            <w:tcW w:w="66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《公路安全保护条例》号第十八条</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该项目产装置距离最近的公路大于100m。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在铁路线路两侧建造、设立生产、加工、储存或者销售易燃、易爆或者放射性物品等危险物品的场所、仓库，应当符合国家标准、行业标准规定的安全防护距离。 </w:t>
            </w:r>
          </w:p>
        </w:tc>
        <w:tc>
          <w:tcPr>
            <w:tcW w:w="661"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《铁路安全管理条例》第三十三条</w:t>
            </w:r>
          </w:p>
        </w:tc>
        <w:tc>
          <w:tcPr>
            <w:tcW w:w="2665" w:type="dxa"/>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1000m范围内无铁路线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工业企业选址宜避开自然疫源地；对于因建设工程需要等原因不能避开的，应设计具体的疫情综合预防控制措施。</w:t>
            </w:r>
          </w:p>
        </w:tc>
        <w:tc>
          <w:tcPr>
            <w:tcW w:w="661"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《工业企业设计卫生标准》第5.1.2条</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项目所在地不属于自然疫源地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选址宜避开可能产生或存在危害健康的场所和设施，如垃圾填埋场、污水处理厂、气体输送管道，以及水、土壤可能已被原工业企业污染的地区，建设工程需要难以避开的，应首先进行卫生学评估，并根据评估结果采取必要的控制措施。设计单位应明确要求施工单位和建设单位制定施工期间和投产运行后突发公共卫生事件应急救援预案</w:t>
            </w:r>
          </w:p>
        </w:tc>
        <w:tc>
          <w:tcPr>
            <w:tcW w:w="661"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《工业企业设计卫生标准》第5.1.3条</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不属于被原工业企业污染的土地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向大气排放有害物质的工业企业应布置在当地夏季最小频率风向的被保护对象的上风侧，并应符合国家规定的卫生防护距离要求，以避免与周边地区产生相互影响。对于目前国家尚未规定卫生防护距离要求的，宜进行健康影响评估，并根据实际评估结果作出判定</w:t>
            </w:r>
          </w:p>
        </w:tc>
        <w:tc>
          <w:tcPr>
            <w:tcW w:w="661"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《工业企业设计卫生标准》第5.1.4条</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布置在当地夏季最小频率风向的被保护对象的上风侧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375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在同一工业区内布置不同卫生特征的工业企业时，应避免不同有害因素产生交叉污染和联合作用。</w:t>
            </w:r>
          </w:p>
        </w:tc>
        <w:tc>
          <w:tcPr>
            <w:tcW w:w="66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《工业企业设计卫生标准》第5.1.5条</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拟建于</w:t>
            </w:r>
            <w:r>
              <w:rPr>
                <w:rFonts w:hint="default" w:ascii="Times New Roman" w:hAnsi="Times New Roman" w:eastAsia="宋体" w:cs="Times New Roman"/>
                <w:color w:val="auto"/>
                <w:sz w:val="21"/>
                <w:szCs w:val="21"/>
                <w:lang w:eastAsia="zh-CN"/>
              </w:rPr>
              <w:t>彭泽工业园区矶山化工园区</w:t>
            </w:r>
            <w:r>
              <w:rPr>
                <w:rFonts w:hint="default" w:ascii="Times New Roman" w:hAnsi="Times New Roman" w:eastAsia="宋体" w:cs="Times New Roman"/>
                <w:color w:val="auto"/>
                <w:sz w:val="21"/>
                <w:szCs w:val="21"/>
              </w:rPr>
              <w:t>内。与周边企业装置拟设距离超过50m，无交叉污染。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3751"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企业选址布局、规划设计以及与重要场所、设施、区域的距离应当符合下列要求：</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（一）国家产业政策；当地县级以上（含县级）人民政府的规划和布局；新设立企业建在地方人民政府规划的专门用于危险化学品生产、储存的区域内；</w:t>
            </w:r>
          </w:p>
        </w:tc>
        <w:tc>
          <w:tcPr>
            <w:tcW w:w="66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《危险化学品生产企业安全生产许可证实施办法》第八条</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该项目符合国家产业政策，建于</w:t>
            </w:r>
            <w:r>
              <w:rPr>
                <w:rFonts w:hint="default" w:ascii="Times New Roman" w:hAnsi="Times New Roman" w:eastAsia="宋体" w:cs="Times New Roman"/>
                <w:color w:val="auto"/>
                <w:sz w:val="21"/>
                <w:szCs w:val="21"/>
                <w:lang w:eastAsia="zh-CN"/>
              </w:rPr>
              <w:t>彭泽工业园区矶山化工园区</w:t>
            </w:r>
            <w:r>
              <w:rPr>
                <w:rFonts w:hint="default" w:ascii="Times New Roman" w:hAnsi="Times New Roman" w:eastAsia="宋体" w:cs="Times New Roman"/>
                <w:color w:val="auto"/>
                <w:sz w:val="21"/>
                <w:szCs w:val="21"/>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3751" w:type="dxa"/>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危险化学品生产装置或者储存数量构成重大危险源的危险化学品储存设施(运输工具加油站、加气站除外)，与下列场所、设施、区域的距离应当符合国家有关规定：</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(一)居住区以及商业中心、公园等人员密集场所；</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(二)学校、医院、影剧院、体育场(馆)等公共设施；</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(三)饮用水源、水厂以及水源保护区；</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(四)车站、码头(依法经许可从事危险化学品装卸作业的除外)、机场以及通信干线、通信枢纽、铁路线路、道路交通干线、水路交通干线、地铁风亭以及地铁站出入口；</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(五)基本农田保护区、基本草原、畜禽遗传资源保护区、畜禽规模化养殖场(养殖小区)、渔业水域以及种子、种畜禽、水产苗种生产基地；(六)河流、湖泊、风景名胜区、自然保护区；</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(七)军事禁区、军事管理区；</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(八)法律、行政法规规定的其他场所、设施、区域。</w:t>
            </w:r>
          </w:p>
        </w:tc>
        <w:tc>
          <w:tcPr>
            <w:tcW w:w="66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c>
          <w:tcPr>
            <w:tcW w:w="1764"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《危险化学品安全管理条例》第十九条</w:t>
            </w:r>
          </w:p>
        </w:tc>
        <w:tc>
          <w:tcPr>
            <w:tcW w:w="26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该项目拟建于</w:t>
            </w:r>
            <w:r>
              <w:rPr>
                <w:rFonts w:hint="default" w:ascii="Times New Roman" w:hAnsi="Times New Roman" w:eastAsia="宋体" w:cs="Times New Roman"/>
                <w:color w:val="auto"/>
                <w:sz w:val="21"/>
                <w:szCs w:val="21"/>
                <w:lang w:eastAsia="zh-CN"/>
              </w:rPr>
              <w:t>彭泽工业园区矶山化工园区</w:t>
            </w:r>
            <w:r>
              <w:rPr>
                <w:rFonts w:hint="default" w:ascii="Times New Roman" w:hAnsi="Times New Roman" w:eastAsia="宋体" w:cs="Times New Roman"/>
                <w:color w:val="auto"/>
                <w:sz w:val="21"/>
                <w:szCs w:val="21"/>
              </w:rPr>
              <w:t>内，安全防护距离内无居民区、学校等人员密集型场所；500m范围内无条例中规定的其他场所</w:t>
            </w:r>
          </w:p>
        </w:tc>
      </w:tr>
    </w:tbl>
    <w:p>
      <w:pPr>
        <w:bidi w:val="0"/>
        <w:ind w:firstLine="56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检查结果：</w:t>
      </w:r>
    </w:p>
    <w:p>
      <w:pPr>
        <w:bidi w:val="0"/>
        <w:ind w:firstLine="56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1、该项目为新建项目，位于江西省九江市彭泽工业园区矶山化工园江西心连心化学工业有限公司预留用地内，该园区属于规划的工业园区。</w:t>
      </w:r>
    </w:p>
    <w:p>
      <w:pPr>
        <w:bidi w:val="0"/>
        <w:ind w:firstLine="56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2、该项目与周围村庄、居民区的距离符合安全防护距离的要求。</w:t>
      </w:r>
    </w:p>
    <w:p>
      <w:pPr>
        <w:bidi w:val="0"/>
        <w:ind w:firstLine="56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3、该项目与水源保护地及公路、铁路、文物保护区的距离满足相关条例的要求。</w:t>
      </w:r>
    </w:p>
    <w:p>
      <w:pPr>
        <w:bidi w:val="0"/>
        <w:ind w:firstLine="56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4、该项目厂址无不良地质结构，厂址周边无河流，与长江距离大于1km，厂址有完善的排涝设施，不受洪涝的影响。</w:t>
      </w:r>
    </w:p>
    <w:p>
      <w:pPr>
        <w:bidi w:val="0"/>
        <w:ind w:firstLine="56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5、该项目有便利和经济的交通运输条件，选址地的水源、电源充足。</w:t>
      </w:r>
    </w:p>
    <w:p>
      <w:pPr>
        <w:bidi w:val="0"/>
        <w:ind w:firstLine="56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6、对该单元进行了27项检查，均符合要求。</w:t>
      </w:r>
    </w:p>
    <w:p>
      <w:pPr>
        <w:bidi w:val="0"/>
        <w:ind w:firstLine="56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综上所述，评价认为该项目的选址符合相关要求。</w:t>
      </w:r>
    </w:p>
    <w:p>
      <w:pPr>
        <w:keepNext/>
        <w:widowControl w:val="0"/>
        <w:spacing w:line="600" w:lineRule="exact"/>
        <w:jc w:val="center"/>
        <w:outlineLvl w:val="1"/>
        <w:rPr>
          <w:rFonts w:hint="default" w:ascii="Times New Roman" w:hAnsi="Times New Roman" w:eastAsia="黑体" w:cs="Times New Roman"/>
          <w:color w:val="auto"/>
          <w:kern w:val="0"/>
          <w:szCs w:val="24"/>
        </w:rPr>
      </w:pPr>
      <w:bookmarkStart w:id="152" w:name="_Toc376"/>
      <w:r>
        <w:rPr>
          <w:rFonts w:hint="default" w:ascii="Times New Roman" w:hAnsi="Times New Roman" w:eastAsia="黑体" w:cs="Times New Roman"/>
          <w:color w:val="auto"/>
          <w:kern w:val="0"/>
          <w:szCs w:val="24"/>
        </w:rPr>
        <w:t>C.2总平面布置及建构筑物单元</w:t>
      </w:r>
      <w:bookmarkEnd w:id="152"/>
    </w:p>
    <w:p>
      <w:pPr>
        <w:ind w:firstLine="56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该项目各建、构筑物与相邻建、构筑物的防火间距、厂内各建筑物与厂外道路的安全间距，均拟按《建筑设计防火规范（2018版）》、《化工企业总图运输设计规范》等的要求进行设计。</w:t>
      </w:r>
    </w:p>
    <w:p>
      <w:pPr>
        <w:ind w:firstLine="56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该项目主要建筑设施之间的距离见</w:t>
      </w:r>
      <w:r>
        <w:rPr>
          <w:rFonts w:hint="eastAsia" w:cs="Times New Roman"/>
          <w:color w:val="auto"/>
          <w:szCs w:val="28"/>
          <w:lang w:eastAsia="zh-CN"/>
        </w:rPr>
        <w:t>下表</w:t>
      </w:r>
      <w:r>
        <w:rPr>
          <w:rFonts w:hint="default" w:ascii="Times New Roman" w:hAnsi="Times New Roman" w:eastAsia="宋体" w:cs="Times New Roman"/>
          <w:color w:val="auto"/>
          <w:szCs w:val="28"/>
        </w:rPr>
        <w:t>。</w:t>
      </w:r>
    </w:p>
    <w:p>
      <w:pPr>
        <w:bidi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表</w:t>
      </w:r>
      <w:r>
        <w:rPr>
          <w:rFonts w:hint="eastAsia" w:cs="Times New Roman"/>
          <w:color w:val="auto"/>
          <w:lang w:val="en-US" w:eastAsia="zh-CN"/>
        </w:rPr>
        <w:t>C</w:t>
      </w:r>
      <w:r>
        <w:rPr>
          <w:rFonts w:hint="default" w:ascii="Times New Roman" w:hAnsi="Times New Roman" w:cs="Times New Roman"/>
          <w:color w:val="auto"/>
          <w:lang w:val="en-US" w:eastAsia="zh-CN"/>
        </w:rPr>
        <w:t>.</w:t>
      </w:r>
      <w:r>
        <w:rPr>
          <w:rFonts w:hint="eastAsia" w:cs="Times New Roman"/>
          <w:color w:val="auto"/>
          <w:lang w:val="en-US" w:eastAsia="zh-CN"/>
        </w:rPr>
        <w:t>2</w:t>
      </w:r>
      <w:r>
        <w:rPr>
          <w:rFonts w:hint="default" w:ascii="Times New Roman" w:hAnsi="Times New Roman" w:cs="Times New Roman"/>
          <w:color w:val="auto"/>
          <w:lang w:val="en-US" w:eastAsia="zh-CN"/>
        </w:rPr>
        <w:t>-</w:t>
      </w:r>
      <w:r>
        <w:rPr>
          <w:rFonts w:hint="eastAsia" w:cs="Times New Roman"/>
          <w:color w:val="auto"/>
          <w:lang w:val="en-US" w:eastAsia="zh-CN"/>
        </w:rPr>
        <w:t>1</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各建筑物距离一览表</w:t>
      </w:r>
    </w:p>
    <w:tbl>
      <w:tblPr>
        <w:tblStyle w:val="19"/>
        <w:tblW w:w="496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36"/>
        <w:gridCol w:w="1285"/>
        <w:gridCol w:w="686"/>
        <w:gridCol w:w="1719"/>
        <w:gridCol w:w="1136"/>
        <w:gridCol w:w="1132"/>
        <w:gridCol w:w="710"/>
        <w:gridCol w:w="191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345"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697"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建构筑物</w:t>
            </w:r>
          </w:p>
        </w:tc>
        <w:tc>
          <w:tcPr>
            <w:tcW w:w="372"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方位</w:t>
            </w:r>
          </w:p>
        </w:tc>
        <w:tc>
          <w:tcPr>
            <w:tcW w:w="932"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相邻建构筑物</w:t>
            </w:r>
          </w:p>
        </w:tc>
        <w:tc>
          <w:tcPr>
            <w:tcW w:w="616"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拟设</w:t>
            </w:r>
            <w:r>
              <w:rPr>
                <w:rFonts w:hint="default" w:ascii="Times New Roman" w:hAnsi="Times New Roman" w:cs="Times New Roman"/>
                <w:color w:val="auto"/>
                <w:sz w:val="21"/>
                <w:szCs w:val="21"/>
              </w:rPr>
              <w:t>距离</w:t>
            </w:r>
          </w:p>
        </w:tc>
        <w:tc>
          <w:tcPr>
            <w:tcW w:w="614"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规范距离</w:t>
            </w:r>
          </w:p>
        </w:tc>
        <w:tc>
          <w:tcPr>
            <w:tcW w:w="385"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结论</w:t>
            </w:r>
          </w:p>
        </w:tc>
        <w:tc>
          <w:tcPr>
            <w:tcW w:w="1036"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依据规范及条款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3" w:hRule="atLeast"/>
          <w:jc w:val="center"/>
        </w:trPr>
        <w:tc>
          <w:tcPr>
            <w:tcW w:w="3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69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氨化车间（丁）</w:t>
            </w: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北</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原料库（戊）</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19.03</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符合</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3.4.1条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3" w:hRule="atLeast"/>
          <w:jc w:val="center"/>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南</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原有成品库二</w:t>
            </w:r>
            <w:r>
              <w:rPr>
                <w:rFonts w:hint="default" w:ascii="Times New Roman" w:hAnsi="Times New Roman" w:cs="Times New Roman"/>
                <w:color w:val="auto"/>
                <w:sz w:val="21"/>
                <w:szCs w:val="21"/>
                <w:lang w:val="en-US" w:eastAsia="zh-CN"/>
              </w:rPr>
              <w:t>（戊）</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26.18</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符合</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3.4.1条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西</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原有高塔复合肥厂房（戊）</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24.0</w:t>
            </w:r>
            <w:r>
              <w:rPr>
                <w:rFonts w:hint="eastAsia" w:cs="Times New Roman"/>
                <w:color w:val="auto"/>
                <w:sz w:val="21"/>
                <w:szCs w:val="21"/>
                <w:lang w:val="en-US" w:eastAsia="zh-CN"/>
              </w:rPr>
              <w:t>3</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符合</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3.4.1条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3" w:hRule="atLeast"/>
          <w:jc w:val="center"/>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东</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预留空地</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3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69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lang w:val="en-US" w:eastAsia="zh-CN"/>
              </w:rPr>
              <w:t>浓硫酸储罐（乙，充装量不超过80%）</w:t>
            </w: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eastAsia="zh-CN"/>
              </w:rPr>
              <w:t>北</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cs="Times New Roman"/>
                <w:color w:val="auto"/>
                <w:spacing w:val="6"/>
                <w:sz w:val="21"/>
                <w:szCs w:val="21"/>
                <w:lang w:eastAsia="zh-CN"/>
              </w:rPr>
              <w:t>装卸场地</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cs="Times New Roman"/>
                <w:color w:val="auto"/>
                <w:spacing w:val="6"/>
                <w:sz w:val="21"/>
                <w:szCs w:val="21"/>
                <w:lang w:val="en-US" w:eastAsia="zh-CN"/>
              </w:rPr>
              <w:t>36.25</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15</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符合</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4.2.7</w:t>
            </w:r>
            <w:r>
              <w:rPr>
                <w:rFonts w:hint="default" w:ascii="Times New Roman" w:hAnsi="Times New Roman" w:eastAsia="宋体" w:cs="Times New Roman"/>
                <w:color w:val="auto"/>
                <w:spacing w:val="6"/>
                <w:sz w:val="21"/>
                <w:szCs w:val="21"/>
                <w:lang w:val="en-US" w:eastAsia="zh-CN"/>
              </w:rPr>
              <w:t>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cs="Times New Roman"/>
                <w:color w:val="auto"/>
                <w:spacing w:val="6"/>
                <w:sz w:val="21"/>
                <w:szCs w:val="21"/>
                <w:lang w:eastAsia="zh-CN"/>
              </w:rPr>
              <w:t>东</w:t>
            </w:r>
            <w:r>
              <w:rPr>
                <w:rFonts w:hint="default" w:ascii="Times New Roman" w:hAnsi="Times New Roman" w:cs="Times New Roman"/>
                <w:color w:val="auto"/>
                <w:spacing w:val="6"/>
                <w:sz w:val="21"/>
                <w:szCs w:val="21"/>
                <w:lang w:eastAsia="zh-CN"/>
              </w:rPr>
              <w:t>南</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rPr>
            </w:pPr>
            <w:r>
              <w:rPr>
                <w:rFonts w:hint="eastAsia" w:cs="Times New Roman"/>
                <w:color w:val="auto"/>
                <w:spacing w:val="6"/>
                <w:sz w:val="21"/>
                <w:szCs w:val="21"/>
                <w:lang w:val="en-US" w:eastAsia="zh-CN"/>
              </w:rPr>
              <w:t>原有硫酸钾厂房（丁）</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sz w:val="21"/>
                <w:szCs w:val="21"/>
                <w:lang w:val="en-US" w:eastAsia="zh-CN"/>
              </w:rPr>
            </w:pPr>
            <w:r>
              <w:rPr>
                <w:rFonts w:hint="eastAsia" w:cs="Times New Roman"/>
                <w:color w:val="auto"/>
                <w:sz w:val="21"/>
                <w:szCs w:val="21"/>
                <w:lang w:val="en-US" w:eastAsia="zh-CN"/>
              </w:rPr>
              <w:t>25.01</w:t>
            </w:r>
          </w:p>
        </w:tc>
        <w:tc>
          <w:tcPr>
            <w:tcW w:w="11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cs="Times New Roman"/>
                <w:color w:val="auto"/>
                <w:sz w:val="21"/>
                <w:szCs w:val="21"/>
                <w:lang w:val="en-US" w:eastAsia="zh-CN"/>
              </w:rPr>
              <w:t>25</w:t>
            </w: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1"/>
                <w:szCs w:val="21"/>
                <w:lang w:val="en-US" w:eastAsia="zh-CN"/>
              </w:rPr>
              <w:t>符合</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kern w:val="2"/>
                <w:sz w:val="21"/>
                <w:szCs w:val="21"/>
                <w:lang w:val="en-US" w:eastAsia="zh-CN" w:bidi="ar-SA"/>
              </w:rPr>
              <w:t>4.2.</w:t>
            </w:r>
            <w:r>
              <w:rPr>
                <w:rFonts w:hint="eastAsia" w:cs="Times New Roman"/>
                <w:color w:val="auto"/>
                <w:kern w:val="2"/>
                <w:sz w:val="21"/>
                <w:szCs w:val="21"/>
                <w:lang w:val="en-US" w:eastAsia="zh-CN" w:bidi="ar-SA"/>
              </w:rPr>
              <w:t>1</w:t>
            </w:r>
            <w:r>
              <w:rPr>
                <w:rFonts w:hint="default" w:ascii="Times New Roman" w:hAnsi="Times New Roman" w:cs="Times New Roman"/>
                <w:color w:val="auto"/>
                <w:kern w:val="2"/>
                <w:sz w:val="21"/>
                <w:szCs w:val="21"/>
                <w:lang w:val="en-US" w:eastAsia="zh-CN" w:bidi="ar-SA"/>
              </w:rPr>
              <w:t>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kern w:val="2"/>
                <w:sz w:val="21"/>
                <w:szCs w:val="21"/>
                <w:lang w:val="en-US" w:eastAsia="zh-CN" w:bidi="ar-SA"/>
              </w:rPr>
            </w:pPr>
            <w:r>
              <w:rPr>
                <w:rFonts w:hint="default" w:ascii="Times New Roman" w:hAnsi="Times New Roman" w:cs="Times New Roman"/>
                <w:color w:val="auto"/>
                <w:spacing w:val="6"/>
                <w:kern w:val="2"/>
                <w:sz w:val="21"/>
                <w:szCs w:val="21"/>
                <w:lang w:val="en-US" w:eastAsia="zh-CN" w:bidi="ar-SA"/>
              </w:rPr>
              <w:t>东</w:t>
            </w:r>
          </w:p>
        </w:tc>
        <w:tc>
          <w:tcPr>
            <w:tcW w:w="17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盐酸储罐（戊）</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lang w:val="en-US" w:eastAsia="zh-CN"/>
              </w:rPr>
            </w:pPr>
            <w:r>
              <w:rPr>
                <w:rFonts w:hint="eastAsia" w:cs="Times New Roman"/>
                <w:color w:val="auto"/>
                <w:sz w:val="21"/>
                <w:szCs w:val="21"/>
                <w:lang w:val="en-US" w:eastAsia="zh-CN"/>
              </w:rPr>
              <w:t>18</w:t>
            </w:r>
          </w:p>
        </w:tc>
        <w:tc>
          <w:tcPr>
            <w:tcW w:w="11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z w:val="21"/>
                <w:szCs w:val="21"/>
                <w:lang w:val="en-US" w:eastAsia="zh-CN"/>
              </w:rPr>
              <w:t>/</w:t>
            </w: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z w:val="21"/>
                <w:szCs w:val="21"/>
                <w:lang w:val="en-US" w:eastAsia="zh-CN"/>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kern w:val="2"/>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kern w:val="2"/>
                <w:sz w:val="21"/>
                <w:szCs w:val="21"/>
                <w:lang w:val="en-US" w:eastAsia="zh-CN" w:bidi="ar-SA"/>
              </w:rPr>
              <w:t>西</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sz w:val="21"/>
                <w:szCs w:val="21"/>
                <w:lang w:eastAsia="zh-CN"/>
              </w:rPr>
            </w:pPr>
            <w:r>
              <w:rPr>
                <w:rFonts w:hint="eastAsia" w:cs="Times New Roman"/>
                <w:color w:val="auto"/>
                <w:spacing w:val="6"/>
                <w:sz w:val="21"/>
                <w:szCs w:val="21"/>
                <w:lang w:val="en-US" w:eastAsia="zh-CN"/>
              </w:rPr>
              <w:t>用地红线</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2</w:t>
            </w:r>
            <w:r>
              <w:rPr>
                <w:rFonts w:hint="eastAsia" w:cs="Times New Roman"/>
                <w:color w:val="auto"/>
                <w:spacing w:val="6"/>
                <w:sz w:val="21"/>
                <w:szCs w:val="21"/>
                <w:lang w:val="en-US" w:eastAsia="zh-CN"/>
              </w:rPr>
              <w:t>9.10</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3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69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原料库</w:t>
            </w:r>
            <w:r>
              <w:rPr>
                <w:rFonts w:hint="default" w:ascii="Times New Roman" w:hAnsi="Times New Roman" w:eastAsia="宋体" w:cs="Times New Roman"/>
                <w:color w:val="auto"/>
                <w:spacing w:val="6"/>
                <w:sz w:val="21"/>
                <w:szCs w:val="21"/>
                <w:lang w:eastAsia="zh-CN"/>
              </w:rPr>
              <w:t>（戊）</w:t>
            </w: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pacing w:val="6"/>
                <w:kern w:val="2"/>
                <w:sz w:val="21"/>
                <w:szCs w:val="21"/>
                <w:lang w:val="en-US" w:eastAsia="zh-CN" w:bidi="ar-SA"/>
              </w:rPr>
            </w:pPr>
            <w:r>
              <w:rPr>
                <w:rFonts w:hint="default" w:ascii="Times New Roman" w:hAnsi="Times New Roman" w:cs="Times New Roman"/>
                <w:color w:val="auto"/>
                <w:spacing w:val="6"/>
                <w:kern w:val="2"/>
                <w:sz w:val="21"/>
                <w:szCs w:val="21"/>
                <w:lang w:val="en-US" w:eastAsia="zh-CN" w:bidi="ar-SA"/>
              </w:rPr>
              <w:t>北</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预留空地</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sz w:val="21"/>
                <w:szCs w:val="21"/>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w:t>
            </w:r>
          </w:p>
        </w:tc>
        <w:tc>
          <w:tcPr>
            <w:tcW w:w="3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pacing w:val="6"/>
                <w:sz w:val="21"/>
                <w:szCs w:val="21"/>
                <w:lang w:val="en-US" w:eastAsia="zh-CN"/>
              </w:rPr>
              <w:t>/</w:t>
            </w:r>
          </w:p>
        </w:tc>
        <w:tc>
          <w:tcPr>
            <w:tcW w:w="10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3" w:hRule="atLeast"/>
          <w:jc w:val="center"/>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p>
        </w:tc>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南</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氨化车间（丁）</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19.03</w:t>
            </w:r>
          </w:p>
        </w:tc>
        <w:tc>
          <w:tcPr>
            <w:tcW w:w="11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符合</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3.4.1条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345" w:type="pct"/>
            <w:vMerge w:val="continue"/>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p>
        </w:tc>
        <w:tc>
          <w:tcPr>
            <w:tcW w:w="697" w:type="pct"/>
            <w:vMerge w:val="continue"/>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p>
        </w:tc>
        <w:tc>
          <w:tcPr>
            <w:tcW w:w="372"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西</w:t>
            </w:r>
          </w:p>
        </w:tc>
        <w:tc>
          <w:tcPr>
            <w:tcW w:w="932"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eastAsia="zh-CN"/>
              </w:rPr>
              <w:t>原有</w:t>
            </w:r>
            <w:r>
              <w:rPr>
                <w:rFonts w:hint="default" w:ascii="Times New Roman" w:hAnsi="Times New Roman" w:cs="Times New Roman"/>
                <w:color w:val="auto"/>
                <w:sz w:val="21"/>
                <w:szCs w:val="21"/>
                <w:lang w:eastAsia="zh-CN"/>
              </w:rPr>
              <w:t>高塔原料库二</w:t>
            </w:r>
            <w:r>
              <w:rPr>
                <w:rFonts w:hint="default" w:ascii="Times New Roman" w:hAnsi="Times New Roman" w:cs="Times New Roman"/>
                <w:color w:val="auto"/>
                <w:sz w:val="21"/>
                <w:szCs w:val="21"/>
                <w:lang w:val="en-US" w:eastAsia="zh-CN"/>
              </w:rPr>
              <w:t>（戊）</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24.04</w:t>
            </w:r>
          </w:p>
        </w:tc>
        <w:tc>
          <w:tcPr>
            <w:tcW w:w="11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符合</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3.5.2条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345" w:type="pct"/>
            <w:vMerge w:val="continue"/>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p>
        </w:tc>
        <w:tc>
          <w:tcPr>
            <w:tcW w:w="697" w:type="pct"/>
            <w:vMerge w:val="continue"/>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p>
        </w:tc>
        <w:tc>
          <w:tcPr>
            <w:tcW w:w="372"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东</w:t>
            </w:r>
          </w:p>
        </w:tc>
        <w:tc>
          <w:tcPr>
            <w:tcW w:w="932"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厂区围墙</w:t>
            </w:r>
          </w:p>
        </w:tc>
        <w:tc>
          <w:tcPr>
            <w:tcW w:w="616"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21.27</w:t>
            </w:r>
          </w:p>
        </w:tc>
        <w:tc>
          <w:tcPr>
            <w:tcW w:w="614"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符合</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GB50016-2014（2018版）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3.5.5条</w:t>
            </w:r>
          </w:p>
        </w:tc>
      </w:tr>
    </w:tbl>
    <w:p>
      <w:pPr>
        <w:ind w:firstLine="56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可行性研究报告中未提及</w:t>
      </w:r>
      <w:r>
        <w:rPr>
          <w:rFonts w:hint="default" w:ascii="Times New Roman" w:hAnsi="Times New Roman" w:cs="Times New Roman"/>
          <w:color w:val="auto"/>
          <w:szCs w:val="28"/>
          <w:lang w:eastAsia="zh-CN"/>
        </w:rPr>
        <w:t>氨化车间</w:t>
      </w:r>
      <w:r>
        <w:rPr>
          <w:rFonts w:hint="default" w:ascii="Times New Roman" w:hAnsi="Times New Roman" w:eastAsia="宋体" w:cs="Times New Roman"/>
          <w:color w:val="auto"/>
          <w:szCs w:val="28"/>
        </w:rPr>
        <w:t>的防火分区情况，</w:t>
      </w:r>
      <w:r>
        <w:rPr>
          <w:rFonts w:hint="default" w:ascii="Times New Roman" w:hAnsi="Times New Roman" w:cs="Times New Roman"/>
          <w:color w:val="auto"/>
          <w:szCs w:val="28"/>
          <w:lang w:eastAsia="zh-CN"/>
        </w:rPr>
        <w:t>但根据</w:t>
      </w:r>
      <w:r>
        <w:rPr>
          <w:rFonts w:hint="default" w:ascii="Times New Roman" w:hAnsi="Times New Roman" w:eastAsia="宋体" w:cs="Times New Roman"/>
          <w:color w:val="auto"/>
          <w:szCs w:val="28"/>
        </w:rPr>
        <w:t>《建筑设计防火规范（2018版）》</w:t>
      </w:r>
      <w:r>
        <w:rPr>
          <w:rFonts w:hint="default" w:ascii="Times New Roman" w:hAnsi="Times New Roman" w:cs="Times New Roman"/>
          <w:color w:val="auto"/>
          <w:szCs w:val="28"/>
          <w:lang w:eastAsia="zh-CN"/>
        </w:rPr>
        <w:t>第</w:t>
      </w:r>
      <w:r>
        <w:rPr>
          <w:rFonts w:hint="default" w:ascii="Times New Roman" w:hAnsi="Times New Roman" w:cs="Times New Roman"/>
          <w:color w:val="auto"/>
          <w:szCs w:val="28"/>
          <w:lang w:val="en-US" w:eastAsia="zh-CN"/>
        </w:rPr>
        <w:t>3.3.1条，耐火等级为二级的丁类单、多层厂房防火分区不限</w:t>
      </w:r>
      <w:r>
        <w:rPr>
          <w:rFonts w:hint="default" w:ascii="Times New Roman" w:hAnsi="Times New Roman" w:eastAsia="宋体" w:cs="Times New Roman"/>
          <w:color w:val="auto"/>
          <w:szCs w:val="28"/>
        </w:rPr>
        <w:t>。</w:t>
      </w:r>
    </w:p>
    <w:p>
      <w:pPr>
        <w:ind w:firstLine="56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1、安全检查表法分析评价</w:t>
      </w:r>
    </w:p>
    <w:p>
      <w:pPr>
        <w:ind w:firstLine="56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评价组根据《工业企业总平面设计规范》、《工业企业设计卫生标准》、《化工企业总图运输设计规范》、《建筑设计防火规范（2018版）》等法规、规范使用安全检查表对该公司的总平面布置及建构筑物单元进行检查，检查内容见下表：</w:t>
      </w:r>
    </w:p>
    <w:p>
      <w:pPr>
        <w:jc w:val="center"/>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表C.2-</w:t>
      </w:r>
      <w:r>
        <w:rPr>
          <w:rFonts w:hint="eastAsia" w:cs="Times New Roman"/>
          <w:color w:val="auto"/>
          <w:szCs w:val="28"/>
          <w:lang w:val="en-US" w:eastAsia="zh-CN"/>
        </w:rPr>
        <w:t>2</w:t>
      </w:r>
      <w:r>
        <w:rPr>
          <w:rFonts w:hint="default" w:ascii="Times New Roman" w:hAnsi="Times New Roman" w:eastAsia="宋体" w:cs="Times New Roman"/>
          <w:color w:val="auto"/>
          <w:szCs w:val="28"/>
        </w:rPr>
        <w:t xml:space="preserve"> 总平面布置及建构筑物单元检查表</w:t>
      </w:r>
    </w:p>
    <w:tbl>
      <w:tblPr>
        <w:tblStyle w:val="19"/>
        <w:tblW w:w="4996"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4670"/>
        <w:gridCol w:w="693"/>
        <w:gridCol w:w="1692"/>
        <w:gridCol w:w="2"/>
        <w:gridCol w:w="1796"/>
        <w:gridCol w:w="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229" w:type="pct"/>
            <w:tcBorders>
              <w:top w:val="single" w:color="auto" w:sz="2" w:space="0"/>
            </w:tcBorders>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2515" w:type="pct"/>
            <w:tcBorders>
              <w:top w:val="single" w:color="auto" w:sz="2" w:space="0"/>
            </w:tcBorders>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检查项目和内容</w:t>
            </w:r>
          </w:p>
        </w:tc>
        <w:tc>
          <w:tcPr>
            <w:tcW w:w="373" w:type="pct"/>
            <w:tcBorders>
              <w:top w:val="single" w:color="auto" w:sz="2" w:space="0"/>
            </w:tcBorders>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检查结果</w:t>
            </w:r>
          </w:p>
        </w:tc>
        <w:tc>
          <w:tcPr>
            <w:tcW w:w="912" w:type="pct"/>
            <w:gridSpan w:val="2"/>
            <w:tcBorders>
              <w:top w:val="single" w:color="auto" w:sz="2" w:space="0"/>
            </w:tcBorders>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检查依据</w:t>
            </w:r>
          </w:p>
        </w:tc>
        <w:tc>
          <w:tcPr>
            <w:tcW w:w="968" w:type="pct"/>
            <w:gridSpan w:val="2"/>
            <w:tcBorders>
              <w:top w:val="single" w:color="auto" w:sz="2" w:space="0"/>
            </w:tcBorders>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检查记录</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229" w:type="pct"/>
            <w:vAlign w:val="center"/>
          </w:tcPr>
          <w:p>
            <w:pPr>
              <w:spacing w:line="320" w:lineRule="exac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一</w:t>
            </w:r>
          </w:p>
        </w:tc>
        <w:tc>
          <w:tcPr>
            <w:tcW w:w="2515" w:type="pct"/>
            <w:vAlign w:val="center"/>
          </w:tcPr>
          <w:p>
            <w:pPr>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一般规定</w:t>
            </w:r>
          </w:p>
        </w:tc>
        <w:tc>
          <w:tcPr>
            <w:tcW w:w="373" w:type="pct"/>
            <w:vAlign w:val="center"/>
          </w:tcPr>
          <w:p>
            <w:pPr>
              <w:spacing w:line="320" w:lineRule="exact"/>
              <w:rPr>
                <w:rFonts w:hint="default" w:ascii="Times New Roman" w:hAnsi="Times New Roman" w:eastAsia="宋体" w:cs="Times New Roman"/>
                <w:color w:val="auto"/>
                <w:kern w:val="0"/>
                <w:sz w:val="21"/>
                <w:szCs w:val="21"/>
              </w:rPr>
            </w:pPr>
          </w:p>
        </w:tc>
        <w:tc>
          <w:tcPr>
            <w:tcW w:w="912" w:type="pct"/>
            <w:gridSpan w:val="2"/>
            <w:vAlign w:val="center"/>
          </w:tcPr>
          <w:p>
            <w:pPr>
              <w:spacing w:line="320" w:lineRule="exact"/>
              <w:rPr>
                <w:rFonts w:hint="default" w:ascii="Times New Roman" w:hAnsi="Times New Roman" w:eastAsia="宋体" w:cs="Times New Roman"/>
                <w:color w:val="auto"/>
                <w:kern w:val="0"/>
                <w:sz w:val="21"/>
                <w:szCs w:val="21"/>
              </w:rPr>
            </w:pPr>
          </w:p>
        </w:tc>
        <w:tc>
          <w:tcPr>
            <w:tcW w:w="968" w:type="pct"/>
            <w:gridSpan w:val="2"/>
            <w:vAlign w:val="center"/>
          </w:tcPr>
          <w:p>
            <w:pPr>
              <w:spacing w:line="320" w:lineRule="exact"/>
              <w:rPr>
                <w:rFonts w:hint="default" w:ascii="Times New Roman" w:hAnsi="Times New Roman" w:eastAsia="宋体" w:cs="Times New Roman"/>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29" w:type="pct"/>
            <w:vAlign w:val="center"/>
          </w:tcPr>
          <w:p>
            <w:pPr>
              <w:numPr>
                <w:ilvl w:val="0"/>
                <w:numId w:val="33"/>
              </w:numPr>
              <w:spacing w:line="320" w:lineRule="exact"/>
              <w:rPr>
                <w:rFonts w:hint="default" w:ascii="Times New Roman" w:hAnsi="Times New Roman" w:eastAsia="宋体" w:cs="Times New Roman"/>
                <w:color w:val="auto"/>
                <w:sz w:val="21"/>
                <w:szCs w:val="21"/>
              </w:rPr>
            </w:pPr>
          </w:p>
        </w:tc>
        <w:tc>
          <w:tcPr>
            <w:tcW w:w="2515" w:type="pct"/>
            <w:vAlign w:val="center"/>
          </w:tcPr>
          <w:p>
            <w:pPr>
              <w:spacing w:line="32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总平面布置应节约集约用地，提高土地利用率。布置时并应符合下列要求：</w:t>
            </w:r>
          </w:p>
          <w:p>
            <w:pPr>
              <w:spacing w:line="32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 在符合生产流程、操作要求和使用功能的前提下，建筑物、构筑物等设施，</w:t>
            </w:r>
          </w:p>
          <w:p>
            <w:pPr>
              <w:spacing w:line="32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应采用联合、集中、多层布置；</w:t>
            </w:r>
          </w:p>
          <w:p>
            <w:pPr>
              <w:spacing w:line="32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 应按企业规模和功能分区，合理地确定通道宽度；</w:t>
            </w:r>
          </w:p>
          <w:p>
            <w:pPr>
              <w:spacing w:line="32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 厂区功能分区及建筑物、构筑物的外形宜规整；</w:t>
            </w:r>
          </w:p>
          <w:p>
            <w:pPr>
              <w:spacing w:line="32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 功能分区内各项设施的布置，应紧凑、合理。</w:t>
            </w:r>
          </w:p>
        </w:tc>
        <w:tc>
          <w:tcPr>
            <w:tcW w:w="373" w:type="pct"/>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2" w:type="pct"/>
            <w:gridSpan w:val="2"/>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《工业企业总平面设计规范》5.1.2</w:t>
            </w:r>
          </w:p>
        </w:tc>
        <w:tc>
          <w:tcPr>
            <w:tcW w:w="968" w:type="pct"/>
            <w:gridSpan w:val="2"/>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总平面布置合理，各功能分区内设施布置紧凑，衔接恰当。</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29" w:type="pct"/>
            <w:vAlign w:val="center"/>
          </w:tcPr>
          <w:p>
            <w:pPr>
              <w:numPr>
                <w:ilvl w:val="0"/>
                <w:numId w:val="33"/>
              </w:numPr>
              <w:spacing w:line="320" w:lineRule="exact"/>
              <w:rPr>
                <w:rFonts w:hint="default" w:ascii="Times New Roman" w:hAnsi="Times New Roman" w:eastAsia="宋体" w:cs="Times New Roman"/>
                <w:color w:val="auto"/>
                <w:sz w:val="21"/>
                <w:szCs w:val="21"/>
              </w:rPr>
            </w:pPr>
          </w:p>
        </w:tc>
        <w:tc>
          <w:tcPr>
            <w:tcW w:w="2515" w:type="pct"/>
            <w:vAlign w:val="center"/>
          </w:tcPr>
          <w:p>
            <w:pPr>
              <w:spacing w:line="32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总平面布置，应充分利用地形、地势、工程地质及水文地质条件，合理的布置建筑物、构筑物和有关设施，并应减少土（石）方工程量和基础工程费用。</w:t>
            </w:r>
          </w:p>
          <w:p>
            <w:pPr>
              <w:spacing w:line="32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当厂区地形坡度较大时，建筑物、构筑物的长轴宜顺等高线的</w:t>
            </w:r>
            <w:r>
              <w:rPr>
                <w:rFonts w:hint="default" w:ascii="Times New Roman" w:hAnsi="Times New Roman" w:eastAsia="宋体" w:cs="Times New Roman"/>
                <w:color w:val="auto"/>
                <w:kern w:val="0"/>
                <w:sz w:val="21"/>
                <w:szCs w:val="21"/>
              </w:rPr>
              <w:t>布置，应结合地形及竖向设计，为物料采用自流管道及高站台、低货位等设施创造条件。</w:t>
            </w:r>
          </w:p>
        </w:tc>
        <w:tc>
          <w:tcPr>
            <w:tcW w:w="373" w:type="pct"/>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2" w:type="pct"/>
            <w:gridSpan w:val="2"/>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《工业企业总平面设计规范》5.1.5</w:t>
            </w:r>
          </w:p>
        </w:tc>
        <w:tc>
          <w:tcPr>
            <w:tcW w:w="968" w:type="pct"/>
            <w:gridSpan w:val="2"/>
            <w:vAlign w:val="center"/>
          </w:tcPr>
          <w:p>
            <w:pPr>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充分利用地形、地势、工程地质及水文地质条件。</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29" w:type="pct"/>
            <w:vAlign w:val="center"/>
          </w:tcPr>
          <w:p>
            <w:pPr>
              <w:numPr>
                <w:ilvl w:val="0"/>
                <w:numId w:val="33"/>
              </w:numPr>
              <w:spacing w:line="320" w:lineRule="exact"/>
              <w:rPr>
                <w:rFonts w:hint="default" w:ascii="Times New Roman" w:hAnsi="Times New Roman" w:eastAsia="宋体" w:cs="Times New Roman"/>
                <w:color w:val="auto"/>
                <w:sz w:val="21"/>
                <w:szCs w:val="21"/>
              </w:rPr>
            </w:pPr>
          </w:p>
        </w:tc>
        <w:tc>
          <w:tcPr>
            <w:tcW w:w="2515" w:type="pct"/>
            <w:vAlign w:val="center"/>
          </w:tcPr>
          <w:p>
            <w:pPr>
              <w:spacing w:line="32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kern w:val="0"/>
                <w:sz w:val="21"/>
                <w:szCs w:val="21"/>
              </w:rPr>
              <w:t>总平面布置，应结合当地气象条件，使建筑物具有良好的朝向、采光和自然通风条件。高温、热加工、有特殊要求和人员较多的建筑物，应避免西晒。</w:t>
            </w:r>
          </w:p>
        </w:tc>
        <w:tc>
          <w:tcPr>
            <w:tcW w:w="373" w:type="pct"/>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2" w:type="pct"/>
            <w:gridSpan w:val="2"/>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《工业企业总平面设计规范》</w:t>
            </w:r>
          </w:p>
          <w:p>
            <w:pPr>
              <w:spacing w:line="32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kern w:val="0"/>
                <w:sz w:val="21"/>
                <w:szCs w:val="21"/>
              </w:rPr>
              <w:t>5.1.6</w:t>
            </w:r>
          </w:p>
        </w:tc>
        <w:tc>
          <w:tcPr>
            <w:tcW w:w="968" w:type="pct"/>
            <w:gridSpan w:val="2"/>
            <w:vAlign w:val="center"/>
          </w:tcPr>
          <w:p>
            <w:pPr>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总平面布置结合当地气象条件，使建筑物具有良好的朝向、采光和自然通风条件。</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29" w:type="pct"/>
            <w:vAlign w:val="center"/>
          </w:tcPr>
          <w:p>
            <w:pPr>
              <w:numPr>
                <w:ilvl w:val="0"/>
                <w:numId w:val="33"/>
              </w:numPr>
              <w:spacing w:line="320" w:lineRule="exact"/>
              <w:rPr>
                <w:rFonts w:hint="default" w:ascii="Times New Roman" w:hAnsi="Times New Roman" w:eastAsia="宋体" w:cs="Times New Roman"/>
                <w:color w:val="auto"/>
                <w:sz w:val="21"/>
                <w:szCs w:val="21"/>
              </w:rPr>
            </w:pPr>
          </w:p>
        </w:tc>
        <w:tc>
          <w:tcPr>
            <w:tcW w:w="2515" w:type="pct"/>
            <w:vAlign w:val="center"/>
          </w:tcPr>
          <w:p>
            <w:pPr>
              <w:spacing w:line="320" w:lineRule="exact"/>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总平面布置，应合理地组织货流和人流，并应符合下列要求：</w:t>
            </w:r>
          </w:p>
          <w:p>
            <w:pPr>
              <w:spacing w:line="320" w:lineRule="exact"/>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1运输线路的布置，应保证物流顺畅、径路短捷、不折返；</w:t>
            </w:r>
          </w:p>
          <w:p>
            <w:pPr>
              <w:spacing w:line="320" w:lineRule="exact"/>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2应避免运输繁忙的铁路与道路平面交叉；</w:t>
            </w:r>
          </w:p>
          <w:p>
            <w:pPr>
              <w:spacing w:line="320" w:lineRule="exact"/>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3应使人、货分流，应避免运输繁忙的货流与人流交叉；</w:t>
            </w:r>
          </w:p>
          <w:p>
            <w:pPr>
              <w:spacing w:line="320" w:lineRule="exact"/>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4应避免进出厂的主要货流与企业外部交通干线的平面交叉。</w:t>
            </w:r>
          </w:p>
        </w:tc>
        <w:tc>
          <w:tcPr>
            <w:tcW w:w="373" w:type="pct"/>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2" w:type="pct"/>
            <w:gridSpan w:val="2"/>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《工业企业总平面设计规范》</w:t>
            </w:r>
          </w:p>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5.1.8</w:t>
            </w:r>
          </w:p>
        </w:tc>
        <w:tc>
          <w:tcPr>
            <w:tcW w:w="968" w:type="pct"/>
            <w:gridSpan w:val="2"/>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人、货分流，避免运输繁忙的货流与人流交叉。</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29" w:type="pct"/>
            <w:vAlign w:val="center"/>
          </w:tcPr>
          <w:p>
            <w:pPr>
              <w:numPr>
                <w:ilvl w:val="0"/>
                <w:numId w:val="33"/>
              </w:numPr>
              <w:spacing w:line="320" w:lineRule="exact"/>
              <w:rPr>
                <w:rFonts w:hint="default" w:ascii="Times New Roman" w:hAnsi="Times New Roman" w:eastAsia="宋体" w:cs="Times New Roman"/>
                <w:color w:val="auto"/>
                <w:sz w:val="21"/>
                <w:szCs w:val="21"/>
              </w:rPr>
            </w:pPr>
          </w:p>
        </w:tc>
        <w:tc>
          <w:tcPr>
            <w:tcW w:w="2515" w:type="pct"/>
            <w:vAlign w:val="center"/>
          </w:tcPr>
          <w:p>
            <w:pPr>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工业企业厂区总平面布置应明确功能分区，可分为生产区、非生产区、辅助生产区。其工程用地应根据卫生要求，结合工业企业性质、规模、生产流程、交通运输、场地自然条件、技术经济条件等合理布局。</w:t>
            </w:r>
          </w:p>
        </w:tc>
        <w:tc>
          <w:tcPr>
            <w:tcW w:w="373" w:type="pct"/>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2" w:type="pct"/>
            <w:gridSpan w:val="2"/>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《工业企业设计卫生标准》</w:t>
            </w:r>
          </w:p>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5.2.1.1</w:t>
            </w:r>
          </w:p>
        </w:tc>
        <w:tc>
          <w:tcPr>
            <w:tcW w:w="968" w:type="pct"/>
            <w:gridSpan w:val="2"/>
            <w:vAlign w:val="center"/>
          </w:tcPr>
          <w:p>
            <w:pPr>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该公司明确功能分区，分为生产区、非生产区、辅助生产区。</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29" w:type="pct"/>
            <w:vAlign w:val="center"/>
          </w:tcPr>
          <w:p>
            <w:pPr>
              <w:numPr>
                <w:ilvl w:val="0"/>
                <w:numId w:val="33"/>
              </w:numPr>
              <w:spacing w:line="320" w:lineRule="exact"/>
              <w:rPr>
                <w:rFonts w:hint="default" w:ascii="Times New Roman" w:hAnsi="Times New Roman" w:eastAsia="宋体" w:cs="Times New Roman"/>
                <w:color w:val="auto"/>
                <w:sz w:val="21"/>
                <w:szCs w:val="21"/>
              </w:rPr>
            </w:pPr>
          </w:p>
        </w:tc>
        <w:tc>
          <w:tcPr>
            <w:tcW w:w="2515" w:type="pct"/>
            <w:vAlign w:val="center"/>
          </w:tcPr>
          <w:p>
            <w:pPr>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产生噪声、振动的厂房设计和设备布局应采取降噪和减振措施 。</w:t>
            </w:r>
          </w:p>
        </w:tc>
        <w:tc>
          <w:tcPr>
            <w:tcW w:w="373" w:type="pct"/>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2" w:type="pct"/>
            <w:gridSpan w:val="2"/>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《工业企业设计卫生标准》</w:t>
            </w:r>
          </w:p>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5.3.4</w:t>
            </w:r>
          </w:p>
        </w:tc>
        <w:tc>
          <w:tcPr>
            <w:tcW w:w="968" w:type="pct"/>
            <w:gridSpan w:val="2"/>
            <w:vAlign w:val="center"/>
          </w:tcPr>
          <w:p>
            <w:pPr>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产生噪声振动的厂房、设备采取降噪和减震措施。</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29" w:type="pct"/>
            <w:vAlign w:val="center"/>
          </w:tcPr>
          <w:p>
            <w:pPr>
              <w:numPr>
                <w:ilvl w:val="0"/>
                <w:numId w:val="33"/>
              </w:numPr>
              <w:spacing w:line="320" w:lineRule="exact"/>
              <w:rPr>
                <w:rFonts w:hint="default" w:ascii="Times New Roman" w:hAnsi="Times New Roman" w:eastAsia="宋体" w:cs="Times New Roman"/>
                <w:color w:val="auto"/>
                <w:sz w:val="21"/>
                <w:szCs w:val="21"/>
              </w:rPr>
            </w:pPr>
          </w:p>
        </w:tc>
        <w:tc>
          <w:tcPr>
            <w:tcW w:w="2515" w:type="pct"/>
            <w:vAlign w:val="center"/>
          </w:tcPr>
          <w:p>
            <w:pPr>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厂区总平面应按功能分区布置，可分为生产装置区、辅助生产区、公用工程设施区、仓储区和行政办公及生活服务区。辅助生产和公用工程设施也可布置在生产装置区内。功能分区布置应符合下列要求：</w:t>
            </w:r>
          </w:p>
          <w:p>
            <w:pPr>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 各功能区内部应布置紧凑、合理并与相邻功能区相协调。</w:t>
            </w:r>
          </w:p>
          <w:p>
            <w:pPr>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 各功能区之间物流输送、动力供应便捷合理。</w:t>
            </w:r>
          </w:p>
          <w:p>
            <w:pPr>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 生产装置区宜布置在全年最小频率风向的上风侧，行政办公及生活服务设施区宜布置在全年最小频率风向的下风侧，辅助生产和公用工程设施区宜布置在生产装置区与行政办公及生活服务设施区之间。</w:t>
            </w:r>
          </w:p>
        </w:tc>
        <w:tc>
          <w:tcPr>
            <w:tcW w:w="373" w:type="pct"/>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2" w:type="pct"/>
            <w:gridSpan w:val="2"/>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《化工企业总图运输设计规范》GB50489-2009</w:t>
            </w:r>
          </w:p>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5.1.4</w:t>
            </w:r>
          </w:p>
        </w:tc>
        <w:tc>
          <w:tcPr>
            <w:tcW w:w="968" w:type="pct"/>
            <w:gridSpan w:val="2"/>
            <w:vAlign w:val="center"/>
          </w:tcPr>
          <w:p>
            <w:pPr>
              <w:tabs>
                <w:tab w:val="left" w:pos="720"/>
              </w:tabs>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各功能分区布置合理；物流输送、动力供应便捷合理。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29" w:type="pct"/>
            <w:vAlign w:val="center"/>
          </w:tcPr>
          <w:p>
            <w:pPr>
              <w:numPr>
                <w:ilvl w:val="0"/>
                <w:numId w:val="33"/>
              </w:numPr>
              <w:spacing w:line="320" w:lineRule="exact"/>
              <w:rPr>
                <w:rFonts w:hint="default" w:ascii="Times New Roman" w:hAnsi="Times New Roman" w:eastAsia="宋体" w:cs="Times New Roman"/>
                <w:color w:val="auto"/>
                <w:sz w:val="21"/>
                <w:szCs w:val="21"/>
              </w:rPr>
            </w:pPr>
          </w:p>
        </w:tc>
        <w:tc>
          <w:tcPr>
            <w:tcW w:w="2515" w:type="pct"/>
            <w:vAlign w:val="center"/>
          </w:tcPr>
          <w:p>
            <w:pPr>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总平面布置应防止或减少有害气体、烟雾、粉尘、振动、噪声对周围环境的污染。</w:t>
            </w:r>
          </w:p>
        </w:tc>
        <w:tc>
          <w:tcPr>
            <w:tcW w:w="373" w:type="pct"/>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2" w:type="pct"/>
            <w:gridSpan w:val="2"/>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《化工企业总图运输设计规范》GB50489-2009</w:t>
            </w:r>
          </w:p>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5.1.10</w:t>
            </w:r>
          </w:p>
        </w:tc>
        <w:tc>
          <w:tcPr>
            <w:tcW w:w="968" w:type="pct"/>
            <w:gridSpan w:val="2"/>
            <w:vAlign w:val="center"/>
          </w:tcPr>
          <w:p>
            <w:pPr>
              <w:tabs>
                <w:tab w:val="left" w:pos="720"/>
              </w:tabs>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有相应措施。</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29" w:type="pct"/>
            <w:vAlign w:val="center"/>
          </w:tcPr>
          <w:p>
            <w:pPr>
              <w:numPr>
                <w:ilvl w:val="0"/>
                <w:numId w:val="33"/>
              </w:numPr>
              <w:spacing w:line="320" w:lineRule="exact"/>
              <w:rPr>
                <w:rFonts w:hint="default" w:ascii="Times New Roman" w:hAnsi="Times New Roman" w:eastAsia="宋体" w:cs="Times New Roman"/>
                <w:color w:val="auto"/>
                <w:sz w:val="21"/>
                <w:szCs w:val="21"/>
              </w:rPr>
            </w:pPr>
          </w:p>
        </w:tc>
        <w:tc>
          <w:tcPr>
            <w:tcW w:w="2515" w:type="pct"/>
            <w:vAlign w:val="center"/>
          </w:tcPr>
          <w:p>
            <w:pPr>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运输路线的布置，应使物流顺畅、短捷，并应避免或减少折返迂回。人流、货流组织应合理，并应避免运输繁忙的路线与人流交叉和运输繁忙的铁路与道路平面交叉。</w:t>
            </w:r>
          </w:p>
        </w:tc>
        <w:tc>
          <w:tcPr>
            <w:tcW w:w="373" w:type="pct"/>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2" w:type="pct"/>
            <w:gridSpan w:val="2"/>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《化工企业总图运输设计规范》GB50489-2009</w:t>
            </w:r>
          </w:p>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5.1.13</w:t>
            </w:r>
          </w:p>
        </w:tc>
        <w:tc>
          <w:tcPr>
            <w:tcW w:w="968" w:type="pct"/>
            <w:gridSpan w:val="2"/>
            <w:vAlign w:val="center"/>
          </w:tcPr>
          <w:p>
            <w:pPr>
              <w:tabs>
                <w:tab w:val="left" w:pos="720"/>
              </w:tabs>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人流物流分开设置。</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29" w:type="pct"/>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二</w:t>
            </w:r>
            <w:r>
              <w:rPr>
                <w:rFonts w:hint="default" w:ascii="Times New Roman" w:hAnsi="Times New Roman" w:eastAsia="宋体" w:cs="Times New Roman"/>
                <w:color w:val="auto"/>
                <w:kern w:val="0"/>
                <w:sz w:val="21"/>
                <w:szCs w:val="21"/>
              </w:rPr>
              <w:br w:type="page"/>
            </w:r>
          </w:p>
        </w:tc>
        <w:tc>
          <w:tcPr>
            <w:tcW w:w="2515" w:type="pct"/>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生产设施</w:t>
            </w:r>
          </w:p>
        </w:tc>
        <w:tc>
          <w:tcPr>
            <w:tcW w:w="373" w:type="pct"/>
            <w:vAlign w:val="center"/>
          </w:tcPr>
          <w:p>
            <w:pPr>
              <w:spacing w:line="320" w:lineRule="exact"/>
              <w:jc w:val="center"/>
              <w:rPr>
                <w:rFonts w:hint="default" w:ascii="Times New Roman" w:hAnsi="Times New Roman" w:eastAsia="宋体" w:cs="Times New Roman"/>
                <w:color w:val="auto"/>
                <w:kern w:val="0"/>
                <w:sz w:val="21"/>
                <w:szCs w:val="21"/>
              </w:rPr>
            </w:pPr>
          </w:p>
        </w:tc>
        <w:tc>
          <w:tcPr>
            <w:tcW w:w="912" w:type="pct"/>
            <w:gridSpan w:val="2"/>
            <w:vAlign w:val="center"/>
          </w:tcPr>
          <w:p>
            <w:pPr>
              <w:spacing w:line="320" w:lineRule="exact"/>
              <w:jc w:val="center"/>
              <w:rPr>
                <w:rFonts w:hint="default" w:ascii="Times New Roman" w:hAnsi="Times New Roman" w:eastAsia="宋体" w:cs="Times New Roman"/>
                <w:color w:val="auto"/>
                <w:kern w:val="0"/>
                <w:sz w:val="21"/>
                <w:szCs w:val="21"/>
              </w:rPr>
            </w:pPr>
          </w:p>
        </w:tc>
        <w:tc>
          <w:tcPr>
            <w:tcW w:w="968" w:type="pct"/>
            <w:gridSpan w:val="2"/>
            <w:vAlign w:val="center"/>
          </w:tcPr>
          <w:p>
            <w:pPr>
              <w:spacing w:line="320" w:lineRule="exact"/>
              <w:rPr>
                <w:rFonts w:hint="default" w:ascii="Times New Roman" w:hAnsi="Times New Roman" w:eastAsia="宋体" w:cs="Times New Roman"/>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29" w:type="pct"/>
            <w:vAlign w:val="center"/>
          </w:tcPr>
          <w:p>
            <w:pPr>
              <w:numPr>
                <w:ilvl w:val="0"/>
                <w:numId w:val="33"/>
              </w:numPr>
              <w:spacing w:line="320" w:lineRule="exact"/>
              <w:rPr>
                <w:rFonts w:hint="default" w:ascii="Times New Roman" w:hAnsi="Times New Roman" w:eastAsia="宋体" w:cs="Times New Roman"/>
                <w:color w:val="auto"/>
                <w:sz w:val="21"/>
                <w:szCs w:val="21"/>
              </w:rPr>
            </w:pPr>
          </w:p>
        </w:tc>
        <w:tc>
          <w:tcPr>
            <w:tcW w:w="2515" w:type="pct"/>
            <w:vAlign w:val="center"/>
          </w:tcPr>
          <w:p>
            <w:pPr>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大型建筑物、构筑物，重型设备和生产装置等，应布置在土质均匀、地基承载力较大的地段；对较大、较深的地下建筑物、构筑物，宜布置在地下水位较低的填方地段。</w:t>
            </w:r>
          </w:p>
        </w:tc>
        <w:tc>
          <w:tcPr>
            <w:tcW w:w="373" w:type="pct"/>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2" w:type="pct"/>
            <w:gridSpan w:val="2"/>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《工业企业总平面设计规范》</w:t>
            </w:r>
          </w:p>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5.2.1</w:t>
            </w:r>
          </w:p>
        </w:tc>
        <w:tc>
          <w:tcPr>
            <w:tcW w:w="968" w:type="pct"/>
            <w:gridSpan w:val="2"/>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布置在土质均匀、地基承载力较大的地段。</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29" w:type="pct"/>
            <w:tcBorders>
              <w:bottom w:val="single" w:color="auto" w:sz="2" w:space="0"/>
            </w:tcBorders>
            <w:vAlign w:val="center"/>
          </w:tcPr>
          <w:p>
            <w:pPr>
              <w:numPr>
                <w:ilvl w:val="0"/>
                <w:numId w:val="33"/>
              </w:numPr>
              <w:spacing w:line="320" w:lineRule="exact"/>
              <w:rPr>
                <w:rFonts w:hint="default" w:ascii="Times New Roman" w:hAnsi="Times New Roman" w:eastAsia="宋体" w:cs="Times New Roman"/>
                <w:color w:val="auto"/>
                <w:sz w:val="21"/>
                <w:szCs w:val="21"/>
              </w:rPr>
            </w:pPr>
          </w:p>
        </w:tc>
        <w:tc>
          <w:tcPr>
            <w:tcW w:w="2515" w:type="pct"/>
            <w:tcBorders>
              <w:bottom w:val="single" w:color="auto" w:sz="2" w:space="0"/>
            </w:tcBorders>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产生高噪声的生产设施，总图宜符合下列要求：</w:t>
            </w:r>
          </w:p>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 宜相对集中布置在远离人员集中和有安静要求的场所；</w:t>
            </w:r>
          </w:p>
          <w:p>
            <w:pPr>
              <w:spacing w:line="320" w:lineRule="exact"/>
              <w:rPr>
                <w:rFonts w:hint="default" w:ascii="Times New Roman" w:hAnsi="Times New Roman" w:eastAsia="宋体" w:cs="Times New Roman"/>
                <w:color w:val="auto"/>
                <w:spacing w:val="-6"/>
                <w:kern w:val="0"/>
                <w:sz w:val="21"/>
                <w:szCs w:val="21"/>
              </w:rPr>
            </w:pPr>
            <w:r>
              <w:rPr>
                <w:rFonts w:hint="default" w:ascii="Times New Roman" w:hAnsi="Times New Roman" w:eastAsia="宋体" w:cs="Times New Roman"/>
                <w:color w:val="auto"/>
                <w:spacing w:val="-6"/>
                <w:kern w:val="0"/>
                <w:sz w:val="21"/>
                <w:szCs w:val="21"/>
              </w:rPr>
              <w:t>2 产生高噪声的车间应与低噪声的车间分开布置；</w:t>
            </w:r>
          </w:p>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 产生声生产设施的周围宜布置对噪声较不敏感、高大、朝向有利于隔声的建筑物、构筑物和堆场等；</w:t>
            </w:r>
          </w:p>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 产生高噪声的生产设施与相邻设施的防噪声间距，应符合国家现行的有关噪声卫生防护距离的规定；</w:t>
            </w:r>
          </w:p>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 厂区内各类地点及厂界处的噪声限制值和总平面布置中的噪声控制，尚应符合现行国家标准《工业企业噪声控制设计规范》GBJ 87 的有关规定。</w:t>
            </w:r>
          </w:p>
        </w:tc>
        <w:tc>
          <w:tcPr>
            <w:tcW w:w="373" w:type="pct"/>
            <w:tcBorders>
              <w:bottom w:val="single" w:color="auto" w:sz="2" w:space="0"/>
            </w:tcBorders>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2" w:type="pct"/>
            <w:gridSpan w:val="2"/>
            <w:tcBorders>
              <w:bottom w:val="single" w:color="auto" w:sz="2" w:space="0"/>
            </w:tcBorders>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《工业企业总平面设计规范》5.2.5</w:t>
            </w:r>
          </w:p>
        </w:tc>
        <w:tc>
          <w:tcPr>
            <w:tcW w:w="968" w:type="pct"/>
            <w:gridSpan w:val="2"/>
            <w:tcBorders>
              <w:bottom w:val="single" w:color="auto" w:sz="2" w:space="0"/>
            </w:tcBorders>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产生高噪声的</w:t>
            </w:r>
            <w:r>
              <w:rPr>
                <w:rFonts w:hint="default" w:ascii="Times New Roman" w:hAnsi="Times New Roman" w:eastAsia="宋体" w:cs="Times New Roman"/>
                <w:color w:val="auto"/>
                <w:sz w:val="21"/>
                <w:szCs w:val="21"/>
              </w:rPr>
              <w:t>厂房</w:t>
            </w:r>
            <w:r>
              <w:rPr>
                <w:rFonts w:hint="default" w:ascii="Times New Roman" w:hAnsi="Times New Roman" w:eastAsia="宋体" w:cs="Times New Roman"/>
                <w:color w:val="auto"/>
                <w:kern w:val="0"/>
                <w:sz w:val="21"/>
                <w:szCs w:val="21"/>
              </w:rPr>
              <w:t>与低噪声的</w:t>
            </w:r>
            <w:r>
              <w:rPr>
                <w:rFonts w:hint="default" w:ascii="Times New Roman" w:hAnsi="Times New Roman" w:eastAsia="宋体" w:cs="Times New Roman"/>
                <w:color w:val="auto"/>
                <w:sz w:val="21"/>
                <w:szCs w:val="21"/>
              </w:rPr>
              <w:t>建筑</w:t>
            </w:r>
            <w:r>
              <w:rPr>
                <w:rFonts w:hint="default" w:ascii="Times New Roman" w:hAnsi="Times New Roman" w:eastAsia="宋体" w:cs="Times New Roman"/>
                <w:color w:val="auto"/>
                <w:kern w:val="0"/>
                <w:sz w:val="21"/>
                <w:szCs w:val="21"/>
              </w:rPr>
              <w:t>分开布置。高噪声的设备采取降噪措施。</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29" w:type="pct"/>
            <w:tcBorders>
              <w:top w:val="single" w:color="auto" w:sz="2" w:space="0"/>
            </w:tcBorders>
            <w:vAlign w:val="center"/>
          </w:tcPr>
          <w:p>
            <w:pPr>
              <w:spacing w:line="32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三</w:t>
            </w:r>
          </w:p>
        </w:tc>
        <w:tc>
          <w:tcPr>
            <w:tcW w:w="2515" w:type="pct"/>
            <w:tcBorders>
              <w:top w:val="single" w:color="auto" w:sz="2" w:space="0"/>
            </w:tcBorders>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公用工程及辅助生产设施</w:t>
            </w:r>
          </w:p>
        </w:tc>
        <w:tc>
          <w:tcPr>
            <w:tcW w:w="373" w:type="pct"/>
            <w:tcBorders>
              <w:top w:val="single" w:color="auto" w:sz="2" w:space="0"/>
            </w:tcBorders>
            <w:vAlign w:val="center"/>
          </w:tcPr>
          <w:p>
            <w:pPr>
              <w:spacing w:line="320" w:lineRule="exact"/>
              <w:jc w:val="center"/>
              <w:rPr>
                <w:rFonts w:hint="default" w:ascii="Times New Roman" w:hAnsi="Times New Roman" w:eastAsia="宋体" w:cs="Times New Roman"/>
                <w:color w:val="auto"/>
                <w:kern w:val="0"/>
                <w:sz w:val="21"/>
                <w:szCs w:val="21"/>
              </w:rPr>
            </w:pPr>
          </w:p>
        </w:tc>
        <w:tc>
          <w:tcPr>
            <w:tcW w:w="912" w:type="pct"/>
            <w:gridSpan w:val="2"/>
            <w:tcBorders>
              <w:top w:val="single" w:color="auto" w:sz="2" w:space="0"/>
            </w:tcBorders>
            <w:vAlign w:val="center"/>
          </w:tcPr>
          <w:p>
            <w:pPr>
              <w:spacing w:line="320" w:lineRule="exact"/>
              <w:jc w:val="center"/>
              <w:rPr>
                <w:rFonts w:hint="default" w:ascii="Times New Roman" w:hAnsi="Times New Roman" w:eastAsia="宋体" w:cs="Times New Roman"/>
                <w:color w:val="auto"/>
                <w:kern w:val="0"/>
                <w:sz w:val="21"/>
                <w:szCs w:val="21"/>
              </w:rPr>
            </w:pPr>
          </w:p>
        </w:tc>
        <w:tc>
          <w:tcPr>
            <w:tcW w:w="968" w:type="pct"/>
            <w:gridSpan w:val="2"/>
            <w:tcBorders>
              <w:top w:val="single" w:color="auto" w:sz="2" w:space="0"/>
            </w:tcBorders>
            <w:vAlign w:val="center"/>
          </w:tcPr>
          <w:p>
            <w:pPr>
              <w:spacing w:line="320" w:lineRule="exact"/>
              <w:rPr>
                <w:rFonts w:hint="default" w:ascii="Times New Roman" w:hAnsi="Times New Roman" w:eastAsia="宋体" w:cs="Times New Roman"/>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29" w:type="pct"/>
            <w:vAlign w:val="center"/>
          </w:tcPr>
          <w:p>
            <w:pPr>
              <w:numPr>
                <w:ilvl w:val="0"/>
                <w:numId w:val="33"/>
              </w:numPr>
              <w:spacing w:line="320" w:lineRule="exact"/>
              <w:rPr>
                <w:rFonts w:hint="default" w:ascii="Times New Roman" w:hAnsi="Times New Roman" w:eastAsia="宋体" w:cs="Times New Roman"/>
                <w:color w:val="auto"/>
                <w:sz w:val="21"/>
                <w:szCs w:val="21"/>
              </w:rPr>
            </w:pPr>
          </w:p>
        </w:tc>
        <w:tc>
          <w:tcPr>
            <w:tcW w:w="2515" w:type="pct"/>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公用设施的布置，宜位于其负荷中心，或靠近主要用户。</w:t>
            </w:r>
          </w:p>
        </w:tc>
        <w:tc>
          <w:tcPr>
            <w:tcW w:w="373" w:type="pct"/>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2" w:type="pct"/>
            <w:gridSpan w:val="2"/>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《工业企业总平面设计规范》5.3.1</w:t>
            </w:r>
          </w:p>
        </w:tc>
        <w:tc>
          <w:tcPr>
            <w:tcW w:w="968" w:type="pct"/>
            <w:gridSpan w:val="2"/>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靠近主要用户。</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29" w:type="pct"/>
            <w:vAlign w:val="center"/>
          </w:tcPr>
          <w:p>
            <w:pPr>
              <w:numPr>
                <w:ilvl w:val="0"/>
                <w:numId w:val="33"/>
              </w:numPr>
              <w:spacing w:line="320" w:lineRule="exact"/>
              <w:rPr>
                <w:rFonts w:hint="default" w:ascii="Times New Roman" w:hAnsi="Times New Roman" w:eastAsia="宋体" w:cs="Times New Roman"/>
                <w:color w:val="auto"/>
                <w:sz w:val="21"/>
                <w:szCs w:val="21"/>
              </w:rPr>
            </w:pPr>
          </w:p>
        </w:tc>
        <w:tc>
          <w:tcPr>
            <w:tcW w:w="2515" w:type="pct"/>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厂区出入口的位置和数量，应根据企业的生产规模、总体规划、厂区用地面积及总平面布置等因素综合确定，并应符合下列要求：</w:t>
            </w:r>
          </w:p>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 出入口的数量不宜少于 2 个；</w:t>
            </w:r>
          </w:p>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 主要人流出入口宜与主要货流出入口分开设置，并应位于厂区主干道通往居住区或城镇的一侧；主要货流出入口应位于主要货流方向，应靠近运输繁忙的仓库、堆场，并应与外部运输线路连接方便；</w:t>
            </w:r>
          </w:p>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 铁路出入口，应具备良好的瞭望条件。</w:t>
            </w:r>
          </w:p>
        </w:tc>
        <w:tc>
          <w:tcPr>
            <w:tcW w:w="373" w:type="pct"/>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2" w:type="pct"/>
            <w:gridSpan w:val="2"/>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《工业企业总平面设计规范》</w:t>
            </w:r>
          </w:p>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5. 7.4</w:t>
            </w:r>
          </w:p>
        </w:tc>
        <w:tc>
          <w:tcPr>
            <w:tcW w:w="968" w:type="pct"/>
            <w:gridSpan w:val="2"/>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出入口</w:t>
            </w:r>
            <w:r>
              <w:rPr>
                <w:rFonts w:hint="default" w:ascii="Times New Roman" w:hAnsi="Times New Roman" w:eastAsia="宋体" w:cs="Times New Roman"/>
                <w:color w:val="auto"/>
                <w:kern w:val="0"/>
                <w:sz w:val="21"/>
                <w:szCs w:val="21"/>
                <w:lang w:val="en-US" w:eastAsia="zh-CN"/>
              </w:rPr>
              <w:t>不少于</w:t>
            </w:r>
            <w:r>
              <w:rPr>
                <w:rFonts w:hint="default" w:ascii="Times New Roman" w:hAnsi="Times New Roman" w:eastAsia="宋体" w:cs="Times New Roman"/>
                <w:color w:val="auto"/>
                <w:kern w:val="0"/>
                <w:sz w:val="21"/>
                <w:szCs w:val="21"/>
              </w:rPr>
              <w:t>2个，主要人流出入口和货流出入口分开设置。</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vAlign w:val="center"/>
          </w:tcPr>
          <w:p>
            <w:pPr>
              <w:numPr>
                <w:ilvl w:val="0"/>
                <w:numId w:val="33"/>
              </w:numPr>
              <w:spacing w:line="320" w:lineRule="exact"/>
              <w:rPr>
                <w:rFonts w:hint="default" w:ascii="Times New Roman" w:hAnsi="Times New Roman" w:eastAsia="宋体" w:cs="Times New Roman"/>
                <w:color w:val="auto"/>
                <w:sz w:val="21"/>
                <w:szCs w:val="21"/>
              </w:rPr>
            </w:pPr>
          </w:p>
        </w:tc>
        <w:tc>
          <w:tcPr>
            <w:tcW w:w="2515" w:type="pct"/>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仓库与堆场，应根据贮存物料的性质、货流出入方向、供应对象、贮存面积、运输方式等因素，按不同类别相对集中布置，并为运输、装卸、管理创造有利条件，且应符合国家现行的防火、防爆、安全、卫生等工程设计标准的有关规定。</w:t>
            </w:r>
          </w:p>
        </w:tc>
        <w:tc>
          <w:tcPr>
            <w:tcW w:w="373" w:type="pct"/>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1" w:type="pct"/>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《工业企业总平面设计规范》5.6.1</w:t>
            </w:r>
          </w:p>
        </w:tc>
        <w:tc>
          <w:tcPr>
            <w:tcW w:w="968" w:type="pct"/>
            <w:gridSpan w:val="2"/>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按不同类别集中布置，便于运输、装卸。</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vAlign w:val="center"/>
          </w:tcPr>
          <w:p>
            <w:pPr>
              <w:spacing w:line="32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四</w:t>
            </w:r>
          </w:p>
        </w:tc>
        <w:tc>
          <w:tcPr>
            <w:tcW w:w="2515" w:type="pct"/>
            <w:vAlign w:val="center"/>
          </w:tcPr>
          <w:p>
            <w:pPr>
              <w:spacing w:line="32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建构筑物</w:t>
            </w:r>
          </w:p>
        </w:tc>
        <w:tc>
          <w:tcPr>
            <w:tcW w:w="373" w:type="pct"/>
            <w:vAlign w:val="center"/>
          </w:tcPr>
          <w:p>
            <w:pPr>
              <w:spacing w:line="320" w:lineRule="exact"/>
              <w:jc w:val="center"/>
              <w:rPr>
                <w:rFonts w:hint="default" w:ascii="Times New Roman" w:hAnsi="Times New Roman" w:eastAsia="宋体" w:cs="Times New Roman"/>
                <w:color w:val="auto"/>
                <w:kern w:val="0"/>
                <w:sz w:val="21"/>
                <w:szCs w:val="21"/>
              </w:rPr>
            </w:pPr>
          </w:p>
        </w:tc>
        <w:tc>
          <w:tcPr>
            <w:tcW w:w="911" w:type="pct"/>
            <w:vAlign w:val="center"/>
          </w:tcPr>
          <w:p>
            <w:pPr>
              <w:spacing w:line="320" w:lineRule="exact"/>
              <w:jc w:val="center"/>
              <w:rPr>
                <w:rFonts w:hint="default" w:ascii="Times New Roman" w:hAnsi="Times New Roman" w:eastAsia="宋体" w:cs="Times New Roman"/>
                <w:color w:val="auto"/>
                <w:kern w:val="0"/>
                <w:sz w:val="21"/>
                <w:szCs w:val="21"/>
              </w:rPr>
            </w:pPr>
          </w:p>
        </w:tc>
        <w:tc>
          <w:tcPr>
            <w:tcW w:w="968" w:type="pct"/>
            <w:gridSpan w:val="2"/>
            <w:vAlign w:val="center"/>
          </w:tcPr>
          <w:p>
            <w:pPr>
              <w:spacing w:line="320" w:lineRule="exact"/>
              <w:rPr>
                <w:rFonts w:hint="default" w:ascii="Times New Roman" w:hAnsi="Times New Roman" w:eastAsia="宋体" w:cs="Times New Roman"/>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vAlign w:val="center"/>
          </w:tcPr>
          <w:p>
            <w:pPr>
              <w:keepNext w:val="0"/>
              <w:keepLines w:val="0"/>
              <w:pageBreakBefore w:val="0"/>
              <w:widowControl w:val="0"/>
              <w:numPr>
                <w:ilvl w:val="0"/>
                <w:numId w:val="33"/>
              </w:numPr>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sz w:val="21"/>
                <w:szCs w:val="21"/>
              </w:rPr>
            </w:pPr>
          </w:p>
        </w:tc>
        <w:tc>
          <w:tcPr>
            <w:tcW w:w="2515"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auto" w:fill="FFFFFF"/>
              </w:rPr>
              <w:t>除本规范另有规定外，厂房的层数和每个防火分区的最大允许建筑面积应符合表3.3.1 的规定。</w:t>
            </w:r>
          </w:p>
        </w:tc>
        <w:tc>
          <w:tcPr>
            <w:tcW w:w="37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《建筑设计防火规范》（2018版）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3.3.1</w:t>
            </w:r>
          </w:p>
        </w:tc>
        <w:tc>
          <w:tcPr>
            <w:tcW w:w="96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lang w:eastAsia="zh-CN"/>
              </w:rPr>
              <w:t>氨化车间的防火分区不限</w:t>
            </w:r>
            <w:r>
              <w:rPr>
                <w:rFonts w:hint="default" w:ascii="Times New Roman" w:hAnsi="Times New Roman" w:eastAsia="宋体" w:cs="Times New Roman"/>
                <w:color w:val="auto"/>
                <w:kern w:val="0"/>
                <w:sz w:val="21"/>
                <w:szCs w:val="21"/>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vAlign w:val="center"/>
          </w:tcPr>
          <w:p>
            <w:pPr>
              <w:keepNext w:val="0"/>
              <w:keepLines w:val="0"/>
              <w:pageBreakBefore w:val="0"/>
              <w:widowControl w:val="0"/>
              <w:numPr>
                <w:ilvl w:val="0"/>
                <w:numId w:val="33"/>
              </w:numPr>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sz w:val="21"/>
                <w:szCs w:val="21"/>
              </w:rPr>
            </w:pPr>
          </w:p>
        </w:tc>
        <w:tc>
          <w:tcPr>
            <w:tcW w:w="2515"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除本规范另有规定外，仓库的层数和面积应符合表3.3.2的规定。</w:t>
            </w:r>
          </w:p>
        </w:tc>
        <w:tc>
          <w:tcPr>
            <w:tcW w:w="37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《建筑设计防火规范》（2018版）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3.3.</w:t>
            </w:r>
            <w:r>
              <w:rPr>
                <w:rFonts w:hint="default" w:ascii="Times New Roman" w:hAnsi="Times New Roman" w:cs="Times New Roman"/>
                <w:color w:val="auto"/>
                <w:kern w:val="0"/>
                <w:sz w:val="21"/>
                <w:szCs w:val="21"/>
                <w:lang w:val="en-US" w:eastAsia="zh-CN"/>
              </w:rPr>
              <w:t>2</w:t>
            </w:r>
          </w:p>
        </w:tc>
        <w:tc>
          <w:tcPr>
            <w:tcW w:w="96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仓库的防火分区不限。</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vAlign w:val="center"/>
          </w:tcPr>
          <w:p>
            <w:pPr>
              <w:keepNext w:val="0"/>
              <w:keepLines w:val="0"/>
              <w:pageBreakBefore w:val="0"/>
              <w:widowControl w:val="0"/>
              <w:numPr>
                <w:ilvl w:val="0"/>
                <w:numId w:val="33"/>
              </w:numPr>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sz w:val="21"/>
                <w:szCs w:val="21"/>
              </w:rPr>
            </w:pPr>
          </w:p>
        </w:tc>
        <w:tc>
          <w:tcPr>
            <w:tcW w:w="2515"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甲乙类生产场所（仓库）不应设置在地下或半地下。</w:t>
            </w:r>
          </w:p>
        </w:tc>
        <w:tc>
          <w:tcPr>
            <w:tcW w:w="37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《建筑设计防火规范》（2018版）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3.3.4</w:t>
            </w:r>
          </w:p>
        </w:tc>
        <w:tc>
          <w:tcPr>
            <w:tcW w:w="96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不涉及甲乙类生产场所（仓库）</w:t>
            </w:r>
            <w:r>
              <w:rPr>
                <w:rFonts w:hint="default" w:ascii="Times New Roman" w:hAnsi="Times New Roman" w:eastAsia="宋体" w:cs="Times New Roman"/>
                <w:color w:val="auto"/>
                <w:kern w:val="0"/>
                <w:sz w:val="21"/>
                <w:szCs w:val="21"/>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tcBorders>
              <w:bottom w:val="single" w:color="auto" w:sz="2" w:space="0"/>
            </w:tcBorders>
            <w:vAlign w:val="center"/>
          </w:tcPr>
          <w:p>
            <w:pPr>
              <w:keepNext w:val="0"/>
              <w:keepLines w:val="0"/>
              <w:pageBreakBefore w:val="0"/>
              <w:widowControl w:val="0"/>
              <w:numPr>
                <w:ilvl w:val="0"/>
                <w:numId w:val="33"/>
              </w:numPr>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sz w:val="21"/>
                <w:szCs w:val="21"/>
              </w:rPr>
            </w:pPr>
          </w:p>
        </w:tc>
        <w:tc>
          <w:tcPr>
            <w:tcW w:w="2515" w:type="pct"/>
            <w:tcBorders>
              <w:bottom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员工宿舍严禁设置在厂房内。</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办公室、休息室等不应设置在甲、乙类厂房内，确需贴邻本厂房时，其耐火等级不应低于二级，并应采用耐火极限不低于3.00h的防爆墙与厂房分隔和设置独立的安全出口。</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办公室、休息室设置在丙类厂房内时，应采用耐火极限不低于2.50h的防火隔墙和1.00h的楼板与其他部位分隔，并应至少设置1个独立的安全出口。如隔墙上需开设相互连通的门时，应采用乙级防火门。</w:t>
            </w:r>
          </w:p>
        </w:tc>
        <w:tc>
          <w:tcPr>
            <w:tcW w:w="373" w:type="pct"/>
            <w:tcBorders>
              <w:bottom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1" w:type="pct"/>
            <w:tcBorders>
              <w:bottom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《建筑设计防火规范》（2018版）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3.3.5</w:t>
            </w:r>
          </w:p>
        </w:tc>
        <w:tc>
          <w:tcPr>
            <w:tcW w:w="968" w:type="pct"/>
            <w:gridSpan w:val="2"/>
            <w:tcBorders>
              <w:bottom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员工宿舍、办公室、休息室等未设置在上述厂房内</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tcBorders>
              <w:top w:val="single" w:color="auto" w:sz="2" w:space="0"/>
            </w:tcBorders>
            <w:vAlign w:val="center"/>
          </w:tcPr>
          <w:p>
            <w:pPr>
              <w:keepNext w:val="0"/>
              <w:keepLines w:val="0"/>
              <w:pageBreakBefore w:val="0"/>
              <w:widowControl w:val="0"/>
              <w:numPr>
                <w:ilvl w:val="0"/>
                <w:numId w:val="33"/>
              </w:numPr>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sz w:val="21"/>
                <w:szCs w:val="21"/>
              </w:rPr>
            </w:pPr>
          </w:p>
        </w:tc>
        <w:tc>
          <w:tcPr>
            <w:tcW w:w="2515" w:type="pct"/>
            <w:tcBorders>
              <w:top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员工宿舍严禁设置在仓库内。</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办公室、休息室等严禁设置在甲、乙类仓库内，也不应贴邻。</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办公室、休息室设置在丙、丁类仓库内时，应采用耐火极限不低于2.50h 的防火隔墙和1.00h 的楼板与其他部位分隔，并应设置独立的安全出口。隔墙上需开设相互连通的门时，应采用乙级防火门。</w:t>
            </w:r>
          </w:p>
        </w:tc>
        <w:tc>
          <w:tcPr>
            <w:tcW w:w="373" w:type="pct"/>
            <w:tcBorders>
              <w:top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1" w:type="pct"/>
            <w:tcBorders>
              <w:top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《建筑设计防火规范》（2018版）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3.3.9</w:t>
            </w:r>
          </w:p>
        </w:tc>
        <w:tc>
          <w:tcPr>
            <w:tcW w:w="968" w:type="pct"/>
            <w:gridSpan w:val="2"/>
            <w:tcBorders>
              <w:top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员工宿舍、办公室、休息室等未设置在仓库内。</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vAlign w:val="center"/>
          </w:tcPr>
          <w:p>
            <w:pPr>
              <w:keepNext w:val="0"/>
              <w:keepLines w:val="0"/>
              <w:pageBreakBefore w:val="0"/>
              <w:widowControl w:val="0"/>
              <w:numPr>
                <w:ilvl w:val="0"/>
                <w:numId w:val="33"/>
              </w:numPr>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sz w:val="21"/>
                <w:szCs w:val="21"/>
              </w:rPr>
            </w:pPr>
          </w:p>
        </w:tc>
        <w:tc>
          <w:tcPr>
            <w:tcW w:w="2515"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除本规范另有规定外，厂房之间及与乙丙丁戊类仓库、民用建筑等的防火间距不应小于表3.4.1的规定，与甲类仓库的防火间距应符合本规范第3.5.1的规定。</w:t>
            </w:r>
          </w:p>
        </w:tc>
        <w:tc>
          <w:tcPr>
            <w:tcW w:w="37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《建筑设计防火规范》（2018版）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3.4.1</w:t>
            </w:r>
          </w:p>
        </w:tc>
        <w:tc>
          <w:tcPr>
            <w:tcW w:w="96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各建构筑物防火间距满足要求。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vAlign w:val="center"/>
          </w:tcPr>
          <w:p>
            <w:pPr>
              <w:keepNext w:val="0"/>
              <w:keepLines w:val="0"/>
              <w:pageBreakBefore w:val="0"/>
              <w:widowControl w:val="0"/>
              <w:numPr>
                <w:ilvl w:val="0"/>
                <w:numId w:val="33"/>
              </w:numPr>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sz w:val="21"/>
                <w:szCs w:val="21"/>
              </w:rPr>
            </w:pPr>
          </w:p>
        </w:tc>
        <w:tc>
          <w:tcPr>
            <w:tcW w:w="2515"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厂区围墙与厂内建筑之间的间距不宜小于5.0m，且围墙两侧的建筑之间还应满足相应的防火间距要求。</w:t>
            </w:r>
          </w:p>
        </w:tc>
        <w:tc>
          <w:tcPr>
            <w:tcW w:w="37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《建筑设计防火规范》（2018版）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3.4.12</w:t>
            </w:r>
          </w:p>
        </w:tc>
        <w:tc>
          <w:tcPr>
            <w:tcW w:w="96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厂区围墙与厂内建筑物之间的间距不小于5 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vAlign w:val="center"/>
          </w:tcPr>
          <w:p>
            <w:pPr>
              <w:numPr>
                <w:ilvl w:val="0"/>
                <w:numId w:val="33"/>
              </w:numPr>
              <w:spacing w:line="280" w:lineRule="exact"/>
              <w:rPr>
                <w:rFonts w:hint="default" w:ascii="Times New Roman" w:hAnsi="Times New Roman" w:eastAsia="宋体" w:cs="Times New Roman"/>
                <w:color w:val="auto"/>
                <w:sz w:val="21"/>
                <w:szCs w:val="21"/>
              </w:rPr>
            </w:pPr>
          </w:p>
        </w:tc>
        <w:tc>
          <w:tcPr>
            <w:tcW w:w="2515" w:type="pct"/>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auto" w:fill="FFFFFF"/>
              </w:rPr>
              <w:t>厂房的安全出口应分散布置。每个防火分区或一个防火分区的每个楼层，其相邻2个安全出口最近边缘之间的水平距离不应小于5m。</w:t>
            </w:r>
          </w:p>
        </w:tc>
        <w:tc>
          <w:tcPr>
            <w:tcW w:w="373" w:type="pct"/>
            <w:vAlign w:val="center"/>
          </w:tcPr>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可研未明确</w:t>
            </w:r>
          </w:p>
        </w:tc>
        <w:tc>
          <w:tcPr>
            <w:tcW w:w="911" w:type="pct"/>
            <w:vAlign w:val="center"/>
          </w:tcPr>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《建筑设计防火规范》</w:t>
            </w:r>
          </w:p>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3.7.1</w:t>
            </w:r>
          </w:p>
        </w:tc>
        <w:tc>
          <w:tcPr>
            <w:tcW w:w="968" w:type="pct"/>
            <w:gridSpan w:val="2"/>
            <w:vAlign w:val="center"/>
          </w:tcPr>
          <w:p>
            <w:pPr>
              <w:spacing w:line="28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安全出口分散布置。</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vAlign w:val="center"/>
          </w:tcPr>
          <w:p>
            <w:pPr>
              <w:numPr>
                <w:ilvl w:val="0"/>
                <w:numId w:val="33"/>
              </w:numPr>
              <w:spacing w:line="280" w:lineRule="exact"/>
              <w:rPr>
                <w:rFonts w:hint="default" w:ascii="Times New Roman" w:hAnsi="Times New Roman" w:eastAsia="宋体" w:cs="Times New Roman"/>
                <w:color w:val="auto"/>
                <w:sz w:val="21"/>
                <w:szCs w:val="21"/>
              </w:rPr>
            </w:pPr>
          </w:p>
        </w:tc>
        <w:tc>
          <w:tcPr>
            <w:tcW w:w="2515" w:type="pct"/>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抗震设防烈度为6度及以上地区的建筑，必须进行抗震设计。</w:t>
            </w:r>
          </w:p>
        </w:tc>
        <w:tc>
          <w:tcPr>
            <w:tcW w:w="373" w:type="pc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可研未明确</w:t>
            </w:r>
          </w:p>
        </w:tc>
        <w:tc>
          <w:tcPr>
            <w:tcW w:w="911" w:type="pct"/>
            <w:vAlign w:val="center"/>
          </w:tcPr>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《建筑抗震设计规范》1.0.2</w:t>
            </w:r>
          </w:p>
        </w:tc>
        <w:tc>
          <w:tcPr>
            <w:tcW w:w="968" w:type="pct"/>
            <w:gridSpan w:val="2"/>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各建筑、设施按要求进行抗震设计。</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vAlign w:val="center"/>
          </w:tcPr>
          <w:p>
            <w:pPr>
              <w:numPr>
                <w:ilvl w:val="0"/>
                <w:numId w:val="33"/>
              </w:numPr>
              <w:spacing w:line="280" w:lineRule="exact"/>
              <w:rPr>
                <w:rFonts w:hint="default" w:ascii="Times New Roman" w:hAnsi="Times New Roman" w:eastAsia="宋体" w:cs="Times New Roman"/>
                <w:color w:val="auto"/>
                <w:sz w:val="21"/>
                <w:szCs w:val="21"/>
              </w:rPr>
            </w:pPr>
          </w:p>
        </w:tc>
        <w:tc>
          <w:tcPr>
            <w:tcW w:w="2515" w:type="pct"/>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所有建筑应按现行国家标准《建筑工程抗震设防分类标准》GB50223确定其抗震设防类别。</w:t>
            </w:r>
          </w:p>
        </w:tc>
        <w:tc>
          <w:tcPr>
            <w:tcW w:w="373" w:type="pc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符合要求</w:t>
            </w:r>
          </w:p>
        </w:tc>
        <w:tc>
          <w:tcPr>
            <w:tcW w:w="911" w:type="pct"/>
            <w:vAlign w:val="center"/>
          </w:tcPr>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《建筑抗震设计规范》</w:t>
            </w:r>
          </w:p>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3.1.1</w:t>
            </w:r>
          </w:p>
        </w:tc>
        <w:tc>
          <w:tcPr>
            <w:tcW w:w="968" w:type="pct"/>
            <w:gridSpan w:val="2"/>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该公司所在地抗震设防烈度为6度，无特殊设防类的甲类建筑。</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vAlign w:val="center"/>
          </w:tcPr>
          <w:p>
            <w:pPr>
              <w:spacing w:line="28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w:t>
            </w:r>
          </w:p>
        </w:tc>
        <w:tc>
          <w:tcPr>
            <w:tcW w:w="2515" w:type="pct"/>
            <w:vAlign w:val="center"/>
          </w:tcPr>
          <w:p>
            <w:pPr>
              <w:spacing w:line="28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道路、运输</w:t>
            </w:r>
          </w:p>
        </w:tc>
        <w:tc>
          <w:tcPr>
            <w:tcW w:w="373" w:type="pct"/>
            <w:vAlign w:val="center"/>
          </w:tcPr>
          <w:p>
            <w:pPr>
              <w:spacing w:line="280" w:lineRule="exact"/>
              <w:jc w:val="center"/>
              <w:rPr>
                <w:rFonts w:hint="default" w:ascii="Times New Roman" w:hAnsi="Times New Roman" w:eastAsia="宋体" w:cs="Times New Roman"/>
                <w:color w:val="auto"/>
                <w:kern w:val="0"/>
                <w:sz w:val="21"/>
                <w:szCs w:val="21"/>
              </w:rPr>
            </w:pPr>
          </w:p>
        </w:tc>
        <w:tc>
          <w:tcPr>
            <w:tcW w:w="911" w:type="pct"/>
            <w:vAlign w:val="center"/>
          </w:tcPr>
          <w:p>
            <w:pPr>
              <w:spacing w:line="280" w:lineRule="exact"/>
              <w:jc w:val="center"/>
              <w:rPr>
                <w:rFonts w:hint="default" w:ascii="Times New Roman" w:hAnsi="Times New Roman" w:eastAsia="宋体" w:cs="Times New Roman"/>
                <w:color w:val="auto"/>
                <w:kern w:val="0"/>
                <w:sz w:val="21"/>
                <w:szCs w:val="21"/>
              </w:rPr>
            </w:pPr>
          </w:p>
        </w:tc>
        <w:tc>
          <w:tcPr>
            <w:tcW w:w="968" w:type="pct"/>
            <w:gridSpan w:val="2"/>
            <w:vAlign w:val="center"/>
          </w:tcPr>
          <w:p>
            <w:pPr>
              <w:spacing w:line="280" w:lineRule="exact"/>
              <w:rPr>
                <w:rFonts w:hint="default" w:ascii="Times New Roman" w:hAnsi="Times New Roman" w:eastAsia="宋体" w:cs="Times New Roman"/>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vAlign w:val="center"/>
          </w:tcPr>
          <w:p>
            <w:pPr>
              <w:numPr>
                <w:ilvl w:val="0"/>
                <w:numId w:val="33"/>
              </w:numPr>
              <w:spacing w:line="280" w:lineRule="exact"/>
              <w:rPr>
                <w:rFonts w:hint="default" w:ascii="Times New Roman" w:hAnsi="Times New Roman" w:eastAsia="宋体" w:cs="Times New Roman"/>
                <w:color w:val="auto"/>
                <w:sz w:val="21"/>
                <w:szCs w:val="21"/>
              </w:rPr>
            </w:pPr>
          </w:p>
        </w:tc>
        <w:tc>
          <w:tcPr>
            <w:tcW w:w="2515" w:type="pct"/>
            <w:vAlign w:val="center"/>
          </w:tcPr>
          <w:p>
            <w:pPr>
              <w:spacing w:line="24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运输线路的布置，应符合下列要求：</w:t>
            </w:r>
          </w:p>
          <w:p>
            <w:pPr>
              <w:spacing w:line="24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 应满足生产要求 物流应顺畅 线路应短捷，人流、货流组织应合理；</w:t>
            </w:r>
          </w:p>
          <w:p>
            <w:pPr>
              <w:spacing w:line="24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 应有利于提高运输效率 应改善劳动条件 运行应安全可靠，并应使厂区内、外部运输、装卸、贮存形成完整的、连续的运输系统；</w:t>
            </w:r>
          </w:p>
          <w:p>
            <w:pPr>
              <w:spacing w:line="24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 应合理利用地形；</w:t>
            </w:r>
          </w:p>
          <w:p>
            <w:pPr>
              <w:spacing w:line="24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 应便于采用先进适用技术和设备；</w:t>
            </w:r>
          </w:p>
          <w:p>
            <w:pPr>
              <w:spacing w:line="24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 经营管理及维修应方便；</w:t>
            </w:r>
          </w:p>
          <w:p>
            <w:pPr>
              <w:spacing w:line="24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 运输繁忙的线路，应避免平面交叉。</w:t>
            </w:r>
          </w:p>
        </w:tc>
        <w:tc>
          <w:tcPr>
            <w:tcW w:w="373" w:type="pct"/>
            <w:vAlign w:val="center"/>
          </w:tcPr>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1" w:type="pct"/>
            <w:vAlign w:val="center"/>
          </w:tcPr>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《工业企业总平面设计规范》</w:t>
            </w:r>
          </w:p>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6.1.3</w:t>
            </w:r>
          </w:p>
        </w:tc>
        <w:tc>
          <w:tcPr>
            <w:tcW w:w="968" w:type="pct"/>
            <w:gridSpan w:val="2"/>
            <w:vAlign w:val="center"/>
          </w:tcPr>
          <w:p>
            <w:pPr>
              <w:spacing w:line="28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该公司道路运输方便，人流、货流组织合理。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tcBorders>
              <w:bottom w:val="single" w:color="auto" w:sz="2" w:space="0"/>
            </w:tcBorders>
            <w:vAlign w:val="center"/>
          </w:tcPr>
          <w:p>
            <w:pPr>
              <w:numPr>
                <w:ilvl w:val="0"/>
                <w:numId w:val="33"/>
              </w:numPr>
              <w:spacing w:line="280" w:lineRule="exact"/>
              <w:rPr>
                <w:rFonts w:hint="default" w:ascii="Times New Roman" w:hAnsi="Times New Roman" w:eastAsia="宋体" w:cs="Times New Roman"/>
                <w:color w:val="auto"/>
                <w:sz w:val="21"/>
                <w:szCs w:val="21"/>
              </w:rPr>
            </w:pPr>
          </w:p>
        </w:tc>
        <w:tc>
          <w:tcPr>
            <w:tcW w:w="2515" w:type="pct"/>
            <w:tcBorders>
              <w:bottom w:val="single" w:color="auto" w:sz="2" w:space="0"/>
            </w:tcBorders>
            <w:vAlign w:val="center"/>
          </w:tcPr>
          <w:p>
            <w:pPr>
              <w:spacing w:line="28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企业内道路的布置，应符合下列要求：</w:t>
            </w:r>
          </w:p>
          <w:p>
            <w:pPr>
              <w:spacing w:line="28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 应满足生产、运输、安装、检修、消防安全和施工的要求；</w:t>
            </w:r>
          </w:p>
          <w:p>
            <w:pPr>
              <w:spacing w:line="28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 应有利于功能分区和街区的划分；</w:t>
            </w:r>
          </w:p>
          <w:p>
            <w:pPr>
              <w:spacing w:line="28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 道路的走向宜与区内主要建筑物、构筑物轴线平行或垂直，并应呈环行布置；</w:t>
            </w:r>
          </w:p>
          <w:p>
            <w:pPr>
              <w:spacing w:line="28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 应与竖向设计相协调，应有利于场地及道路的雨水排除；</w:t>
            </w:r>
          </w:p>
          <w:p>
            <w:pPr>
              <w:spacing w:line="28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 与厂外道路应连接方便、短捷；</w:t>
            </w:r>
          </w:p>
          <w:p>
            <w:pPr>
              <w:spacing w:line="28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 洁净厂房周围宜设置环形消防车道，环形消防车道可利用交通道路设置，有困难时，可沿厂房的两个长边设置消防道；</w:t>
            </w:r>
          </w:p>
        </w:tc>
        <w:tc>
          <w:tcPr>
            <w:tcW w:w="373" w:type="pct"/>
            <w:tcBorders>
              <w:bottom w:val="single" w:color="auto" w:sz="2" w:space="0"/>
            </w:tcBorders>
            <w:vAlign w:val="center"/>
          </w:tcPr>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1" w:type="pct"/>
            <w:tcBorders>
              <w:bottom w:val="single" w:color="auto" w:sz="2" w:space="0"/>
            </w:tcBorders>
            <w:vAlign w:val="center"/>
          </w:tcPr>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《工业企业总平面设计规范》</w:t>
            </w:r>
          </w:p>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6.4.1</w:t>
            </w:r>
          </w:p>
        </w:tc>
        <w:tc>
          <w:tcPr>
            <w:tcW w:w="968" w:type="pct"/>
            <w:gridSpan w:val="2"/>
            <w:tcBorders>
              <w:bottom w:val="single" w:color="auto" w:sz="2" w:space="0"/>
            </w:tcBorders>
            <w:vAlign w:val="center"/>
          </w:tcPr>
          <w:p>
            <w:pPr>
              <w:spacing w:line="28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该公司厂区内道路布置满足要求。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tcBorders>
              <w:top w:val="single" w:color="auto" w:sz="2" w:space="0"/>
            </w:tcBorders>
            <w:vAlign w:val="center"/>
          </w:tcPr>
          <w:p>
            <w:pPr>
              <w:numPr>
                <w:ilvl w:val="0"/>
                <w:numId w:val="33"/>
              </w:numPr>
              <w:spacing w:line="280" w:lineRule="exact"/>
              <w:rPr>
                <w:rFonts w:hint="default" w:ascii="Times New Roman" w:hAnsi="Times New Roman" w:eastAsia="宋体" w:cs="Times New Roman"/>
                <w:color w:val="auto"/>
                <w:sz w:val="21"/>
                <w:szCs w:val="21"/>
              </w:rPr>
            </w:pPr>
          </w:p>
        </w:tc>
        <w:tc>
          <w:tcPr>
            <w:tcW w:w="2515" w:type="pct"/>
            <w:tcBorders>
              <w:top w:val="single" w:color="auto" w:sz="2" w:space="0"/>
            </w:tcBorders>
            <w:vAlign w:val="center"/>
          </w:tcPr>
          <w:p>
            <w:pPr>
              <w:spacing w:line="28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跨越道路上空架设管线距路面的最小净高不得小于5m，现有低于5m的管线在改、扩建时应予以解决。</w:t>
            </w:r>
          </w:p>
        </w:tc>
        <w:tc>
          <w:tcPr>
            <w:tcW w:w="373" w:type="pct"/>
            <w:tcBorders>
              <w:top w:val="single" w:color="auto" w:sz="2" w:space="0"/>
            </w:tcBorders>
            <w:vAlign w:val="center"/>
          </w:tcPr>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1" w:type="pct"/>
            <w:tcBorders>
              <w:top w:val="single" w:color="auto" w:sz="2" w:space="0"/>
            </w:tcBorders>
            <w:vAlign w:val="center"/>
          </w:tcPr>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《工业企业厂内铁路、道路运输安全规程》6.1.2</w:t>
            </w:r>
          </w:p>
        </w:tc>
        <w:tc>
          <w:tcPr>
            <w:tcW w:w="968" w:type="pct"/>
            <w:gridSpan w:val="2"/>
            <w:tcBorders>
              <w:top w:val="single" w:color="auto" w:sz="2" w:space="0"/>
            </w:tcBorders>
            <w:vAlign w:val="center"/>
          </w:tcPr>
          <w:p>
            <w:pPr>
              <w:spacing w:line="28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跨越道路管线净高不小于5m。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vAlign w:val="center"/>
          </w:tcPr>
          <w:p>
            <w:pPr>
              <w:numPr>
                <w:ilvl w:val="0"/>
                <w:numId w:val="33"/>
              </w:numPr>
              <w:spacing w:line="280" w:lineRule="exact"/>
              <w:rPr>
                <w:rFonts w:hint="default" w:ascii="Times New Roman" w:hAnsi="Times New Roman" w:eastAsia="宋体" w:cs="Times New Roman"/>
                <w:color w:val="auto"/>
                <w:sz w:val="21"/>
                <w:szCs w:val="21"/>
              </w:rPr>
            </w:pPr>
          </w:p>
        </w:tc>
        <w:tc>
          <w:tcPr>
            <w:tcW w:w="2515" w:type="pct"/>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厂内道路应根据交通量设置交通标志，其设置、位置、形式、尺寸、图案和颜色等必须符合GB5768的规定。</w:t>
            </w:r>
          </w:p>
        </w:tc>
        <w:tc>
          <w:tcPr>
            <w:tcW w:w="373" w:type="pct"/>
            <w:vAlign w:val="center"/>
          </w:tcPr>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可研未明确</w:t>
            </w:r>
          </w:p>
        </w:tc>
        <w:tc>
          <w:tcPr>
            <w:tcW w:w="911" w:type="pct"/>
            <w:vAlign w:val="center"/>
          </w:tcPr>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《工业企业厂内铁路、道路运输安全规程》6.1.3</w:t>
            </w:r>
          </w:p>
        </w:tc>
        <w:tc>
          <w:tcPr>
            <w:tcW w:w="968" w:type="pct"/>
            <w:gridSpan w:val="2"/>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本报告提出相应对策措施。</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gridAfter w:val="1"/>
          <w:wAfter w:w="1" w:type="pct"/>
          <w:jc w:val="center"/>
        </w:trPr>
        <w:tc>
          <w:tcPr>
            <w:tcW w:w="229" w:type="pct"/>
            <w:tcBorders>
              <w:bottom w:val="single" w:color="auto" w:sz="2" w:space="0"/>
            </w:tcBorders>
            <w:vAlign w:val="center"/>
          </w:tcPr>
          <w:p>
            <w:pPr>
              <w:numPr>
                <w:ilvl w:val="0"/>
                <w:numId w:val="33"/>
              </w:numPr>
              <w:spacing w:line="280" w:lineRule="exact"/>
              <w:rPr>
                <w:rFonts w:hint="default" w:ascii="Times New Roman" w:hAnsi="Times New Roman" w:eastAsia="宋体" w:cs="Times New Roman"/>
                <w:color w:val="auto"/>
                <w:sz w:val="21"/>
                <w:szCs w:val="21"/>
              </w:rPr>
            </w:pPr>
          </w:p>
        </w:tc>
        <w:tc>
          <w:tcPr>
            <w:tcW w:w="2515" w:type="pct"/>
            <w:tcBorders>
              <w:bottom w:val="single" w:color="auto" w:sz="2" w:space="0"/>
            </w:tcBorders>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所有建筑应按现行国家标准《建筑工程抗震设防分类标准》GB50223确定其抗震设防类别。</w:t>
            </w:r>
          </w:p>
        </w:tc>
        <w:tc>
          <w:tcPr>
            <w:tcW w:w="373" w:type="pct"/>
            <w:tcBorders>
              <w:bottom w:val="single" w:color="auto" w:sz="2" w:space="0"/>
            </w:tcBorders>
            <w:vAlign w:val="center"/>
          </w:tcPr>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符合要求</w:t>
            </w:r>
          </w:p>
        </w:tc>
        <w:tc>
          <w:tcPr>
            <w:tcW w:w="911" w:type="pct"/>
            <w:tcBorders>
              <w:bottom w:val="single" w:color="auto" w:sz="2" w:space="0"/>
            </w:tcBorders>
            <w:vAlign w:val="center"/>
          </w:tcPr>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《建筑抗震设计规范》</w:t>
            </w:r>
          </w:p>
          <w:p>
            <w:pPr>
              <w:spacing w:line="28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3.1.1</w:t>
            </w:r>
          </w:p>
        </w:tc>
        <w:tc>
          <w:tcPr>
            <w:tcW w:w="968" w:type="pct"/>
            <w:gridSpan w:val="2"/>
            <w:tcBorders>
              <w:bottom w:val="single" w:color="auto" w:sz="2" w:space="0"/>
            </w:tcBorders>
            <w:vAlign w:val="center"/>
          </w:tcPr>
          <w:p>
            <w:pPr>
              <w:spacing w:line="28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该公司所在地抗震设防烈度为6度，按</w:t>
            </w:r>
            <w:r>
              <w:rPr>
                <w:rFonts w:hint="default" w:ascii="Times New Roman" w:hAnsi="Times New Roman" w:eastAsia="宋体" w:cs="Times New Roman"/>
                <w:color w:val="auto"/>
                <w:kern w:val="0"/>
                <w:sz w:val="21"/>
                <w:szCs w:val="21"/>
                <w:lang w:val="en-US" w:eastAsia="zh-CN"/>
              </w:rPr>
              <w:t>6</w:t>
            </w:r>
            <w:r>
              <w:rPr>
                <w:rFonts w:hint="default" w:ascii="Times New Roman" w:hAnsi="Times New Roman" w:eastAsia="宋体" w:cs="Times New Roman"/>
                <w:color w:val="auto"/>
                <w:kern w:val="0"/>
                <w:sz w:val="21"/>
                <w:szCs w:val="21"/>
              </w:rPr>
              <w:t>度设防。</w:t>
            </w:r>
          </w:p>
        </w:tc>
      </w:tr>
    </w:tbl>
    <w:p>
      <w:pPr>
        <w:ind w:firstLine="560"/>
        <w:rPr>
          <w:rFonts w:hint="default" w:ascii="Times New Roman" w:hAnsi="Times New Roman" w:eastAsia="宋体" w:cs="Times New Roman"/>
          <w:color w:val="auto"/>
          <w:spacing w:val="-6"/>
          <w:sz w:val="28"/>
          <w:szCs w:val="28"/>
        </w:rPr>
      </w:pPr>
      <w:r>
        <w:rPr>
          <w:rFonts w:hint="default" w:ascii="Times New Roman" w:hAnsi="Times New Roman" w:eastAsia="宋体" w:cs="Times New Roman"/>
          <w:color w:val="auto"/>
          <w:spacing w:val="-6"/>
          <w:sz w:val="28"/>
          <w:szCs w:val="28"/>
        </w:rPr>
        <w:t>2、评价小结</w:t>
      </w:r>
    </w:p>
    <w:p>
      <w:pPr>
        <w:ind w:firstLine="560"/>
        <w:rPr>
          <w:rFonts w:hint="default" w:ascii="Times New Roman" w:hAnsi="Times New Roman" w:eastAsia="宋体" w:cs="Times New Roman"/>
          <w:color w:val="auto"/>
          <w:spacing w:val="-6"/>
          <w:sz w:val="28"/>
          <w:szCs w:val="28"/>
        </w:rPr>
      </w:pPr>
      <w:r>
        <w:rPr>
          <w:rFonts w:hint="default" w:ascii="Times New Roman" w:hAnsi="Times New Roman" w:eastAsia="宋体" w:cs="Times New Roman"/>
          <w:color w:val="auto"/>
          <w:spacing w:val="-6"/>
          <w:sz w:val="28"/>
          <w:szCs w:val="28"/>
        </w:rPr>
        <w:t>1）该公司总平面布置合理，生产区、非生产区、辅助生产区分开布置；</w:t>
      </w:r>
    </w:p>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pacing w:val="-6"/>
          <w:sz w:val="28"/>
          <w:szCs w:val="28"/>
        </w:rPr>
        <w:t>2）该公司道路布置满足生产工艺要求，便于运输，人流、物流避免交</w:t>
      </w:r>
      <w:r>
        <w:rPr>
          <w:rFonts w:hint="default" w:ascii="Times New Roman" w:hAnsi="Times New Roman" w:eastAsia="宋体" w:cs="Times New Roman"/>
          <w:color w:val="auto"/>
          <w:szCs w:val="28"/>
        </w:rPr>
        <w:t>叉；</w:t>
      </w:r>
    </w:p>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3）对该单元采用安全检查表法分析，可行性研究报告中未提及的安全措施本报告提出相应对策措施：</w:t>
      </w:r>
    </w:p>
    <w:p>
      <w:pPr>
        <w:ind w:firstLine="560"/>
        <w:rPr>
          <w:rFonts w:hint="default" w:ascii="Times New Roman" w:hAnsi="Times New Roman" w:eastAsia="宋体" w:cs="Times New Roman"/>
          <w:color w:val="auto"/>
          <w:kern w:val="0"/>
          <w:szCs w:val="28"/>
        </w:rPr>
      </w:pPr>
      <w:r>
        <w:rPr>
          <w:rFonts w:hint="default" w:ascii="Times New Roman" w:hAnsi="Times New Roman" w:eastAsia="宋体" w:cs="Times New Roman"/>
          <w:color w:val="auto"/>
          <w:szCs w:val="28"/>
        </w:rPr>
        <w:t>（1）</w:t>
      </w:r>
      <w:r>
        <w:rPr>
          <w:rFonts w:hint="default" w:ascii="Times New Roman" w:hAnsi="Times New Roman" w:eastAsia="宋体" w:cs="Times New Roman"/>
          <w:color w:val="auto"/>
          <w:kern w:val="0"/>
          <w:szCs w:val="28"/>
        </w:rPr>
        <w:t>设计时应考虑厂内道路应根据交通量设置交通标志，其设置、位置、形式、尺寸、图案和颜色等必须符合GB5768的规定；</w:t>
      </w:r>
    </w:p>
    <w:p>
      <w:pPr>
        <w:ind w:firstLine="560"/>
        <w:rPr>
          <w:rFonts w:hint="default" w:ascii="Times New Roman" w:hAnsi="Times New Roman" w:eastAsia="宋体" w:cs="Times New Roman"/>
          <w:color w:val="auto"/>
          <w:kern w:val="0"/>
          <w:szCs w:val="28"/>
        </w:rPr>
      </w:pPr>
      <w:r>
        <w:rPr>
          <w:rFonts w:hint="default" w:ascii="Times New Roman" w:hAnsi="Times New Roman" w:eastAsia="宋体" w:cs="Times New Roman"/>
          <w:color w:val="auto"/>
          <w:szCs w:val="28"/>
        </w:rPr>
        <w:t>（2）</w:t>
      </w:r>
      <w:r>
        <w:rPr>
          <w:rFonts w:hint="default" w:ascii="Times New Roman" w:hAnsi="Times New Roman" w:eastAsia="宋体" w:cs="Times New Roman"/>
          <w:color w:val="auto"/>
          <w:kern w:val="0"/>
          <w:szCs w:val="28"/>
        </w:rPr>
        <w:t>设计时应考虑各建筑物的安全出口应分散布置；</w:t>
      </w:r>
    </w:p>
    <w:p>
      <w:pPr>
        <w:ind w:firstLine="560"/>
        <w:rPr>
          <w:rFonts w:hint="default" w:ascii="Times New Roman" w:hAnsi="Times New Roman" w:eastAsia="宋体" w:cs="Times New Roman"/>
          <w:color w:val="auto"/>
          <w:kern w:val="0"/>
          <w:szCs w:val="28"/>
          <w:lang w:eastAsia="zh-CN"/>
        </w:rPr>
      </w:pPr>
      <w:r>
        <w:rPr>
          <w:rFonts w:hint="default" w:ascii="Times New Roman" w:hAnsi="Times New Roman" w:cs="Times New Roman"/>
          <w:color w:val="auto"/>
          <w:kern w:val="0"/>
          <w:szCs w:val="28"/>
          <w:lang w:eastAsia="zh-CN"/>
        </w:rPr>
        <w:t>（</w:t>
      </w:r>
      <w:r>
        <w:rPr>
          <w:rFonts w:hint="default" w:ascii="Times New Roman" w:hAnsi="Times New Roman" w:cs="Times New Roman"/>
          <w:color w:val="auto"/>
          <w:kern w:val="0"/>
          <w:szCs w:val="28"/>
          <w:lang w:val="en-US" w:eastAsia="zh-CN"/>
        </w:rPr>
        <w:t>3</w:t>
      </w:r>
      <w:r>
        <w:rPr>
          <w:rFonts w:hint="default" w:ascii="Times New Roman" w:hAnsi="Times New Roman" w:cs="Times New Roman"/>
          <w:color w:val="auto"/>
          <w:kern w:val="0"/>
          <w:szCs w:val="28"/>
          <w:lang w:eastAsia="zh-CN"/>
        </w:rPr>
        <w:t>）</w:t>
      </w:r>
      <w:r>
        <w:rPr>
          <w:rFonts w:hint="default" w:ascii="Times New Roman" w:hAnsi="Times New Roman" w:eastAsia="宋体" w:cs="Times New Roman"/>
          <w:color w:val="auto"/>
          <w:kern w:val="0"/>
          <w:szCs w:val="28"/>
        </w:rPr>
        <w:t>设计时应考虑抗震设防烈度为6度及以上地区的建筑，必须进行抗震设计</w:t>
      </w:r>
      <w:r>
        <w:rPr>
          <w:rFonts w:hint="default" w:ascii="Times New Roman" w:hAnsi="Times New Roman" w:cs="Times New Roman"/>
          <w:color w:val="auto"/>
          <w:kern w:val="0"/>
          <w:szCs w:val="28"/>
          <w:lang w:eastAsia="zh-CN"/>
        </w:rPr>
        <w:t>。</w:t>
      </w:r>
    </w:p>
    <w:p>
      <w:pPr>
        <w:keepNext/>
        <w:widowControl w:val="0"/>
        <w:spacing w:line="600" w:lineRule="exact"/>
        <w:jc w:val="center"/>
        <w:outlineLvl w:val="1"/>
        <w:rPr>
          <w:rFonts w:hint="default" w:ascii="Times New Roman" w:hAnsi="Times New Roman" w:eastAsia="黑体" w:cs="Times New Roman"/>
          <w:color w:val="auto"/>
          <w:kern w:val="0"/>
          <w:szCs w:val="24"/>
        </w:rPr>
      </w:pPr>
      <w:bookmarkStart w:id="153" w:name="_Toc3774"/>
      <w:r>
        <w:rPr>
          <w:rFonts w:hint="default" w:ascii="Times New Roman" w:hAnsi="Times New Roman" w:eastAsia="黑体" w:cs="Times New Roman"/>
          <w:color w:val="auto"/>
          <w:kern w:val="0"/>
          <w:szCs w:val="24"/>
        </w:rPr>
        <w:t>C.3生产单元</w:t>
      </w:r>
      <w:bookmarkEnd w:id="153"/>
    </w:p>
    <w:p>
      <w:pPr>
        <w:ind w:firstLine="56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1、预先危险性分析</w:t>
      </w:r>
    </w:p>
    <w:p>
      <w:pPr>
        <w:ind w:firstLine="56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采用预先危险性分析法（PHA）对本单元进行分析评价，具体情况见下表：</w:t>
      </w:r>
    </w:p>
    <w:p>
      <w:pPr>
        <w:ind w:firstLine="560"/>
        <w:jc w:val="center"/>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 xml:space="preserve">表C.3-1 </w:t>
      </w:r>
      <w:r>
        <w:rPr>
          <w:rFonts w:hint="default" w:ascii="Times New Roman" w:hAnsi="Times New Roman" w:cs="Times New Roman"/>
          <w:color w:val="auto"/>
          <w:szCs w:val="28"/>
          <w:lang w:val="en-US" w:eastAsia="zh-CN"/>
        </w:rPr>
        <w:t>氨化车间</w:t>
      </w:r>
      <w:r>
        <w:rPr>
          <w:rFonts w:hint="default" w:ascii="Times New Roman" w:hAnsi="Times New Roman" w:eastAsia="宋体" w:cs="Times New Roman"/>
          <w:color w:val="auto"/>
          <w:szCs w:val="28"/>
        </w:rPr>
        <w:t>生产单元预先危险性分析</w:t>
      </w:r>
    </w:p>
    <w:tbl>
      <w:tblPr>
        <w:tblStyle w:val="19"/>
        <w:tblW w:w="9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567"/>
        <w:gridCol w:w="3400"/>
        <w:gridCol w:w="853"/>
        <w:gridCol w:w="708"/>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74"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事故</w:t>
            </w:r>
          </w:p>
        </w:tc>
        <w:tc>
          <w:tcPr>
            <w:tcW w:w="56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阶段</w:t>
            </w:r>
          </w:p>
        </w:tc>
        <w:tc>
          <w:tcPr>
            <w:tcW w:w="3400"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触发事件</w:t>
            </w:r>
          </w:p>
        </w:tc>
        <w:tc>
          <w:tcPr>
            <w:tcW w:w="853"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事故后果</w:t>
            </w:r>
          </w:p>
        </w:tc>
        <w:tc>
          <w:tcPr>
            <w:tcW w:w="708"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危险等级</w:t>
            </w:r>
          </w:p>
        </w:tc>
        <w:tc>
          <w:tcPr>
            <w:tcW w:w="3082"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措施建议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74" w:type="dxa"/>
            <w:vAlign w:val="center"/>
          </w:tcPr>
          <w:p>
            <w:pPr>
              <w:pStyle w:val="30"/>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rPr>
            </w:pPr>
            <w:r>
              <w:rPr>
                <w:rFonts w:hint="default" w:ascii="Times New Roman" w:hAnsi="Times New Roman" w:cs="Times New Roman"/>
                <w:color w:val="auto"/>
              </w:rPr>
              <w:t>火灾爆炸</w:t>
            </w:r>
          </w:p>
        </w:tc>
        <w:tc>
          <w:tcPr>
            <w:tcW w:w="567" w:type="dxa"/>
            <w:vAlign w:val="center"/>
          </w:tcPr>
          <w:p>
            <w:pPr>
              <w:pStyle w:val="30"/>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rPr>
            </w:pPr>
            <w:r>
              <w:rPr>
                <w:rFonts w:hint="default" w:ascii="Times New Roman" w:hAnsi="Times New Roman" w:cs="Times New Roman"/>
                <w:color w:val="auto"/>
              </w:rPr>
              <w:t>正常生产</w:t>
            </w:r>
          </w:p>
        </w:tc>
        <w:tc>
          <w:tcPr>
            <w:tcW w:w="3400" w:type="dxa"/>
            <w:vAlign w:val="center"/>
          </w:tcPr>
          <w:p>
            <w:pPr>
              <w:keepNext w:val="0"/>
              <w:keepLines w:val="0"/>
              <w:pageBreakBefore w:val="0"/>
              <w:numPr>
                <w:ilvl w:val="0"/>
                <w:numId w:val="34"/>
              </w:numPr>
              <w:kinsoku/>
              <w:wordWrap/>
              <w:overflowPunct/>
              <w:topLinePunct w:val="0"/>
              <w:autoSpaceDE/>
              <w:autoSpaceDN/>
              <w:bidi w:val="0"/>
              <w:adjustRightInd/>
              <w:snapToGrid/>
              <w:spacing w:line="320" w:lineRule="exact"/>
              <w:ind w:firstLine="420"/>
              <w:jc w:val="left"/>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cs="Times New Roman"/>
                <w:color w:val="auto"/>
                <w:sz w:val="21"/>
                <w:szCs w:val="21"/>
                <w:shd w:val="clear" w:color="auto" w:fill="FFFFFF"/>
                <w:lang w:val="en-US" w:eastAsia="zh-CN"/>
              </w:rPr>
              <w:t>管式反应器通入氨气</w:t>
            </w:r>
            <w:r>
              <w:rPr>
                <w:rFonts w:hint="default" w:ascii="Times New Roman" w:hAnsi="Times New Roman" w:eastAsia="宋体" w:cs="Times New Roman"/>
                <w:color w:val="auto"/>
                <w:sz w:val="21"/>
                <w:szCs w:val="21"/>
                <w:shd w:val="clear" w:color="auto" w:fill="FFFFFF"/>
              </w:rPr>
              <w:t>在1</w:t>
            </w:r>
            <w:r>
              <w:rPr>
                <w:rFonts w:hint="default" w:ascii="Times New Roman" w:hAnsi="Times New Roman" w:cs="Times New Roman"/>
                <w:color w:val="auto"/>
                <w:sz w:val="21"/>
                <w:szCs w:val="21"/>
                <w:shd w:val="clear" w:color="auto" w:fill="FFFFFF"/>
                <w:lang w:val="en-US" w:eastAsia="zh-CN"/>
              </w:rPr>
              <w:t>40℃</w:t>
            </w:r>
            <w:r>
              <w:rPr>
                <w:rFonts w:hint="default" w:ascii="Times New Roman" w:hAnsi="Times New Roman" w:eastAsia="宋体" w:cs="Times New Roman"/>
                <w:color w:val="auto"/>
                <w:sz w:val="21"/>
                <w:szCs w:val="21"/>
                <w:shd w:val="clear" w:color="auto" w:fill="FFFFFF"/>
              </w:rPr>
              <w:t>温度下</w:t>
            </w:r>
            <w:r>
              <w:rPr>
                <w:rFonts w:hint="default" w:ascii="Times New Roman" w:hAnsi="Times New Roman" w:cs="Times New Roman"/>
                <w:color w:val="auto"/>
                <w:sz w:val="21"/>
                <w:szCs w:val="21"/>
                <w:shd w:val="clear" w:color="auto" w:fill="FFFFFF"/>
                <w:lang w:val="en-US" w:eastAsia="zh-CN"/>
              </w:rPr>
              <w:t>进行反应</w:t>
            </w:r>
            <w:r>
              <w:rPr>
                <w:rFonts w:hint="default" w:ascii="Times New Roman" w:hAnsi="Times New Roman" w:eastAsia="宋体" w:cs="Times New Roman"/>
                <w:color w:val="auto"/>
                <w:sz w:val="21"/>
                <w:szCs w:val="21"/>
                <w:shd w:val="clear" w:color="auto" w:fill="FFFFFF"/>
              </w:rPr>
              <w:t>，如果</w:t>
            </w:r>
            <w:r>
              <w:rPr>
                <w:rFonts w:hint="default" w:ascii="Times New Roman" w:hAnsi="Times New Roman" w:cs="Times New Roman"/>
                <w:color w:val="auto"/>
                <w:sz w:val="21"/>
                <w:szCs w:val="21"/>
                <w:shd w:val="clear" w:color="auto" w:fill="FFFFFF"/>
                <w:lang w:val="en-US" w:eastAsia="zh-CN"/>
              </w:rPr>
              <w:t>氨气泄漏</w:t>
            </w:r>
            <w:r>
              <w:rPr>
                <w:rFonts w:hint="default" w:ascii="Times New Roman" w:hAnsi="Times New Roman" w:eastAsia="宋体" w:cs="Times New Roman"/>
                <w:color w:val="auto"/>
                <w:sz w:val="21"/>
                <w:szCs w:val="21"/>
                <w:shd w:val="clear" w:color="auto" w:fill="FFFFFF"/>
              </w:rPr>
              <w:t>或设备损坏可能导致火灾事故。</w:t>
            </w:r>
          </w:p>
          <w:p>
            <w:pPr>
              <w:keepNext w:val="0"/>
              <w:keepLines w:val="0"/>
              <w:pageBreakBefore w:val="0"/>
              <w:numPr>
                <w:ilvl w:val="0"/>
                <w:numId w:val="34"/>
              </w:numPr>
              <w:kinsoku/>
              <w:wordWrap/>
              <w:overflowPunct/>
              <w:topLinePunct w:val="0"/>
              <w:autoSpaceDE/>
              <w:autoSpaceDN/>
              <w:bidi w:val="0"/>
              <w:adjustRightInd/>
              <w:snapToGrid/>
              <w:spacing w:line="320" w:lineRule="exact"/>
              <w:ind w:firstLine="420"/>
              <w:jc w:val="left"/>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生产过程使用天然气作燃料，若天然气管道受撞击或管道受腐蚀，导致天然气泄漏，遇明火和高热可能导致火灾、爆炸事故发生。</w:t>
            </w:r>
          </w:p>
          <w:p>
            <w:pPr>
              <w:keepNext w:val="0"/>
              <w:keepLines w:val="0"/>
              <w:pageBreakBefore w:val="0"/>
              <w:numPr>
                <w:ilvl w:val="0"/>
                <w:numId w:val="34"/>
              </w:numPr>
              <w:kinsoku/>
              <w:wordWrap/>
              <w:overflowPunct/>
              <w:topLinePunct w:val="0"/>
              <w:autoSpaceDE/>
              <w:autoSpaceDN/>
              <w:bidi w:val="0"/>
              <w:adjustRightInd/>
              <w:snapToGrid/>
              <w:spacing w:line="320" w:lineRule="exact"/>
              <w:ind w:firstLine="420"/>
              <w:jc w:val="left"/>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在设备检修过程中可能存在乙炔、氧气设备和容器发生泄漏，或钢瓶放置过近，或乙炔钢瓶未装阻火器，或钢瓶充装过程中超压、超重、混装，或遇撞击震动引起火灾事故。</w:t>
            </w:r>
          </w:p>
          <w:p>
            <w:pPr>
              <w:keepNext w:val="0"/>
              <w:keepLines w:val="0"/>
              <w:pageBreakBefore w:val="0"/>
              <w:numPr>
                <w:ilvl w:val="0"/>
                <w:numId w:val="34"/>
              </w:numPr>
              <w:kinsoku/>
              <w:wordWrap/>
              <w:overflowPunct/>
              <w:topLinePunct w:val="0"/>
              <w:autoSpaceDE/>
              <w:autoSpaceDN/>
              <w:bidi w:val="0"/>
              <w:adjustRightInd/>
              <w:snapToGrid/>
              <w:spacing w:line="320" w:lineRule="exact"/>
              <w:ind w:firstLine="420"/>
              <w:jc w:val="left"/>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配电、用电的电气设备如配电装置、照明装置等，在严重过热和故障情况下，可能引起火灾。</w:t>
            </w:r>
          </w:p>
          <w:p>
            <w:pPr>
              <w:pStyle w:val="31"/>
              <w:keepNext w:val="0"/>
              <w:keepLines w:val="0"/>
              <w:pageBreakBefore w:val="0"/>
              <w:numPr>
                <w:ilvl w:val="0"/>
                <w:numId w:val="2"/>
              </w:numPr>
              <w:kinsoku/>
              <w:wordWrap/>
              <w:overflowPunct/>
              <w:topLinePunct w:val="0"/>
              <w:autoSpaceDE/>
              <w:autoSpaceDN/>
              <w:bidi w:val="0"/>
              <w:adjustRightInd/>
              <w:snapToGrid/>
              <w:spacing w:line="320" w:lineRule="exact"/>
              <w:ind w:left="0" w:leftChars="0" w:firstLine="42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因雷击造成设备损坏而引发火灾事故。</w:t>
            </w:r>
          </w:p>
          <w:p>
            <w:pPr>
              <w:pStyle w:val="31"/>
              <w:keepNext w:val="0"/>
              <w:keepLines w:val="0"/>
              <w:pageBreakBefore w:val="0"/>
              <w:numPr>
                <w:ilvl w:val="0"/>
                <w:numId w:val="2"/>
              </w:numPr>
              <w:kinsoku/>
              <w:wordWrap/>
              <w:overflowPunct/>
              <w:topLinePunct w:val="0"/>
              <w:autoSpaceDE/>
              <w:autoSpaceDN/>
              <w:bidi w:val="0"/>
              <w:adjustRightInd/>
              <w:snapToGrid/>
              <w:spacing w:line="320" w:lineRule="exact"/>
              <w:ind w:left="0" w:leftChars="0" w:firstLine="42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原料氯化钾、磷酸一铵、填充料在加入系统前混入有机物、硫、磷等杂物，混合后引起爆炸。</w:t>
            </w:r>
          </w:p>
        </w:tc>
        <w:tc>
          <w:tcPr>
            <w:tcW w:w="853" w:type="dxa"/>
            <w:vAlign w:val="center"/>
          </w:tcPr>
          <w:p>
            <w:pPr>
              <w:pStyle w:val="30"/>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rPr>
            </w:pPr>
            <w:r>
              <w:rPr>
                <w:rFonts w:hint="default" w:ascii="Times New Roman" w:hAnsi="Times New Roman" w:cs="Times New Roman"/>
                <w:color w:val="auto"/>
              </w:rPr>
              <w:t>财产损失，人员伤亡</w:t>
            </w:r>
          </w:p>
        </w:tc>
        <w:tc>
          <w:tcPr>
            <w:tcW w:w="708" w:type="dxa"/>
            <w:vAlign w:val="center"/>
          </w:tcPr>
          <w:p>
            <w:pPr>
              <w:pStyle w:val="30"/>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rPr>
            </w:pPr>
            <w:r>
              <w:rPr>
                <w:rFonts w:hint="default" w:ascii="Times New Roman" w:hAnsi="Times New Roman" w:cs="Times New Roman"/>
                <w:color w:val="auto"/>
              </w:rPr>
              <w:t>III</w:t>
            </w:r>
          </w:p>
        </w:tc>
        <w:tc>
          <w:tcPr>
            <w:tcW w:w="3082" w:type="dxa"/>
            <w:vAlign w:val="center"/>
          </w:tcPr>
          <w:p>
            <w:pPr>
              <w:pStyle w:val="30"/>
              <w:keepNext w:val="0"/>
              <w:keepLines w:val="0"/>
              <w:pageBreakBefore w:val="0"/>
              <w:kinsoku/>
              <w:wordWrap/>
              <w:overflowPunct/>
              <w:topLinePunct w:val="0"/>
              <w:autoSpaceDE/>
              <w:autoSpaceDN/>
              <w:bidi w:val="0"/>
              <w:adjustRightInd/>
              <w:snapToGrid/>
              <w:spacing w:line="320" w:lineRule="exact"/>
              <w:ind w:firstLine="42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1、加强现场设备监测，对</w:t>
            </w:r>
            <w:r>
              <w:rPr>
                <w:rFonts w:hint="default" w:ascii="Times New Roman" w:hAnsi="Times New Roman" w:cs="Times New Roman"/>
                <w:color w:val="auto"/>
                <w:lang w:val="en-US" w:eastAsia="zh-CN"/>
              </w:rPr>
              <w:t>管式反应器</w:t>
            </w:r>
            <w:r>
              <w:rPr>
                <w:rFonts w:hint="default" w:ascii="Times New Roman" w:hAnsi="Times New Roman" w:cs="Times New Roman"/>
                <w:color w:val="auto"/>
              </w:rPr>
              <w:t>进行温度联锁，并定期对设备进行检维修；</w:t>
            </w:r>
          </w:p>
          <w:p>
            <w:pPr>
              <w:pStyle w:val="30"/>
              <w:keepNext w:val="0"/>
              <w:keepLines w:val="0"/>
              <w:pageBreakBefore w:val="0"/>
              <w:kinsoku/>
              <w:wordWrap/>
              <w:overflowPunct/>
              <w:topLinePunct w:val="0"/>
              <w:autoSpaceDE/>
              <w:autoSpaceDN/>
              <w:bidi w:val="0"/>
              <w:adjustRightInd/>
              <w:snapToGrid/>
              <w:spacing w:line="320" w:lineRule="exact"/>
              <w:ind w:firstLine="42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2、加强设备、管道的检查维护、保养；使用天然气的设备设置可燃气体检测探头；</w:t>
            </w:r>
          </w:p>
          <w:p>
            <w:pPr>
              <w:pStyle w:val="30"/>
              <w:keepNext w:val="0"/>
              <w:keepLines w:val="0"/>
              <w:pageBreakBefore w:val="0"/>
              <w:kinsoku/>
              <w:wordWrap/>
              <w:overflowPunct/>
              <w:topLinePunct w:val="0"/>
              <w:autoSpaceDE/>
              <w:autoSpaceDN/>
              <w:bidi w:val="0"/>
              <w:adjustRightInd/>
              <w:snapToGrid/>
              <w:spacing w:line="320" w:lineRule="exact"/>
              <w:ind w:firstLine="42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color w:val="auto"/>
              </w:rPr>
              <w:t>、设备检维修过程应严格按照操作规程作业，现场严禁烟火，乙炔和氧气钢瓶应保持安全距离；</w:t>
            </w:r>
          </w:p>
          <w:p>
            <w:pPr>
              <w:pStyle w:val="30"/>
              <w:keepNext w:val="0"/>
              <w:keepLines w:val="0"/>
              <w:pageBreakBefore w:val="0"/>
              <w:kinsoku/>
              <w:wordWrap/>
              <w:overflowPunct/>
              <w:topLinePunct w:val="0"/>
              <w:autoSpaceDE/>
              <w:autoSpaceDN/>
              <w:bidi w:val="0"/>
              <w:adjustRightInd/>
              <w:snapToGrid/>
              <w:spacing w:line="320" w:lineRule="exact"/>
              <w:ind w:firstLine="42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、定期对电气设备和用电线路进行检维修，防止超负荷作业；</w:t>
            </w:r>
          </w:p>
          <w:p>
            <w:pPr>
              <w:pStyle w:val="30"/>
              <w:keepNext w:val="0"/>
              <w:keepLines w:val="0"/>
              <w:pageBreakBefore w:val="0"/>
              <w:kinsoku/>
              <w:wordWrap/>
              <w:overflowPunct/>
              <w:topLinePunct w:val="0"/>
              <w:autoSpaceDE/>
              <w:autoSpaceDN/>
              <w:bidi w:val="0"/>
              <w:adjustRightInd/>
              <w:snapToGrid/>
              <w:spacing w:line="320" w:lineRule="exact"/>
              <w:ind w:firstLine="42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、按要求设置防雷设施，并定期做防雷检测。</w:t>
            </w:r>
          </w:p>
          <w:p>
            <w:pPr>
              <w:pStyle w:val="30"/>
              <w:keepNext w:val="0"/>
              <w:keepLines w:val="0"/>
              <w:pageBreakBefore w:val="0"/>
              <w:kinsoku/>
              <w:wordWrap/>
              <w:overflowPunct/>
              <w:topLinePunct w:val="0"/>
              <w:autoSpaceDE/>
              <w:autoSpaceDN/>
              <w:bidi w:val="0"/>
              <w:adjustRightInd/>
              <w:snapToGrid/>
              <w:spacing w:line="320" w:lineRule="exact"/>
              <w:ind w:firstLine="42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6、选用合格厂家生产的原料，并在加料前对原料成分进行分析。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74"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中毒窒息</w:t>
            </w:r>
          </w:p>
        </w:tc>
        <w:tc>
          <w:tcPr>
            <w:tcW w:w="56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正常生产</w:t>
            </w:r>
          </w:p>
        </w:tc>
        <w:tc>
          <w:tcPr>
            <w:tcW w:w="3400" w:type="dxa"/>
            <w:vAlign w:val="center"/>
          </w:tcPr>
          <w:p>
            <w:pPr>
              <w:spacing w:line="280" w:lineRule="exact"/>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1）有毒物料因管道焊接质量或法兰垫子老化发生泄漏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泄漏的物料迅速蒸发扩散，形成毒气团，可能威胁到厂外周围地区，造成大量人、畜中毒，使生态环境受到破坏，形成社会灾害性事故。</w:t>
            </w:r>
          </w:p>
          <w:p>
            <w:pPr>
              <w:spacing w:line="280" w:lineRule="exact"/>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2）有毒物质少量泄漏，可形成局部高浓度环境，使在此环境工作的人员发生中毒，如果接触的毒物浓度高，时间长，可能造成人员死亡。另外，长期工作在有毒环境下，可引起人员慢性中毒。</w:t>
            </w:r>
          </w:p>
          <w:p>
            <w:pPr>
              <w:spacing w:line="280" w:lineRule="exact"/>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3）有毒物料在装卸、贮存、运输、使用过程中因碰撞、腐蚀等发生泄漏，造成局部高毒环境，从而发生人员中毒事故。装、卸车时连接管脱落，泄漏造成人员中毒。</w:t>
            </w:r>
          </w:p>
          <w:p>
            <w:pPr>
              <w:spacing w:line="280" w:lineRule="exact"/>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4）因设备及附属管线材质及制造质量缺陷，安装过程中安装质量缺陷，造成</w:t>
            </w:r>
            <w:r>
              <w:rPr>
                <w:rFonts w:hint="default" w:ascii="Times New Roman" w:hAnsi="Times New Roman" w:eastAsia="宋体" w:cs="Times New Roman"/>
                <w:color w:val="auto"/>
                <w:sz w:val="21"/>
                <w:szCs w:val="21"/>
                <w:lang w:eastAsia="zh-CN"/>
              </w:rPr>
              <w:t>氯化氢、</w:t>
            </w:r>
            <w:r>
              <w:rPr>
                <w:rFonts w:hint="default" w:ascii="Times New Roman" w:hAnsi="Times New Roman" w:cs="Times New Roman"/>
                <w:color w:val="auto"/>
                <w:sz w:val="21"/>
                <w:szCs w:val="21"/>
                <w:lang w:val="en-US" w:eastAsia="zh-CN"/>
              </w:rPr>
              <w:t>氨气、天然气、尾</w:t>
            </w:r>
            <w:r>
              <w:rPr>
                <w:rFonts w:hint="default" w:ascii="Times New Roman" w:hAnsi="Times New Roman" w:eastAsia="宋体" w:cs="Times New Roman"/>
                <w:color w:val="auto"/>
                <w:sz w:val="21"/>
                <w:szCs w:val="21"/>
                <w:lang w:eastAsia="zh-CN"/>
              </w:rPr>
              <w:t>气</w:t>
            </w:r>
            <w:r>
              <w:rPr>
                <w:rFonts w:hint="default" w:ascii="Times New Roman" w:hAnsi="Times New Roman" w:eastAsia="宋体" w:cs="Times New Roman"/>
                <w:color w:val="auto"/>
                <w:sz w:val="21"/>
                <w:szCs w:val="21"/>
              </w:rPr>
              <w:t>等毒害物泄漏引起人员中毒。</w:t>
            </w:r>
          </w:p>
          <w:p>
            <w:pPr>
              <w:spacing w:line="280" w:lineRule="exact"/>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5）进入设备检修时，因设备未清洗置换合格或未采取有效的隔绝措施，进入设备前或在作业期间未按规定进行取样分析，可能造成人员中毒。</w:t>
            </w:r>
          </w:p>
          <w:p>
            <w:pPr>
              <w:spacing w:line="280" w:lineRule="exact"/>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6）在有毒环境下进行作业，未按规定使用防毒用品，可能造成人员中毒；在有毒环境下进行应急抢险作业，未按规定使用防毒用品，可能造成人员中毒。</w:t>
            </w:r>
          </w:p>
          <w:p>
            <w:pPr>
              <w:spacing w:line="280" w:lineRule="exact"/>
              <w:ind w:firstLine="420"/>
              <w:jc w:val="left"/>
              <w:rPr>
                <w:rFonts w:hint="default" w:ascii="Times New Roman" w:hAnsi="Times New Roman" w:eastAsia="宋体" w:cs="Times New Roman"/>
                <w:color w:val="auto"/>
                <w:szCs w:val="24"/>
              </w:rPr>
            </w:pPr>
            <w:r>
              <w:rPr>
                <w:rFonts w:hint="default" w:ascii="Times New Roman" w:hAnsi="Times New Roman" w:cs="Times New Roman"/>
                <w:color w:val="auto"/>
                <w:sz w:val="21"/>
                <w:szCs w:val="21"/>
                <w:lang w:val="en-US" w:eastAsia="zh-CN"/>
              </w:rPr>
              <w:t>7）涉及的尿素、氯化铵、硫酸氢钾、硫酸铵等物料受高热分解有毒的烟气。氨气、天然气管道发生泄漏、中间产物氯化氢等</w:t>
            </w:r>
            <w:r>
              <w:rPr>
                <w:rFonts w:hint="default" w:ascii="Times New Roman" w:hAnsi="Times New Roman" w:eastAsia="宋体" w:cs="Times New Roman"/>
                <w:color w:val="auto"/>
                <w:sz w:val="21"/>
                <w:szCs w:val="21"/>
              </w:rPr>
              <w:t>可能引起人员中毒事故。</w:t>
            </w:r>
          </w:p>
        </w:tc>
        <w:tc>
          <w:tcPr>
            <w:tcW w:w="853"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人员伤亡</w:t>
            </w:r>
          </w:p>
        </w:tc>
        <w:tc>
          <w:tcPr>
            <w:tcW w:w="708"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III</w:t>
            </w:r>
          </w:p>
        </w:tc>
        <w:tc>
          <w:tcPr>
            <w:tcW w:w="3082" w:type="dxa"/>
            <w:vAlign w:val="center"/>
          </w:tcPr>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1）有毒物料设备、管道材质应选用合格产品，安装应选择有资质单位进行；同时加强设备、管道的维护，及时更换受损设备；</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2）作业人员避免在涉</w:t>
            </w:r>
            <w:r>
              <w:rPr>
                <w:rFonts w:hint="default" w:ascii="Times New Roman" w:hAnsi="Times New Roman" w:cs="Times New Roman"/>
                <w:color w:val="auto"/>
                <w:lang w:eastAsia="zh-CN"/>
              </w:rPr>
              <w:t>氯化氢</w:t>
            </w:r>
            <w:r>
              <w:rPr>
                <w:rFonts w:hint="default" w:ascii="Times New Roman" w:hAnsi="Times New Roman" w:cs="Times New Roman"/>
                <w:color w:val="auto"/>
              </w:rPr>
              <w:t>场所长时间逗留；</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3）装卸车时严格执行操作规程；发生泄漏人员应立即撤离，佩戴相应安全防护用品方可进行抢修；</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4）设备、管线应选用合格产品；</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5）有毒设备检修前应清洗置换合格，并采取必要防护措施；</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6）有毒作业场所应按规定使用防毒用品，配备防化服。</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7）涉及</w:t>
            </w:r>
            <w:r>
              <w:rPr>
                <w:rFonts w:hint="default" w:ascii="Times New Roman" w:hAnsi="Times New Roman" w:cs="Times New Roman"/>
                <w:color w:val="auto"/>
                <w:lang w:val="en-US" w:eastAsia="zh-CN"/>
              </w:rPr>
              <w:t>氯化氢、氨气</w:t>
            </w:r>
            <w:r>
              <w:rPr>
                <w:rFonts w:hint="default" w:ascii="Times New Roman" w:hAnsi="Times New Roman" w:cs="Times New Roman"/>
                <w:color w:val="auto"/>
              </w:rPr>
              <w:t>场所需安装有毒气体泄漏检测报警仪；尾气应经处理后排放，在涉及有毒气体的区域应按要求设置有毒气体泄漏检测探头。</w:t>
            </w:r>
          </w:p>
          <w:p>
            <w:pPr>
              <w:pStyle w:val="30"/>
              <w:spacing w:line="280" w:lineRule="exact"/>
              <w:ind w:firstLine="420" w:firstLineChars="200"/>
              <w:jc w:val="both"/>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74" w:type="dxa"/>
            <w:vAlign w:val="center"/>
          </w:tcPr>
          <w:p>
            <w:pPr>
              <w:pStyle w:val="30"/>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rPr>
            </w:pPr>
            <w:r>
              <w:rPr>
                <w:rFonts w:hint="default" w:ascii="Times New Roman" w:hAnsi="Times New Roman" w:cs="Times New Roman"/>
                <w:color w:val="auto"/>
              </w:rPr>
              <w:t>灼烫</w:t>
            </w:r>
          </w:p>
        </w:tc>
        <w:tc>
          <w:tcPr>
            <w:tcW w:w="567" w:type="dxa"/>
            <w:vAlign w:val="center"/>
          </w:tcPr>
          <w:p>
            <w:pPr>
              <w:pStyle w:val="30"/>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rPr>
            </w:pPr>
            <w:r>
              <w:rPr>
                <w:rFonts w:hint="default" w:ascii="Times New Roman" w:hAnsi="Times New Roman" w:cs="Times New Roman"/>
                <w:color w:val="auto"/>
              </w:rPr>
              <w:t>正常生产</w:t>
            </w:r>
          </w:p>
        </w:tc>
        <w:tc>
          <w:tcPr>
            <w:tcW w:w="3400" w:type="dxa"/>
            <w:vAlign w:val="center"/>
          </w:tcPr>
          <w:p>
            <w:pPr>
              <w:keepNext w:val="0"/>
              <w:keepLines w:val="0"/>
              <w:pageBreakBefore w:val="0"/>
              <w:kinsoku/>
              <w:wordWrap/>
              <w:overflowPunct/>
              <w:topLinePunct w:val="0"/>
              <w:autoSpaceDE/>
              <w:autoSpaceDN/>
              <w:bidi w:val="0"/>
              <w:adjustRightInd/>
              <w:snapToGrid/>
              <w:spacing w:line="300" w:lineRule="exact"/>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（1）化学灼伤</w:t>
            </w:r>
          </w:p>
          <w:p>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人员违章操作或其他意外因素使</w:t>
            </w:r>
            <w:r>
              <w:rPr>
                <w:rFonts w:hint="default" w:ascii="Times New Roman" w:hAnsi="Times New Roman" w:eastAsia="宋体" w:cs="Times New Roman"/>
                <w:color w:val="auto"/>
                <w:sz w:val="21"/>
                <w:szCs w:val="21"/>
                <w:lang w:eastAsia="zh-CN"/>
              </w:rPr>
              <w:t>盐酸</w:t>
            </w:r>
            <w:r>
              <w:rPr>
                <w:rFonts w:hint="default" w:ascii="Times New Roman" w:hAnsi="Times New Roman" w:eastAsia="宋体" w:cs="Times New Roman"/>
                <w:color w:val="auto"/>
                <w:sz w:val="21"/>
                <w:szCs w:val="21"/>
              </w:rPr>
              <w:t>、硫酸等发生意外泄漏与人体接触，致使皮肤或眼睛等造成灼伤。</w:t>
            </w:r>
          </w:p>
          <w:p>
            <w:pPr>
              <w:keepNext w:val="0"/>
              <w:keepLines w:val="0"/>
              <w:pageBreakBefore w:val="0"/>
              <w:kinsoku/>
              <w:wordWrap/>
              <w:overflowPunct/>
              <w:topLinePunct w:val="0"/>
              <w:autoSpaceDE/>
              <w:autoSpaceDN/>
              <w:bidi w:val="0"/>
              <w:adjustRightInd/>
              <w:snapToGrid/>
              <w:spacing w:line="300" w:lineRule="exact"/>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（2）高温烫伤</w:t>
            </w:r>
          </w:p>
          <w:p>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color w:val="auto"/>
                <w:sz w:val="21"/>
                <w:szCs w:val="24"/>
              </w:rPr>
            </w:pPr>
            <w:r>
              <w:rPr>
                <w:rFonts w:hint="default" w:ascii="Times New Roman" w:hAnsi="Times New Roman" w:cs="Times New Roman"/>
                <w:color w:val="auto"/>
                <w:kern w:val="0"/>
                <w:sz w:val="21"/>
                <w:szCs w:val="28"/>
                <w:lang w:val="en-US" w:eastAsia="zh-CN"/>
              </w:rPr>
              <w:t>管式反应器、加料槽、混合料浆槽</w:t>
            </w:r>
            <w:r>
              <w:rPr>
                <w:rFonts w:hint="default" w:ascii="Times New Roman" w:hAnsi="Times New Roman" w:eastAsia="宋体" w:cs="Times New Roman"/>
                <w:color w:val="auto"/>
                <w:kern w:val="0"/>
                <w:sz w:val="21"/>
                <w:szCs w:val="28"/>
              </w:rPr>
              <w:t>等高温场所，</w:t>
            </w:r>
            <w:r>
              <w:rPr>
                <w:rFonts w:hint="default" w:ascii="Times New Roman" w:hAnsi="Times New Roman" w:eastAsia="宋体" w:cs="Times New Roman"/>
                <w:color w:val="auto"/>
                <w:sz w:val="21"/>
                <w:szCs w:val="24"/>
              </w:rPr>
              <w:t>如果设备、管道保温失效，</w:t>
            </w:r>
            <w:r>
              <w:rPr>
                <w:rFonts w:hint="default" w:ascii="Times New Roman" w:hAnsi="Times New Roman" w:cs="Times New Roman"/>
                <w:color w:val="auto"/>
                <w:sz w:val="21"/>
                <w:szCs w:val="24"/>
                <w:lang w:val="en-US" w:eastAsia="zh-CN"/>
              </w:rPr>
              <w:t>尾</w:t>
            </w:r>
            <w:r>
              <w:rPr>
                <w:rFonts w:hint="default" w:ascii="Times New Roman" w:hAnsi="Times New Roman" w:eastAsia="宋体" w:cs="Times New Roman"/>
                <w:color w:val="auto"/>
                <w:sz w:val="21"/>
                <w:szCs w:val="24"/>
              </w:rPr>
              <w:t>气泄漏接触到人员，人员接触到高温尾气，人员作业接触到高温物质或高温设备表面时易发生烫伤事故。</w:t>
            </w:r>
          </w:p>
          <w:p>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高温设备等损坏或保温材料损坏失效，人员接触高温管道，造成烫伤。</w:t>
            </w:r>
          </w:p>
          <w:p>
            <w:pPr>
              <w:keepNext w:val="0"/>
              <w:keepLines w:val="0"/>
              <w:pageBreakBefore w:val="0"/>
              <w:kinsoku/>
              <w:wordWrap/>
              <w:overflowPunct/>
              <w:topLinePunct w:val="0"/>
              <w:autoSpaceDE/>
              <w:autoSpaceDN/>
              <w:bidi w:val="0"/>
              <w:adjustRightInd/>
              <w:snapToGrid/>
              <w:spacing w:line="300" w:lineRule="exact"/>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4"/>
              </w:rPr>
              <w:t>人员违章操作或意外接触高温反应釜等，易造成烫伤。</w:t>
            </w:r>
          </w:p>
        </w:tc>
        <w:tc>
          <w:tcPr>
            <w:tcW w:w="853" w:type="dxa"/>
            <w:vAlign w:val="center"/>
          </w:tcPr>
          <w:p>
            <w:pPr>
              <w:pStyle w:val="30"/>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rPr>
            </w:pPr>
            <w:r>
              <w:rPr>
                <w:rFonts w:hint="default" w:ascii="Times New Roman" w:hAnsi="Times New Roman" w:cs="Times New Roman"/>
                <w:color w:val="auto"/>
              </w:rPr>
              <w:t>人员伤害</w:t>
            </w:r>
          </w:p>
        </w:tc>
        <w:tc>
          <w:tcPr>
            <w:tcW w:w="708" w:type="dxa"/>
            <w:vAlign w:val="center"/>
          </w:tcPr>
          <w:p>
            <w:pPr>
              <w:pStyle w:val="30"/>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rPr>
            </w:pPr>
            <w:r>
              <w:rPr>
                <w:rFonts w:hint="default" w:ascii="Times New Roman" w:hAnsi="Times New Roman" w:cs="Times New Roman"/>
                <w:color w:val="auto"/>
              </w:rPr>
              <w:t>III</w:t>
            </w:r>
          </w:p>
        </w:tc>
        <w:tc>
          <w:tcPr>
            <w:tcW w:w="3082" w:type="dxa"/>
            <w:vAlign w:val="center"/>
          </w:tcPr>
          <w:p>
            <w:pPr>
              <w:pStyle w:val="30"/>
              <w:keepNext w:val="0"/>
              <w:keepLines w:val="0"/>
              <w:pageBreakBefore w:val="0"/>
              <w:kinsoku/>
              <w:wordWrap/>
              <w:overflowPunct/>
              <w:topLinePunct w:val="0"/>
              <w:autoSpaceDE/>
              <w:autoSpaceDN/>
              <w:bidi w:val="0"/>
              <w:adjustRightInd/>
              <w:snapToGrid/>
              <w:spacing w:line="300" w:lineRule="exact"/>
              <w:ind w:firstLine="42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1、加强管理，严禁违章作业；</w:t>
            </w:r>
          </w:p>
          <w:p>
            <w:pPr>
              <w:pStyle w:val="30"/>
              <w:keepNext w:val="0"/>
              <w:keepLines w:val="0"/>
              <w:pageBreakBefore w:val="0"/>
              <w:kinsoku/>
              <w:wordWrap/>
              <w:overflowPunct/>
              <w:topLinePunct w:val="0"/>
              <w:autoSpaceDE/>
              <w:autoSpaceDN/>
              <w:bidi w:val="0"/>
              <w:adjustRightInd/>
              <w:snapToGrid/>
              <w:spacing w:line="300" w:lineRule="exact"/>
              <w:ind w:firstLine="42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2、高温场所设置高温警示标志，并采取隔离措施，避免人员直接接触高温设备表面；</w:t>
            </w:r>
          </w:p>
          <w:p>
            <w:pPr>
              <w:pStyle w:val="30"/>
              <w:keepNext w:val="0"/>
              <w:keepLines w:val="0"/>
              <w:pageBreakBefore w:val="0"/>
              <w:kinsoku/>
              <w:wordWrap/>
              <w:overflowPunct/>
              <w:topLinePunct w:val="0"/>
              <w:autoSpaceDE/>
              <w:autoSpaceDN/>
              <w:bidi w:val="0"/>
              <w:adjustRightInd/>
              <w:snapToGrid/>
              <w:spacing w:line="300" w:lineRule="exact"/>
              <w:ind w:firstLine="42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3、高温设备定期检查保温材料损坏情况；</w:t>
            </w:r>
          </w:p>
          <w:p>
            <w:pPr>
              <w:pStyle w:val="30"/>
              <w:keepNext w:val="0"/>
              <w:keepLines w:val="0"/>
              <w:pageBreakBefore w:val="0"/>
              <w:kinsoku/>
              <w:wordWrap/>
              <w:overflowPunct/>
              <w:topLinePunct w:val="0"/>
              <w:autoSpaceDE/>
              <w:autoSpaceDN/>
              <w:bidi w:val="0"/>
              <w:adjustRightInd/>
              <w:snapToGrid/>
              <w:spacing w:line="300" w:lineRule="exact"/>
              <w:ind w:firstLine="42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4、高温设备旁设置醒目警示标志。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机械伤害</w:t>
            </w:r>
          </w:p>
        </w:tc>
        <w:tc>
          <w:tcPr>
            <w:tcW w:w="56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正常生产</w:t>
            </w:r>
          </w:p>
        </w:tc>
        <w:tc>
          <w:tcPr>
            <w:tcW w:w="3400" w:type="dxa"/>
            <w:vAlign w:val="center"/>
          </w:tcPr>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1）不停车即对设备进行调整、检修与清理；</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2）违章作业；</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3）机械设备安全防护装置缺乏或损坏、被拆除等；</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4）操作人员疏忽大意，身体进入机械危险部位；</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5）在检修和正常工作时，机器突然被别人随意启动；</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6）在不安全的机械上停留、休息，设备突然运转；</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7）机械设备有故障不及时排除，设备带有故障运行；</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8）机械设备制造质量不合格或设计上本身就存在缺陷，设备运行中导致事故发生；</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9）设备控制系统失灵，造成设备误动作；</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10）操作者因好奇用手触摸运转设备。</w:t>
            </w:r>
          </w:p>
        </w:tc>
        <w:tc>
          <w:tcPr>
            <w:tcW w:w="853"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设备受损，人员伤害，严重时导致人员伤亡</w:t>
            </w:r>
          </w:p>
        </w:tc>
        <w:tc>
          <w:tcPr>
            <w:tcW w:w="708"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II</w:t>
            </w:r>
          </w:p>
        </w:tc>
        <w:tc>
          <w:tcPr>
            <w:tcW w:w="3082" w:type="dxa"/>
            <w:vAlign w:val="center"/>
          </w:tcPr>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1）加强检维修作业管理制度，检维修作业需取得相关作业票证；</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2）严禁违章作业；</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3）加强设备维护，及时维修故障设备；</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4）作业过程中严格遵守操作规程，禁止违章作业；</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5）严禁无关人员随意操作设备；</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6）加强作业人员安全教育，不得在机械设备上停留、休息；</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7）定期对机械设备进行检修维护，避免带病运行</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8）尽量选用本质安全型设备；设备及控制系统的制造和安装单位必须由有资质的单位承担；</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9）工作时正确穿戴好劳动防护用品；</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10）设备运转部分设置防护罩，做到有轴必有套、有轮必有罩；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物体打击</w:t>
            </w:r>
          </w:p>
        </w:tc>
        <w:tc>
          <w:tcPr>
            <w:tcW w:w="56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正常生产</w:t>
            </w:r>
          </w:p>
        </w:tc>
        <w:tc>
          <w:tcPr>
            <w:tcW w:w="3400" w:type="dxa"/>
            <w:vAlign w:val="center"/>
          </w:tcPr>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1）各种立体交叉作业中，上层作业用工具、材料等落在下层作业人员身上；</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2）生产现场混乱，平台、走道、楼梯等留有的杂物被振动、风吹或人为原因落下伤人；</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3）在各种检修拆装作业中，不懂机械原理，作业中无防范意识，被设备或设备的某部分击伤；</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4）检修起吊或搬运物件时，捆绑不牢，物件打击人体；</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5）设备爆炸时，爆炸物直接打击人体。</w:t>
            </w:r>
          </w:p>
        </w:tc>
        <w:tc>
          <w:tcPr>
            <w:tcW w:w="853"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人员伤害</w:t>
            </w:r>
          </w:p>
        </w:tc>
        <w:tc>
          <w:tcPr>
            <w:tcW w:w="708"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II</w:t>
            </w:r>
          </w:p>
        </w:tc>
        <w:tc>
          <w:tcPr>
            <w:tcW w:w="3082" w:type="dxa"/>
            <w:vAlign w:val="center"/>
          </w:tcPr>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1）加强管理，避免出现立体交叉作业；</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2）生产现场材料杂物及时清理；</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3）操作时按规定佩戴个人防护用品，检修拆装必须由专人进行；</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4）搬运物件，需捆绑牢固，避免打击伤人；</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5）可能爆炸的设备与人员集中区分开布置。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车辆伤害</w:t>
            </w:r>
          </w:p>
        </w:tc>
        <w:tc>
          <w:tcPr>
            <w:tcW w:w="56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正常生产</w:t>
            </w:r>
          </w:p>
        </w:tc>
        <w:tc>
          <w:tcPr>
            <w:tcW w:w="3400" w:type="dxa"/>
            <w:vAlign w:val="center"/>
          </w:tcPr>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1）未按要求划定厂内机动车辆行驶路线；</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2）车辆未按规定路线行驶；道路行驶违章；</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3）车辆车速过快；</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4）车辆带病运行；</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5）驾驶员无证驾驶车辆；</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6）驾驶员工作精力不集中；</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7）驾驶员酒后驾车；</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8）驾驶员疲劳驾驶；</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9）驾驶员情绪不好或情绪激动时驾车</w:t>
            </w:r>
          </w:p>
        </w:tc>
        <w:tc>
          <w:tcPr>
            <w:tcW w:w="853"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财产损失，人员伤亡</w:t>
            </w:r>
          </w:p>
        </w:tc>
        <w:tc>
          <w:tcPr>
            <w:tcW w:w="708"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II</w:t>
            </w:r>
          </w:p>
        </w:tc>
        <w:tc>
          <w:tcPr>
            <w:tcW w:w="3082" w:type="dxa"/>
            <w:vAlign w:val="center"/>
          </w:tcPr>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1）厂内限制机动车速度不超过5km/h；</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2）机动车辆应保持完好，按规定进行维护保养、检验；</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3）驾驶员持证上岗；</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4）合理规划行车路线；</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5）加强驾驶员的教育培训和管理（如要求行驶时不吸烟、不谈话、不疲劳驾驶、不酒后驾驶、不激动驾驶，行驶时注意观察、注意力集中等）。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起重伤害</w:t>
            </w:r>
          </w:p>
        </w:tc>
        <w:tc>
          <w:tcPr>
            <w:tcW w:w="56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正常生产</w:t>
            </w:r>
          </w:p>
        </w:tc>
        <w:tc>
          <w:tcPr>
            <w:tcW w:w="3400" w:type="dxa"/>
            <w:vAlign w:val="center"/>
          </w:tcPr>
          <w:p>
            <w:pPr>
              <w:pStyle w:val="31"/>
              <w:spacing w:line="28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1）原材装卸、成品、半成品装卸、大型设备检修都要使用起重设备。如果设备本身缺陷，没有足够的强度，起重机械没有定期检验和检查维护就可能发生伤害事故。</w:t>
            </w:r>
          </w:p>
          <w:p>
            <w:pPr>
              <w:pStyle w:val="31"/>
              <w:spacing w:line="28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2）如果超过工作载荷、超过运行半径或设备基础不牢固就有可能发生翻倒、负载失落事故。</w:t>
            </w:r>
          </w:p>
          <w:p>
            <w:pPr>
              <w:pStyle w:val="31"/>
              <w:spacing w:line="28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3）操作人员未经培训，缺乏技能或由于视界限制可能引起碰撞，挤压伤人、物体打击事故。</w:t>
            </w:r>
          </w:p>
          <w:p>
            <w:pPr>
              <w:pStyle w:val="31"/>
              <w:spacing w:line="28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4）如因起重设备安全附件失灵或人为拆除，违章作业，钢丝绳断裂，指挥信号失误，吊物下站人等或检修时未使用相应的防护用品，可能造成起重伤害事故。</w:t>
            </w:r>
          </w:p>
        </w:tc>
        <w:tc>
          <w:tcPr>
            <w:tcW w:w="853"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财产损失，人员伤亡</w:t>
            </w:r>
          </w:p>
        </w:tc>
        <w:tc>
          <w:tcPr>
            <w:tcW w:w="708"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II</w:t>
            </w:r>
          </w:p>
        </w:tc>
        <w:tc>
          <w:tcPr>
            <w:tcW w:w="3082" w:type="dxa"/>
            <w:vAlign w:val="center"/>
          </w:tcPr>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1、起重设备应选用国家规定的合成产品，定期进行检验和维护；</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2、起重设备严禁超工作载荷、运行半径等进行起吊；</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3、起重作业人员应持证上岗；</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4、起重设备安全附件应保证正常使用；起重时严格执行起重操作“十不吊”。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高处坠落</w:t>
            </w:r>
          </w:p>
        </w:tc>
        <w:tc>
          <w:tcPr>
            <w:tcW w:w="56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正常生产</w:t>
            </w:r>
          </w:p>
        </w:tc>
        <w:tc>
          <w:tcPr>
            <w:tcW w:w="3400" w:type="dxa"/>
            <w:vAlign w:val="center"/>
          </w:tcPr>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（1）没有按要求使用安全带。</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（2）高处作业时安全防护设施损坏。</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（3）使用安全保护装置不完善或在缺乏安全设备、设施上进行作业。</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（4）工作责任心不强，主观判断失误。</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（5）作业人员疏忽大意，疲劳过度。</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（6）高处作业安全管理不到位。</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（7）没有按要求穿防滑性能良好的软底鞋等。</w:t>
            </w:r>
          </w:p>
        </w:tc>
        <w:tc>
          <w:tcPr>
            <w:tcW w:w="853"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人员伤亡</w:t>
            </w:r>
          </w:p>
        </w:tc>
        <w:tc>
          <w:tcPr>
            <w:tcW w:w="708"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II</w:t>
            </w:r>
          </w:p>
        </w:tc>
        <w:tc>
          <w:tcPr>
            <w:tcW w:w="3082" w:type="dxa"/>
            <w:vAlign w:val="center"/>
          </w:tcPr>
          <w:p>
            <w:pPr>
              <w:pStyle w:val="30"/>
              <w:numPr>
                <w:ilvl w:val="0"/>
                <w:numId w:val="35"/>
              </w:numPr>
              <w:spacing w:line="280" w:lineRule="exact"/>
              <w:ind w:left="0" w:firstLine="420" w:firstLineChars="200"/>
              <w:jc w:val="both"/>
              <w:rPr>
                <w:rFonts w:hint="default" w:ascii="Times New Roman" w:hAnsi="Times New Roman" w:cs="Times New Roman"/>
                <w:color w:val="auto"/>
              </w:rPr>
            </w:pPr>
            <w:r>
              <w:rPr>
                <w:rFonts w:hint="default" w:ascii="Times New Roman" w:hAnsi="Times New Roman" w:cs="Times New Roman"/>
                <w:color w:val="auto"/>
              </w:rPr>
              <w:t>高处作业必须佩戴安全带；</w:t>
            </w:r>
          </w:p>
          <w:p>
            <w:pPr>
              <w:pStyle w:val="30"/>
              <w:numPr>
                <w:ilvl w:val="0"/>
                <w:numId w:val="35"/>
              </w:numPr>
              <w:spacing w:line="280" w:lineRule="exact"/>
              <w:ind w:left="0" w:firstLine="420" w:firstLineChars="200"/>
              <w:jc w:val="both"/>
              <w:rPr>
                <w:rFonts w:hint="default" w:ascii="Times New Roman" w:hAnsi="Times New Roman" w:cs="Times New Roman"/>
                <w:color w:val="auto"/>
              </w:rPr>
            </w:pPr>
            <w:r>
              <w:rPr>
                <w:rFonts w:hint="default" w:ascii="Times New Roman" w:hAnsi="Times New Roman" w:cs="Times New Roman"/>
                <w:color w:val="auto"/>
              </w:rPr>
              <w:t>高处作业安全防护设施应定期检查维护；</w:t>
            </w:r>
          </w:p>
          <w:p>
            <w:pPr>
              <w:pStyle w:val="30"/>
              <w:numPr>
                <w:ilvl w:val="0"/>
                <w:numId w:val="35"/>
              </w:numPr>
              <w:spacing w:line="280" w:lineRule="exact"/>
              <w:ind w:left="0" w:firstLine="420" w:firstLineChars="200"/>
              <w:jc w:val="both"/>
              <w:rPr>
                <w:rFonts w:hint="default" w:ascii="Times New Roman" w:hAnsi="Times New Roman" w:cs="Times New Roman"/>
                <w:color w:val="auto"/>
              </w:rPr>
            </w:pPr>
            <w:r>
              <w:rPr>
                <w:rFonts w:hint="default" w:ascii="Times New Roman" w:hAnsi="Times New Roman" w:cs="Times New Roman"/>
                <w:color w:val="auto"/>
              </w:rPr>
              <w:t>安全保护装置不完善或无安全设施严禁进行高处作业；</w:t>
            </w:r>
          </w:p>
          <w:p>
            <w:pPr>
              <w:pStyle w:val="30"/>
              <w:numPr>
                <w:ilvl w:val="0"/>
                <w:numId w:val="35"/>
              </w:numPr>
              <w:spacing w:line="280" w:lineRule="exact"/>
              <w:ind w:left="0" w:firstLine="420" w:firstLineChars="200"/>
              <w:jc w:val="both"/>
              <w:rPr>
                <w:rFonts w:hint="default" w:ascii="Times New Roman" w:hAnsi="Times New Roman" w:cs="Times New Roman"/>
                <w:color w:val="auto"/>
              </w:rPr>
            </w:pPr>
            <w:r>
              <w:rPr>
                <w:rFonts w:hint="default" w:ascii="Times New Roman" w:hAnsi="Times New Roman" w:cs="Times New Roman"/>
                <w:color w:val="auto"/>
              </w:rPr>
              <w:t>高处作业人员应加强安全教育；</w:t>
            </w:r>
          </w:p>
          <w:p>
            <w:pPr>
              <w:pStyle w:val="30"/>
              <w:numPr>
                <w:ilvl w:val="0"/>
                <w:numId w:val="35"/>
              </w:numPr>
              <w:spacing w:line="280" w:lineRule="exact"/>
              <w:ind w:left="0" w:firstLine="420" w:firstLineChars="200"/>
              <w:jc w:val="both"/>
              <w:rPr>
                <w:rFonts w:hint="default" w:ascii="Times New Roman" w:hAnsi="Times New Roman" w:cs="Times New Roman"/>
                <w:color w:val="auto"/>
              </w:rPr>
            </w:pPr>
            <w:r>
              <w:rPr>
                <w:rFonts w:hint="default" w:ascii="Times New Roman" w:hAnsi="Times New Roman" w:cs="Times New Roman"/>
                <w:color w:val="auto"/>
              </w:rPr>
              <w:t>高处作业人员严禁疲劳、带病作业；</w:t>
            </w:r>
          </w:p>
          <w:p>
            <w:pPr>
              <w:pStyle w:val="30"/>
              <w:numPr>
                <w:ilvl w:val="0"/>
                <w:numId w:val="35"/>
              </w:numPr>
              <w:spacing w:line="280" w:lineRule="exact"/>
              <w:ind w:left="0" w:firstLine="420" w:firstLineChars="200"/>
              <w:jc w:val="both"/>
              <w:rPr>
                <w:rFonts w:hint="default" w:ascii="Times New Roman" w:hAnsi="Times New Roman" w:cs="Times New Roman"/>
                <w:color w:val="auto"/>
              </w:rPr>
            </w:pPr>
            <w:r>
              <w:rPr>
                <w:rFonts w:hint="default" w:ascii="Times New Roman" w:hAnsi="Times New Roman" w:cs="Times New Roman"/>
                <w:color w:val="auto"/>
              </w:rPr>
              <w:t>加强高处作业安全管理；</w:t>
            </w:r>
          </w:p>
          <w:p>
            <w:pPr>
              <w:pStyle w:val="30"/>
              <w:numPr>
                <w:ilvl w:val="0"/>
                <w:numId w:val="35"/>
              </w:numPr>
              <w:spacing w:line="280" w:lineRule="exact"/>
              <w:ind w:left="0" w:firstLine="420" w:firstLineChars="200"/>
              <w:jc w:val="both"/>
              <w:rPr>
                <w:rFonts w:hint="default" w:ascii="Times New Roman" w:hAnsi="Times New Roman" w:cs="Times New Roman"/>
                <w:color w:val="auto"/>
              </w:rPr>
            </w:pPr>
            <w:r>
              <w:rPr>
                <w:rFonts w:hint="default" w:ascii="Times New Roman" w:hAnsi="Times New Roman" w:cs="Times New Roman"/>
                <w:color w:val="auto"/>
              </w:rPr>
              <w:t>高处作业应按规定穿戴个人防护用品。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触电</w:t>
            </w:r>
          </w:p>
        </w:tc>
        <w:tc>
          <w:tcPr>
            <w:tcW w:w="56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正常生产</w:t>
            </w:r>
          </w:p>
        </w:tc>
        <w:tc>
          <w:tcPr>
            <w:tcW w:w="3400" w:type="dxa"/>
            <w:vAlign w:val="center"/>
          </w:tcPr>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1）电气设备防护设施缺陷或不遵守操作规程，或者开关、线路等电气材料本身存在缺陷、绝缘性能下降、设备保护接地失效、作业人员违章作业、个人防护缺陷等。</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2）操作人员防护不当，接触设备、照明供电线路等。</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变配电间内和开关柜内的裸导体、输电线路、各类手持电动工具和各类用电设备，可因漏电保护、过压保护装置出现故障或绝缘损坏，人体触及带电部位而造成触电伤害；检修作业时，可因停送电失误而发生触电事故。</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4）操作失误、思想麻痹、个人防护缺陷、操作高压开关不使用绝缘工具、非专业人员违章操作等引起。</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5）电气设备设施的防雷、防静电措施不可靠等引发。</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6）带负荷拉闸时，不严格遵守安全操作规程；</w:t>
            </w:r>
            <w:r>
              <w:rPr>
                <w:rFonts w:hint="default" w:ascii="Times New Roman" w:hAnsi="Times New Roman" w:cs="Times New Roman"/>
                <w:color w:val="auto"/>
                <w:spacing w:val="-2"/>
              </w:rPr>
              <w:t>电焊作业引起电弧灼伤。</w:t>
            </w:r>
          </w:p>
        </w:tc>
        <w:tc>
          <w:tcPr>
            <w:tcW w:w="853"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设备损坏，人员伤亡</w:t>
            </w:r>
          </w:p>
        </w:tc>
        <w:tc>
          <w:tcPr>
            <w:tcW w:w="708"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II</w:t>
            </w:r>
          </w:p>
        </w:tc>
        <w:tc>
          <w:tcPr>
            <w:tcW w:w="3082" w:type="dxa"/>
            <w:vAlign w:val="center"/>
          </w:tcPr>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1）电气绝缘等级要与使用电压、环境、运行条件相符，并定期检查、检测、维护、维修，保持完好状态；</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2）作业人员接触带电体必须按规定穿戴防护用品；</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3）加强作业人员安全教育培训，严禁三违作业，电工需持证上岗；</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4）严格按设计要求进行防雷布置，电气设备做好保护接地、接零等；</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5）定期进行电气安全检查，加强对电气线路的管理和检修，确保供电安全；</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6）坚持对员工的电气安全操作和急救方法的培训、教育。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淹溺</w:t>
            </w:r>
          </w:p>
        </w:tc>
        <w:tc>
          <w:tcPr>
            <w:tcW w:w="56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正常生产</w:t>
            </w:r>
          </w:p>
        </w:tc>
        <w:tc>
          <w:tcPr>
            <w:tcW w:w="3400" w:type="dxa"/>
            <w:vAlign w:val="center"/>
          </w:tcPr>
          <w:p>
            <w:pPr>
              <w:pStyle w:val="31"/>
              <w:spacing w:line="280" w:lineRule="exact"/>
              <w:jc w:val="left"/>
              <w:rPr>
                <w:rFonts w:hint="default" w:ascii="Times New Roman" w:hAnsi="Times New Roman" w:cs="Times New Roman"/>
                <w:color w:val="auto"/>
              </w:rPr>
            </w:pPr>
            <w:r>
              <w:rPr>
                <w:rFonts w:hint="default" w:ascii="Times New Roman" w:hAnsi="Times New Roman" w:cs="Times New Roman"/>
                <w:color w:val="auto"/>
              </w:rPr>
              <w:t>该项目使用到的污水池、雨水池、事故应急池等，如现场防护警示不到位，人员可能跌落池中导致淹溺事故发生。</w:t>
            </w:r>
          </w:p>
        </w:tc>
        <w:tc>
          <w:tcPr>
            <w:tcW w:w="853"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人员伤亡</w:t>
            </w:r>
          </w:p>
        </w:tc>
        <w:tc>
          <w:tcPr>
            <w:tcW w:w="708"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II</w:t>
            </w:r>
          </w:p>
        </w:tc>
        <w:tc>
          <w:tcPr>
            <w:tcW w:w="3082" w:type="dxa"/>
            <w:vAlign w:val="center"/>
          </w:tcPr>
          <w:p>
            <w:pPr>
              <w:pStyle w:val="30"/>
              <w:spacing w:line="280" w:lineRule="exact"/>
              <w:jc w:val="both"/>
              <w:rPr>
                <w:rFonts w:hint="default" w:ascii="Times New Roman" w:hAnsi="Times New Roman" w:cs="Times New Roman"/>
                <w:color w:val="auto"/>
              </w:rPr>
            </w:pPr>
            <w:r>
              <w:rPr>
                <w:rFonts w:hint="default" w:ascii="Times New Roman" w:hAnsi="Times New Roman" w:cs="Times New Roman"/>
                <w:color w:val="auto"/>
              </w:rPr>
              <w:t>水池现场加强防护，设置必要安全警示标示。</w:t>
            </w:r>
          </w:p>
        </w:tc>
      </w:tr>
    </w:tbl>
    <w:p>
      <w:pPr>
        <w:ind w:firstLine="552" w:firstLineChars="200"/>
        <w:rPr>
          <w:rFonts w:hint="default" w:ascii="Times New Roman" w:hAnsi="Times New Roman" w:eastAsia="宋体" w:cs="Times New Roman"/>
          <w:color w:val="auto"/>
          <w:spacing w:val="-2"/>
          <w:szCs w:val="24"/>
        </w:rPr>
      </w:pPr>
      <w:r>
        <w:rPr>
          <w:rFonts w:hint="default" w:ascii="Times New Roman" w:hAnsi="Times New Roman" w:eastAsia="宋体" w:cs="Times New Roman"/>
          <w:color w:val="auto"/>
          <w:spacing w:val="-2"/>
          <w:szCs w:val="24"/>
        </w:rPr>
        <w:t>评价小结：通过预先危险性分析，生产单元主要危险、有害因素为：火灾、爆炸、中毒、窒息、灼烫危险程度为III级（危险的）；机械伤害、物体打击、车辆伤害、起重伤害、高处坠落、触电、淹溺等危险程度为II级（临界的）。III级是危险的，会造成人员伤亡和系统损坏，要立即采取防范对策措施；II级是临界的，处于事故的边缘状态，暂时还不会造成人员伤亡、系统损坏或降低系统性能，但应予排除或采取控制措施。</w:t>
      </w:r>
    </w:p>
    <w:p>
      <w:pPr>
        <w:ind w:firstLine="56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2、危险度评价</w:t>
      </w:r>
    </w:p>
    <w:p>
      <w:pPr>
        <w:ind w:firstLine="560"/>
        <w:rPr>
          <w:rFonts w:hint="default" w:ascii="Times New Roman" w:hAnsi="Times New Roman" w:eastAsia="宋体" w:cs="Times New Roman"/>
          <w:bCs/>
          <w:color w:val="auto"/>
          <w:kern w:val="24"/>
          <w:szCs w:val="28"/>
        </w:rPr>
      </w:pPr>
      <w:r>
        <w:rPr>
          <w:rFonts w:hint="default" w:ascii="Times New Roman" w:hAnsi="Times New Roman" w:eastAsia="宋体" w:cs="Times New Roman"/>
          <w:bCs/>
          <w:color w:val="auto"/>
          <w:kern w:val="24"/>
          <w:szCs w:val="28"/>
        </w:rPr>
        <w:t>依据该公司提供的生产设备设施的规格型号和在生产操作规程中规定的温度、压力及操作等参数数值，选出危险性较大的生产单元作为该方法评价的单元，按照4.2.2.3节</w:t>
      </w:r>
      <w:r>
        <w:rPr>
          <w:rFonts w:hint="default" w:ascii="Times New Roman" w:hAnsi="Times New Roman" w:eastAsia="宋体" w:cs="Times New Roman"/>
          <w:bCs/>
          <w:color w:val="auto"/>
          <w:szCs w:val="28"/>
        </w:rPr>
        <w:t>评价方法简介</w:t>
      </w:r>
      <w:r>
        <w:rPr>
          <w:rFonts w:hint="default" w:ascii="Times New Roman" w:hAnsi="Times New Roman" w:eastAsia="宋体" w:cs="Times New Roman"/>
          <w:bCs/>
          <w:color w:val="auto"/>
          <w:kern w:val="24"/>
          <w:szCs w:val="28"/>
        </w:rPr>
        <w:t>中“</w:t>
      </w:r>
      <w:r>
        <w:rPr>
          <w:rFonts w:hint="default" w:ascii="Times New Roman" w:hAnsi="Times New Roman" w:eastAsia="宋体" w:cs="Times New Roman"/>
          <w:color w:val="auto"/>
          <w:szCs w:val="28"/>
        </w:rPr>
        <w:t>危险度评价法”</w:t>
      </w:r>
      <w:r>
        <w:rPr>
          <w:rFonts w:hint="default" w:ascii="Times New Roman" w:hAnsi="Times New Roman" w:eastAsia="宋体" w:cs="Times New Roman"/>
          <w:bCs/>
          <w:color w:val="auto"/>
          <w:kern w:val="24"/>
          <w:szCs w:val="28"/>
        </w:rPr>
        <w:t>提供的方法，得到该项目主要装置设施的危险度分级表见下表：</w:t>
      </w:r>
    </w:p>
    <w:p>
      <w:pPr>
        <w:ind w:firstLine="560"/>
        <w:jc w:val="center"/>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表5.1.3-2 项目危险度评价表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1272"/>
        <w:gridCol w:w="479"/>
        <w:gridCol w:w="906"/>
        <w:gridCol w:w="593"/>
        <w:gridCol w:w="687"/>
        <w:gridCol w:w="542"/>
        <w:gridCol w:w="808"/>
        <w:gridCol w:w="472"/>
        <w:gridCol w:w="723"/>
        <w:gridCol w:w="539"/>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55" w:type="pct"/>
            <w:vMerge w:val="restart"/>
            <w:tcBorders>
              <w:tl2br w:val="nil"/>
              <w:tr2bl w:val="nil"/>
            </w:tcBorders>
            <w:vAlign w:val="center"/>
          </w:tcPr>
          <w:p>
            <w:pPr>
              <w:spacing w:line="240" w:lineRule="auto"/>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sz w:val="18"/>
                <w:szCs w:val="18"/>
              </w:rPr>
              <w:t>装置名称</w:t>
            </w:r>
          </w:p>
        </w:tc>
        <w:tc>
          <w:tcPr>
            <w:tcW w:w="943" w:type="pct"/>
            <w:gridSpan w:val="2"/>
            <w:tcBorders>
              <w:tl2br w:val="nil"/>
              <w:tr2bl w:val="nil"/>
            </w:tcBorders>
            <w:vAlign w:val="center"/>
          </w:tcPr>
          <w:p>
            <w:pPr>
              <w:spacing w:line="240" w:lineRule="auto"/>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sz w:val="18"/>
                <w:szCs w:val="18"/>
              </w:rPr>
              <w:t>主要介质</w:t>
            </w:r>
          </w:p>
        </w:tc>
        <w:tc>
          <w:tcPr>
            <w:tcW w:w="807" w:type="pct"/>
            <w:gridSpan w:val="2"/>
            <w:tcBorders>
              <w:tl2br w:val="nil"/>
              <w:tr2bl w:val="nil"/>
            </w:tcBorders>
            <w:vAlign w:val="center"/>
          </w:tcPr>
          <w:p>
            <w:pPr>
              <w:spacing w:line="240" w:lineRule="auto"/>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sz w:val="18"/>
                <w:szCs w:val="18"/>
              </w:rPr>
              <w:t>物料容量</w:t>
            </w:r>
          </w:p>
        </w:tc>
        <w:tc>
          <w:tcPr>
            <w:tcW w:w="662" w:type="pct"/>
            <w:gridSpan w:val="2"/>
            <w:tcBorders>
              <w:tl2br w:val="nil"/>
              <w:tr2bl w:val="nil"/>
            </w:tcBorders>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温度</w:t>
            </w:r>
          </w:p>
        </w:tc>
        <w:tc>
          <w:tcPr>
            <w:tcW w:w="689" w:type="pct"/>
            <w:gridSpan w:val="2"/>
            <w:tcBorders>
              <w:tl2br w:val="nil"/>
              <w:tr2bl w:val="nil"/>
            </w:tcBorders>
            <w:vAlign w:val="center"/>
          </w:tcPr>
          <w:p>
            <w:pPr>
              <w:spacing w:line="240" w:lineRule="auto"/>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sz w:val="18"/>
                <w:szCs w:val="18"/>
              </w:rPr>
              <w:t>压力</w:t>
            </w:r>
          </w:p>
        </w:tc>
        <w:tc>
          <w:tcPr>
            <w:tcW w:w="389" w:type="pct"/>
            <w:tcBorders>
              <w:tl2br w:val="nil"/>
              <w:tr2bl w:val="nil"/>
            </w:tcBorders>
            <w:vAlign w:val="center"/>
          </w:tcPr>
          <w:p>
            <w:pPr>
              <w:spacing w:line="240" w:lineRule="auto"/>
              <w:jc w:val="center"/>
              <w:rPr>
                <w:rFonts w:hint="default" w:ascii="Times New Roman" w:hAnsi="Times New Roman" w:eastAsia="宋体" w:cs="Times New Roman"/>
                <w:color w:val="auto"/>
                <w:kern w:val="24"/>
                <w:sz w:val="18"/>
                <w:szCs w:val="18"/>
              </w:rPr>
            </w:pPr>
            <w:r>
              <w:rPr>
                <w:rFonts w:hint="default" w:ascii="Times New Roman" w:hAnsi="Times New Roman" w:eastAsia="宋体" w:cs="Times New Roman"/>
                <w:color w:val="auto"/>
                <w:sz w:val="18"/>
                <w:szCs w:val="18"/>
              </w:rPr>
              <w:t>操作</w:t>
            </w:r>
          </w:p>
        </w:tc>
        <w:tc>
          <w:tcPr>
            <w:tcW w:w="290" w:type="pct"/>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总分</w:t>
            </w:r>
          </w:p>
        </w:tc>
        <w:tc>
          <w:tcPr>
            <w:tcW w:w="362" w:type="pct"/>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55"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24"/>
                <w:sz w:val="18"/>
                <w:szCs w:val="18"/>
              </w:rPr>
            </w:pPr>
          </w:p>
        </w:tc>
        <w:tc>
          <w:tcPr>
            <w:tcW w:w="685"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258"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分数</w:t>
            </w:r>
          </w:p>
        </w:tc>
        <w:tc>
          <w:tcPr>
            <w:tcW w:w="488"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3</w:t>
            </w:r>
          </w:p>
        </w:tc>
        <w:tc>
          <w:tcPr>
            <w:tcW w:w="319"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分数</w:t>
            </w:r>
          </w:p>
        </w:tc>
        <w:tc>
          <w:tcPr>
            <w:tcW w:w="370"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91"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分数</w:t>
            </w:r>
          </w:p>
        </w:tc>
        <w:tc>
          <w:tcPr>
            <w:tcW w:w="435"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MPa</w:t>
            </w:r>
          </w:p>
        </w:tc>
        <w:tc>
          <w:tcPr>
            <w:tcW w:w="254"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分数</w:t>
            </w:r>
          </w:p>
        </w:tc>
        <w:tc>
          <w:tcPr>
            <w:tcW w:w="389"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分数</w:t>
            </w:r>
          </w:p>
        </w:tc>
        <w:tc>
          <w:tcPr>
            <w:tcW w:w="290"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24"/>
                <w:sz w:val="18"/>
                <w:szCs w:val="18"/>
              </w:rPr>
            </w:pPr>
          </w:p>
        </w:tc>
        <w:tc>
          <w:tcPr>
            <w:tcW w:w="362"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855" w:type="pct"/>
            <w:tcBorders>
              <w:tl2br w:val="nil"/>
              <w:tr2bl w:val="nil"/>
            </w:tcBorders>
            <w:vAlign w:val="center"/>
          </w:tcPr>
          <w:p>
            <w:pPr>
              <w:spacing w:line="240" w:lineRule="auto"/>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cs="Times New Roman"/>
                <w:color w:val="auto"/>
                <w:kern w:val="24"/>
                <w:sz w:val="18"/>
                <w:szCs w:val="18"/>
                <w:lang w:val="en-US" w:eastAsia="zh-CN"/>
              </w:rPr>
              <w:t>氨化车间</w:t>
            </w:r>
          </w:p>
        </w:tc>
        <w:tc>
          <w:tcPr>
            <w:tcW w:w="685"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氯化钾、盐酸、硫酸、氯化氢、</w:t>
            </w:r>
            <w:r>
              <w:rPr>
                <w:rFonts w:hint="default" w:ascii="Times New Roman" w:hAnsi="Times New Roman" w:cs="Times New Roman"/>
                <w:color w:val="auto"/>
                <w:sz w:val="18"/>
                <w:szCs w:val="18"/>
                <w:lang w:val="en-US" w:eastAsia="zh-CN"/>
              </w:rPr>
              <w:t>氨、硫酸氢钾、氯化铵、磷酸一铵等</w:t>
            </w:r>
          </w:p>
        </w:tc>
        <w:tc>
          <w:tcPr>
            <w:tcW w:w="258"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w:t>
            </w:r>
          </w:p>
        </w:tc>
        <w:tc>
          <w:tcPr>
            <w:tcW w:w="488"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w:t>
            </w:r>
          </w:p>
        </w:tc>
        <w:tc>
          <w:tcPr>
            <w:tcW w:w="319"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w:t>
            </w:r>
          </w:p>
        </w:tc>
        <w:tc>
          <w:tcPr>
            <w:tcW w:w="370"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低于250℃</w:t>
            </w:r>
          </w:p>
        </w:tc>
        <w:tc>
          <w:tcPr>
            <w:tcW w:w="291"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w:t>
            </w:r>
          </w:p>
        </w:tc>
        <w:tc>
          <w:tcPr>
            <w:tcW w:w="435"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1</w:t>
            </w:r>
          </w:p>
        </w:tc>
        <w:tc>
          <w:tcPr>
            <w:tcW w:w="254"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w:t>
            </w:r>
          </w:p>
        </w:tc>
        <w:tc>
          <w:tcPr>
            <w:tcW w:w="389" w:type="pct"/>
            <w:tcBorders>
              <w:tl2br w:val="nil"/>
              <w:tr2bl w:val="nil"/>
            </w:tcBorders>
            <w:vAlign w:val="center"/>
          </w:tcPr>
          <w:p>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290" w:type="pct"/>
            <w:tcBorders>
              <w:tl2br w:val="nil"/>
              <w:tr2bl w:val="nil"/>
            </w:tcBorders>
            <w:vAlign w:val="center"/>
          </w:tcPr>
          <w:p>
            <w:pPr>
              <w:spacing w:line="240" w:lineRule="auto"/>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cs="Times New Roman"/>
                <w:color w:val="auto"/>
                <w:kern w:val="24"/>
                <w:sz w:val="18"/>
                <w:szCs w:val="18"/>
                <w:lang w:val="en-US" w:eastAsia="zh-CN"/>
              </w:rPr>
              <w:t>7</w:t>
            </w:r>
          </w:p>
        </w:tc>
        <w:tc>
          <w:tcPr>
            <w:tcW w:w="362" w:type="pct"/>
            <w:tcBorders>
              <w:tl2br w:val="nil"/>
              <w:tr2bl w:val="nil"/>
            </w:tcBorders>
            <w:vAlign w:val="center"/>
          </w:tcPr>
          <w:p>
            <w:pPr>
              <w:spacing w:line="240" w:lineRule="auto"/>
              <w:jc w:val="center"/>
              <w:rPr>
                <w:rFonts w:hint="default" w:ascii="Times New Roman" w:hAnsi="Times New Roman" w:eastAsia="宋体" w:cs="Times New Roman"/>
                <w:color w:val="auto"/>
                <w:kern w:val="24"/>
                <w:sz w:val="18"/>
                <w:szCs w:val="18"/>
                <w:lang w:val="en-US" w:eastAsia="zh-CN"/>
              </w:rPr>
            </w:pPr>
            <w:r>
              <w:rPr>
                <w:rFonts w:hint="default" w:ascii="Times New Roman" w:hAnsi="Times New Roman" w:eastAsia="宋体" w:cs="Times New Roman"/>
                <w:color w:val="auto"/>
                <w:kern w:val="24"/>
                <w:sz w:val="18"/>
                <w:szCs w:val="18"/>
                <w:lang w:val="en-US" w:eastAsia="zh-CN"/>
              </w:rPr>
              <w:t>III</w:t>
            </w:r>
          </w:p>
        </w:tc>
      </w:tr>
    </w:tbl>
    <w:p>
      <w:pPr>
        <w:ind w:firstLine="56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作业场所固有危险程度等级以场所内设备最高危险程度等级为准，建设项目总的固有危险程度等级以项目内最高场所危险程度等级为准。由上表可知，各生产单元的危险程度等级为III级（低度危险）。</w:t>
      </w:r>
    </w:p>
    <w:p>
      <w:pPr>
        <w:keepNext/>
        <w:widowControl w:val="0"/>
        <w:spacing w:line="600" w:lineRule="exact"/>
        <w:jc w:val="center"/>
        <w:outlineLvl w:val="1"/>
        <w:rPr>
          <w:rFonts w:hint="default" w:ascii="Times New Roman" w:hAnsi="Times New Roman" w:eastAsia="黑体" w:cs="Times New Roman"/>
          <w:color w:val="auto"/>
          <w:kern w:val="0"/>
          <w:szCs w:val="28"/>
        </w:rPr>
      </w:pPr>
      <w:bookmarkStart w:id="154" w:name="_Toc16045"/>
      <w:r>
        <w:rPr>
          <w:rFonts w:hint="default" w:ascii="Times New Roman" w:hAnsi="Times New Roman" w:eastAsia="黑体" w:cs="Times New Roman"/>
          <w:color w:val="auto"/>
          <w:kern w:val="0"/>
          <w:szCs w:val="28"/>
        </w:rPr>
        <w:t>C.4储运单元</w:t>
      </w:r>
      <w:bookmarkEnd w:id="154"/>
    </w:p>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1、预先危险性分析</w:t>
      </w:r>
    </w:p>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采用预先危险性分析法（PHA）对本单元进行分析评价，具体情况见下表：</w:t>
      </w:r>
    </w:p>
    <w:p>
      <w:pPr>
        <w:ind w:firstLine="420" w:firstLineChars="20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表C.4-1 </w:t>
      </w:r>
      <w:r>
        <w:rPr>
          <w:rFonts w:hint="default" w:ascii="Times New Roman" w:hAnsi="Times New Roman" w:eastAsia="宋体" w:cs="Times New Roman"/>
          <w:color w:val="auto"/>
          <w:kern w:val="0"/>
          <w:sz w:val="21"/>
          <w:szCs w:val="21"/>
          <w:lang w:val="en-US" w:eastAsia="zh-CN"/>
        </w:rPr>
        <w:t>储运</w:t>
      </w:r>
      <w:r>
        <w:rPr>
          <w:rFonts w:hint="default" w:ascii="Times New Roman" w:hAnsi="Times New Roman" w:eastAsia="宋体" w:cs="Times New Roman"/>
          <w:color w:val="auto"/>
          <w:kern w:val="0"/>
          <w:sz w:val="21"/>
          <w:szCs w:val="21"/>
        </w:rPr>
        <w:t>单元预先危险性分析评价表</w:t>
      </w:r>
    </w:p>
    <w:tbl>
      <w:tblPr>
        <w:tblStyle w:val="1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67"/>
        <w:gridCol w:w="3546"/>
        <w:gridCol w:w="707"/>
        <w:gridCol w:w="709"/>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75"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事故</w:t>
            </w:r>
          </w:p>
        </w:tc>
        <w:tc>
          <w:tcPr>
            <w:tcW w:w="56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阶段</w:t>
            </w:r>
          </w:p>
        </w:tc>
        <w:tc>
          <w:tcPr>
            <w:tcW w:w="3546"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触发事件</w:t>
            </w:r>
          </w:p>
        </w:tc>
        <w:tc>
          <w:tcPr>
            <w:tcW w:w="70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事故后果</w:t>
            </w:r>
          </w:p>
        </w:tc>
        <w:tc>
          <w:tcPr>
            <w:tcW w:w="709"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危险等级</w:t>
            </w:r>
          </w:p>
        </w:tc>
        <w:tc>
          <w:tcPr>
            <w:tcW w:w="3082"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措施建议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75" w:type="dxa"/>
            <w:vAlign w:val="center"/>
          </w:tcPr>
          <w:p>
            <w:pPr>
              <w:pStyle w:val="30"/>
              <w:spacing w:line="280" w:lineRule="exact"/>
              <w:rPr>
                <w:rFonts w:hint="default" w:ascii="Times New Roman" w:hAnsi="Times New Roman" w:eastAsia="宋体" w:cs="Times New Roman"/>
                <w:color w:val="auto"/>
                <w:kern w:val="0"/>
                <w:sz w:val="21"/>
                <w:szCs w:val="22"/>
                <w:lang w:val="en-US" w:eastAsia="zh-CN" w:bidi="ar-SA"/>
              </w:rPr>
            </w:pPr>
            <w:r>
              <w:rPr>
                <w:rFonts w:hint="default" w:ascii="Times New Roman" w:hAnsi="Times New Roman" w:cs="Times New Roman"/>
                <w:color w:val="auto"/>
              </w:rPr>
              <w:t>灼烫</w:t>
            </w:r>
          </w:p>
        </w:tc>
        <w:tc>
          <w:tcPr>
            <w:tcW w:w="567" w:type="dxa"/>
            <w:vAlign w:val="center"/>
          </w:tcPr>
          <w:p>
            <w:pPr>
              <w:pStyle w:val="30"/>
              <w:spacing w:line="280" w:lineRule="exact"/>
              <w:rPr>
                <w:rFonts w:hint="default" w:ascii="Times New Roman" w:hAnsi="Times New Roman" w:eastAsia="宋体" w:cs="Times New Roman"/>
                <w:color w:val="auto"/>
                <w:kern w:val="0"/>
                <w:sz w:val="21"/>
                <w:szCs w:val="22"/>
                <w:lang w:val="en-US" w:eastAsia="zh-CN" w:bidi="ar-SA"/>
              </w:rPr>
            </w:pPr>
            <w:r>
              <w:rPr>
                <w:rFonts w:hint="default" w:ascii="Times New Roman" w:hAnsi="Times New Roman" w:cs="Times New Roman"/>
                <w:color w:val="auto"/>
              </w:rPr>
              <w:t>正常生产</w:t>
            </w:r>
          </w:p>
        </w:tc>
        <w:tc>
          <w:tcPr>
            <w:tcW w:w="3546" w:type="dxa"/>
            <w:vAlign w:val="center"/>
          </w:tcPr>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（1）化学灼伤</w:t>
            </w:r>
          </w:p>
          <w:p>
            <w:pPr>
              <w:spacing w:line="280" w:lineRule="exact"/>
              <w:ind w:firstLine="420"/>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人员违章操作</w:t>
            </w:r>
            <w:r>
              <w:rPr>
                <w:rFonts w:hint="default" w:ascii="Times New Roman" w:hAnsi="Times New Roman" w:eastAsia="宋体" w:cs="Times New Roman"/>
                <w:bCs/>
                <w:color w:val="auto"/>
                <w:sz w:val="21"/>
                <w:szCs w:val="21"/>
              </w:rPr>
              <w:t>或其他意外因素使</w:t>
            </w:r>
            <w:r>
              <w:rPr>
                <w:rFonts w:hint="default" w:ascii="Times New Roman" w:hAnsi="Times New Roman" w:eastAsia="宋体" w:cs="Times New Roman"/>
                <w:color w:val="auto"/>
                <w:kern w:val="0"/>
                <w:sz w:val="21"/>
                <w:szCs w:val="21"/>
              </w:rPr>
              <w:t>硫酸、盐酸等</w:t>
            </w:r>
            <w:r>
              <w:rPr>
                <w:rFonts w:hint="default" w:ascii="Times New Roman" w:hAnsi="Times New Roman" w:eastAsia="宋体" w:cs="Times New Roman"/>
                <w:bCs/>
                <w:color w:val="auto"/>
                <w:sz w:val="21"/>
                <w:szCs w:val="21"/>
              </w:rPr>
              <w:t>发生意外泄漏与人体接触，致使皮肤或眼睛等造成灼伤。</w:t>
            </w:r>
          </w:p>
          <w:p>
            <w:pPr>
              <w:spacing w:line="280" w:lineRule="exact"/>
              <w:ind w:firstLine="42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涉及酸</w:t>
            </w:r>
            <w:r>
              <w:rPr>
                <w:rFonts w:hint="default" w:ascii="Times New Roman" w:hAnsi="Times New Roman" w:cs="Times New Roman"/>
                <w:bCs/>
                <w:color w:val="auto"/>
                <w:sz w:val="21"/>
                <w:szCs w:val="21"/>
                <w:lang w:eastAsia="zh-CN"/>
              </w:rPr>
              <w:t>类</w:t>
            </w:r>
            <w:r>
              <w:rPr>
                <w:rFonts w:hint="default" w:ascii="Times New Roman" w:hAnsi="Times New Roman" w:eastAsia="宋体" w:cs="Times New Roman"/>
                <w:bCs/>
                <w:color w:val="auto"/>
                <w:sz w:val="21"/>
                <w:szCs w:val="21"/>
              </w:rPr>
              <w:t>腐蚀性物质管道因超压，导致物质从阀门、连接处、法兰等薄弱处喷溅，人员接触引起灼伤。</w:t>
            </w:r>
          </w:p>
        </w:tc>
        <w:tc>
          <w:tcPr>
            <w:tcW w:w="707" w:type="dxa"/>
            <w:vAlign w:val="center"/>
          </w:tcPr>
          <w:p>
            <w:pPr>
              <w:pStyle w:val="30"/>
              <w:spacing w:line="280" w:lineRule="exact"/>
              <w:rPr>
                <w:rFonts w:hint="default" w:ascii="Times New Roman" w:hAnsi="Times New Roman" w:eastAsia="宋体" w:cs="Times New Roman"/>
                <w:color w:val="auto"/>
                <w:kern w:val="0"/>
                <w:sz w:val="21"/>
                <w:szCs w:val="22"/>
                <w:lang w:val="en-US" w:eastAsia="zh-CN" w:bidi="ar-SA"/>
              </w:rPr>
            </w:pPr>
            <w:r>
              <w:rPr>
                <w:rFonts w:hint="default" w:ascii="Times New Roman" w:hAnsi="Times New Roman" w:cs="Times New Roman"/>
                <w:color w:val="auto"/>
              </w:rPr>
              <w:t>人员伤害</w:t>
            </w:r>
          </w:p>
        </w:tc>
        <w:tc>
          <w:tcPr>
            <w:tcW w:w="709" w:type="dxa"/>
            <w:vAlign w:val="center"/>
          </w:tcPr>
          <w:p>
            <w:pPr>
              <w:pStyle w:val="30"/>
              <w:spacing w:line="280" w:lineRule="exact"/>
              <w:rPr>
                <w:rFonts w:hint="default" w:ascii="Times New Roman" w:hAnsi="Times New Roman" w:eastAsia="宋体" w:cs="Times New Roman"/>
                <w:color w:val="auto"/>
                <w:kern w:val="0"/>
                <w:sz w:val="21"/>
                <w:szCs w:val="22"/>
                <w:lang w:val="en-US" w:eastAsia="zh-CN" w:bidi="ar-SA"/>
              </w:rPr>
            </w:pPr>
            <w:r>
              <w:rPr>
                <w:rFonts w:hint="default" w:ascii="Times New Roman" w:hAnsi="Times New Roman" w:eastAsia="宋体" w:cs="Times New Roman"/>
                <w:color w:val="auto"/>
                <w:sz w:val="21"/>
                <w:szCs w:val="21"/>
              </w:rPr>
              <w:t>II</w:t>
            </w:r>
          </w:p>
        </w:tc>
        <w:tc>
          <w:tcPr>
            <w:tcW w:w="3082" w:type="dxa"/>
            <w:vAlign w:val="center"/>
          </w:tcPr>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1、加强管理，严禁违章作业；</w:t>
            </w:r>
          </w:p>
          <w:p>
            <w:pPr>
              <w:pStyle w:val="30"/>
              <w:spacing w:line="280" w:lineRule="exact"/>
              <w:ind w:firstLine="420" w:firstLineChars="200"/>
              <w:jc w:val="both"/>
              <w:rPr>
                <w:rFonts w:hint="default" w:ascii="Times New Roman" w:hAnsi="Times New Roman" w:eastAsia="宋体" w:cs="Times New Roman"/>
                <w:color w:val="auto"/>
                <w:kern w:val="0"/>
                <w:sz w:val="21"/>
                <w:szCs w:val="22"/>
                <w:lang w:val="en-US" w:eastAsia="zh-CN" w:bidi="ar-SA"/>
              </w:rPr>
            </w:pPr>
            <w:r>
              <w:rPr>
                <w:rFonts w:hint="default" w:ascii="Times New Roman" w:hAnsi="Times New Roman" w:cs="Times New Roman"/>
                <w:color w:val="auto"/>
              </w:rPr>
              <w:t>2、适当位置设置喷淋洗眼器；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75"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火灾</w:t>
            </w:r>
          </w:p>
        </w:tc>
        <w:tc>
          <w:tcPr>
            <w:tcW w:w="56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正常生产</w:t>
            </w:r>
          </w:p>
        </w:tc>
        <w:tc>
          <w:tcPr>
            <w:tcW w:w="3546" w:type="dxa"/>
            <w:vAlign w:val="center"/>
          </w:tcPr>
          <w:p>
            <w:pPr>
              <w:numPr>
                <w:ilvl w:val="0"/>
                <w:numId w:val="36"/>
              </w:numPr>
              <w:spacing w:line="280" w:lineRule="exact"/>
              <w:ind w:firstLine="420"/>
              <w:jc w:val="left"/>
              <w:rPr>
                <w:rFonts w:hint="default" w:ascii="Times New Roman" w:hAnsi="Times New Roman" w:cs="Times New Roman"/>
                <w:color w:val="auto"/>
                <w:sz w:val="21"/>
                <w:szCs w:val="21"/>
                <w:shd w:val="clear" w:color="auto" w:fill="FFFFFF"/>
              </w:rPr>
            </w:pPr>
            <w:r>
              <w:rPr>
                <w:rFonts w:hint="default" w:ascii="Times New Roman" w:hAnsi="Times New Roman" w:cs="Times New Roman"/>
                <w:color w:val="auto"/>
                <w:sz w:val="21"/>
                <w:szCs w:val="21"/>
                <w:shd w:val="clear" w:color="auto" w:fill="FFFFFF"/>
              </w:rPr>
              <w:t>罐区、仓库防雷、防静电设施或接地损坏、失效，在雷雨天气里可能因雷击引发火灾、爆炸事故。</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shd w:val="clear" w:color="auto" w:fill="FFFFFF"/>
                <w:lang w:val="en-US" w:eastAsia="zh-CN"/>
              </w:rPr>
              <w:t>2</w:t>
            </w:r>
            <w:r>
              <w:rPr>
                <w:rFonts w:hint="default" w:ascii="Times New Roman" w:hAnsi="Times New Roman" w:cs="Times New Roman"/>
                <w:color w:val="auto"/>
                <w:shd w:val="clear" w:color="auto" w:fill="FFFFFF"/>
              </w:rPr>
              <w:t>）仓库中储存的包材大多属于可燃物品，因物料堆放过多，遇明火可能引发火灾事故。</w:t>
            </w:r>
          </w:p>
        </w:tc>
        <w:tc>
          <w:tcPr>
            <w:tcW w:w="70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财产损失，人员伤亡</w:t>
            </w:r>
          </w:p>
        </w:tc>
        <w:tc>
          <w:tcPr>
            <w:tcW w:w="709"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eastAsia="宋体" w:cs="Times New Roman"/>
                <w:color w:val="auto"/>
                <w:sz w:val="21"/>
                <w:szCs w:val="21"/>
              </w:rPr>
              <w:t>II</w:t>
            </w:r>
          </w:p>
        </w:tc>
        <w:tc>
          <w:tcPr>
            <w:tcW w:w="3082" w:type="dxa"/>
            <w:vAlign w:val="center"/>
          </w:tcPr>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1、按要求安装防雷设施；</w:t>
            </w:r>
          </w:p>
          <w:p>
            <w:pPr>
              <w:pStyle w:val="31"/>
              <w:spacing w:line="28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、仓库内储存可燃物料区域严禁烟火，并定期进行巡检；按要求设置足够的灭火器材。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75"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中毒窒息</w:t>
            </w:r>
          </w:p>
        </w:tc>
        <w:tc>
          <w:tcPr>
            <w:tcW w:w="56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正常生产</w:t>
            </w:r>
          </w:p>
        </w:tc>
        <w:tc>
          <w:tcPr>
            <w:tcW w:w="3546" w:type="dxa"/>
            <w:vAlign w:val="center"/>
          </w:tcPr>
          <w:p>
            <w:pPr>
              <w:spacing w:line="280" w:lineRule="exact"/>
              <w:ind w:firstLine="420"/>
              <w:jc w:val="left"/>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1）有毒物料因管道、贮罐焊接质量或法兰垫子老化发生泄漏</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造成大量泄漏，泄漏的物料迅速蒸发扩散，形成毒气团，可能威胁到厂外周围地区，造成大量人、畜中毒，使生态环境受到破坏，形成社会灾害性事故。</w:t>
            </w:r>
          </w:p>
          <w:p>
            <w:pPr>
              <w:spacing w:line="280" w:lineRule="exact"/>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2）有毒物质少量泄漏，可形成局部高浓度环境，使在此环境工作的人员发生中毒，如果接触的毒物浓度高，时间长，可能造成人员死亡。另外，长期工作在有毒环境下，可引起人员慢性中毒。</w:t>
            </w:r>
          </w:p>
          <w:p>
            <w:pPr>
              <w:spacing w:line="280" w:lineRule="exact"/>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3）有毒物料在装卸、贮存、运输、使用过程中因碰撞、腐蚀等发生泄漏，造成局部高毒环境，从而发生人员中毒事故。装、卸车时连接管脱落，泄漏造成人员中毒。</w:t>
            </w:r>
          </w:p>
          <w:p>
            <w:pPr>
              <w:spacing w:line="280" w:lineRule="exact"/>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4）因设备及附属管线材质及制造质量缺陷，安装过程中安装质量缺陷，造成</w:t>
            </w:r>
            <w:r>
              <w:rPr>
                <w:rFonts w:hint="default" w:ascii="Times New Roman" w:hAnsi="Times New Roman" w:eastAsia="宋体" w:cs="Times New Roman"/>
                <w:color w:val="auto"/>
                <w:sz w:val="21"/>
                <w:szCs w:val="21"/>
                <w:lang w:eastAsia="zh-CN"/>
              </w:rPr>
              <w:t>氯化氢</w:t>
            </w:r>
            <w:r>
              <w:rPr>
                <w:rFonts w:hint="default" w:ascii="Times New Roman" w:hAnsi="Times New Roman" w:eastAsia="宋体" w:cs="Times New Roman"/>
                <w:color w:val="auto"/>
                <w:sz w:val="21"/>
                <w:szCs w:val="21"/>
              </w:rPr>
              <w:t>等毒害物泄漏引起人员中毒。</w:t>
            </w:r>
          </w:p>
          <w:p>
            <w:pPr>
              <w:spacing w:line="280" w:lineRule="exact"/>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5）进入设备检修时，因设备未清洗置换合格或未采取有效的隔绝措施，进入设备前或在作业期间未按规定进行取样分析，可能造成人员中毒。</w:t>
            </w:r>
          </w:p>
          <w:p>
            <w:pPr>
              <w:spacing w:line="280" w:lineRule="exact"/>
              <w:ind w:firstLine="42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6）在有毒环境下进行作业，未按规定使用防毒用品，可能造成人员中毒；在有毒环境下进行应急抢险作业，未按规定使用防毒用品，可能造成人员中毒。</w:t>
            </w:r>
          </w:p>
          <w:p>
            <w:pPr>
              <w:spacing w:line="280" w:lineRule="exact"/>
              <w:ind w:firstLine="420"/>
              <w:jc w:val="left"/>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 w:val="21"/>
                <w:szCs w:val="21"/>
                <w:lang w:val="en-US" w:eastAsia="zh-CN"/>
              </w:rPr>
              <w:t>7）涉及的尿素、氯化铵、硫酸氢钾、硫酸铵等物料受高热分解有毒的烟气。</w:t>
            </w:r>
          </w:p>
        </w:tc>
        <w:tc>
          <w:tcPr>
            <w:tcW w:w="70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人员伤亡</w:t>
            </w:r>
          </w:p>
        </w:tc>
        <w:tc>
          <w:tcPr>
            <w:tcW w:w="709"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eastAsia="宋体" w:cs="Times New Roman"/>
                <w:color w:val="auto"/>
                <w:sz w:val="21"/>
                <w:szCs w:val="21"/>
              </w:rPr>
              <w:t>II</w:t>
            </w:r>
          </w:p>
        </w:tc>
        <w:tc>
          <w:tcPr>
            <w:tcW w:w="3082" w:type="dxa"/>
            <w:vAlign w:val="center"/>
          </w:tcPr>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1）有毒物料设备、管道材质应选用合格产品，安装应选择有资质单位进行；同时加强设备、管道的维护，及时更换受损设备；</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2）作业人员避免在涉</w:t>
            </w:r>
            <w:r>
              <w:rPr>
                <w:rFonts w:hint="default" w:ascii="Times New Roman" w:hAnsi="Times New Roman" w:cs="Times New Roman"/>
                <w:color w:val="auto"/>
                <w:lang w:eastAsia="zh-CN"/>
              </w:rPr>
              <w:t>氯化氢</w:t>
            </w:r>
            <w:r>
              <w:rPr>
                <w:rFonts w:hint="default" w:ascii="Times New Roman" w:hAnsi="Times New Roman" w:cs="Times New Roman"/>
                <w:color w:val="auto"/>
              </w:rPr>
              <w:t>场所长时间逗留；</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3）装卸车时严格执行操作规程；发生泄漏人员应立即撤离，佩戴相应安全防护用品方可进行抢修；</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4）设备、管线应选用合格产品；</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5）有毒设备检修前应清洗置换合格，并采取必要防护措施；</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6）有毒作业场所应按规定使用防毒用品；</w:t>
            </w:r>
          </w:p>
          <w:p>
            <w:pPr>
              <w:pStyle w:val="30"/>
              <w:spacing w:line="280" w:lineRule="exact"/>
              <w:ind w:firstLine="420" w:firstLineChars="200"/>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w:t>
            </w:r>
            <w:r>
              <w:rPr>
                <w:rFonts w:hint="default" w:ascii="Times New Roman" w:hAnsi="Times New Roman" w:cs="Times New Roman"/>
                <w:color w:val="auto"/>
              </w:rPr>
              <w:t>仓库内储存可燃物料区域严禁烟火，并定期进行巡检；按要求设置足够的灭火器材。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车辆伤害</w:t>
            </w:r>
          </w:p>
        </w:tc>
        <w:tc>
          <w:tcPr>
            <w:tcW w:w="56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正常生产</w:t>
            </w:r>
          </w:p>
        </w:tc>
        <w:tc>
          <w:tcPr>
            <w:tcW w:w="3546" w:type="dxa"/>
            <w:vAlign w:val="center"/>
          </w:tcPr>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1）未按要求划定厂内机动车辆行驶路线；</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2）车辆未按规定路线行驶；道路行驶违章；</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3）车辆车速过快；</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4）车辆带病运行；</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5）驾驶员无证驾驶车辆；</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6）驾驶员工作精力不集中；</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7）驾驶员酒后驾车；</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8）驾驶员疲劳驾驶；</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9）驾驶员情绪不好或情绪激动时驾车</w:t>
            </w:r>
          </w:p>
        </w:tc>
        <w:tc>
          <w:tcPr>
            <w:tcW w:w="70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财产损失，人员伤亡</w:t>
            </w:r>
          </w:p>
        </w:tc>
        <w:tc>
          <w:tcPr>
            <w:tcW w:w="709"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II</w:t>
            </w:r>
          </w:p>
        </w:tc>
        <w:tc>
          <w:tcPr>
            <w:tcW w:w="3082" w:type="dxa"/>
            <w:vAlign w:val="center"/>
          </w:tcPr>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1）厂内限制机动车速度不超过5km/h；</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2）机动车辆应保持完好，按规定进行维护保养、检验；</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3）驾驶员持证上岗；</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4）合理规划行车路线；</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5）加强驾驶员的教育培训和管理（如要求行驶时不吸烟、不谈话、不疲劳驾驶、不酒后驾驶、不激动驾驶，行驶时注意观察、注意力集中等）。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高处坠落</w:t>
            </w:r>
          </w:p>
        </w:tc>
        <w:tc>
          <w:tcPr>
            <w:tcW w:w="56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正常生产</w:t>
            </w:r>
          </w:p>
        </w:tc>
        <w:tc>
          <w:tcPr>
            <w:tcW w:w="3546" w:type="dxa"/>
            <w:vAlign w:val="center"/>
          </w:tcPr>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人员到储罐顶部检修、巡视检查等，因储罐高度超出基准面2m，高处作业未系安全带等违章操作或防护缺失、损坏等因素导致人员从罐顶掉落，造成事故。</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原辅料、成品堆放时，人员站立位置较高，防护不当造成坠落事故。</w:t>
            </w:r>
          </w:p>
        </w:tc>
        <w:tc>
          <w:tcPr>
            <w:tcW w:w="707"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人员伤亡</w:t>
            </w:r>
          </w:p>
        </w:tc>
        <w:tc>
          <w:tcPr>
            <w:tcW w:w="709" w:type="dxa"/>
            <w:vAlign w:val="center"/>
          </w:tcPr>
          <w:p>
            <w:pPr>
              <w:pStyle w:val="30"/>
              <w:spacing w:line="280" w:lineRule="exact"/>
              <w:rPr>
                <w:rFonts w:hint="default" w:ascii="Times New Roman" w:hAnsi="Times New Roman" w:cs="Times New Roman"/>
                <w:color w:val="auto"/>
              </w:rPr>
            </w:pPr>
            <w:r>
              <w:rPr>
                <w:rFonts w:hint="default" w:ascii="Times New Roman" w:hAnsi="Times New Roman" w:cs="Times New Roman"/>
                <w:color w:val="auto"/>
              </w:rPr>
              <w:t>II</w:t>
            </w:r>
          </w:p>
        </w:tc>
        <w:tc>
          <w:tcPr>
            <w:tcW w:w="3082" w:type="dxa"/>
            <w:vAlign w:val="center"/>
          </w:tcPr>
          <w:p>
            <w:pPr>
              <w:pStyle w:val="30"/>
              <w:spacing w:line="280" w:lineRule="exact"/>
              <w:jc w:val="both"/>
              <w:rPr>
                <w:rFonts w:hint="default" w:ascii="Times New Roman" w:hAnsi="Times New Roman" w:cs="Times New Roman"/>
                <w:color w:val="auto"/>
              </w:rPr>
            </w:pPr>
            <w:r>
              <w:rPr>
                <w:rFonts w:hint="default" w:ascii="Times New Roman" w:hAnsi="Times New Roman" w:cs="Times New Roman"/>
                <w:color w:val="auto"/>
              </w:rPr>
              <w:t>1、检维修高处作业应系安全带，加强现场管理，严禁违章作业。</w:t>
            </w:r>
          </w:p>
        </w:tc>
      </w:tr>
    </w:tbl>
    <w:p>
      <w:pPr>
        <w:ind w:firstLine="56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lang w:val="en-US" w:eastAsia="zh-CN"/>
        </w:rPr>
        <w:t>2</w:t>
      </w:r>
      <w:r>
        <w:rPr>
          <w:rFonts w:hint="default" w:ascii="Times New Roman" w:hAnsi="Times New Roman" w:eastAsia="宋体" w:cs="Times New Roman"/>
          <w:color w:val="auto"/>
          <w:szCs w:val="28"/>
        </w:rPr>
        <w:t>）装卸子单元</w:t>
      </w:r>
    </w:p>
    <w:p>
      <w:pPr>
        <w:ind w:firstLine="56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该项目采用汽车进行运输，在储罐附近设置装卸设施，采用泵进行装卸。</w:t>
      </w:r>
    </w:p>
    <w:p>
      <w:pPr>
        <w:jc w:val="center"/>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表C.4-</w:t>
      </w:r>
      <w:r>
        <w:rPr>
          <w:rFonts w:hint="default" w:ascii="Times New Roman" w:hAnsi="Times New Roman" w:eastAsia="宋体" w:cs="Times New Roman"/>
          <w:color w:val="auto"/>
          <w:szCs w:val="28"/>
          <w:lang w:val="en-US" w:eastAsia="zh-CN"/>
        </w:rPr>
        <w:t>2</w:t>
      </w:r>
      <w:r>
        <w:rPr>
          <w:rFonts w:hint="default" w:ascii="Times New Roman" w:hAnsi="Times New Roman" w:eastAsia="宋体" w:cs="Times New Roman"/>
          <w:color w:val="auto"/>
          <w:szCs w:val="28"/>
        </w:rPr>
        <w:t xml:space="preserve"> 装卸系统子单元预先危险分析表</w:t>
      </w:r>
    </w:p>
    <w:tbl>
      <w:tblPr>
        <w:tblStyle w:val="19"/>
        <w:tblW w:w="91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9"/>
        <w:gridCol w:w="677"/>
        <w:gridCol w:w="3260"/>
        <w:gridCol w:w="709"/>
        <w:gridCol w:w="708"/>
        <w:gridCol w:w="3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9"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危险有害因素</w:t>
            </w: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阶段</w:t>
            </w:r>
          </w:p>
        </w:tc>
        <w:tc>
          <w:tcPr>
            <w:tcW w:w="3260"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形成事故原因事件</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事故后果</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危险等级</w:t>
            </w:r>
          </w:p>
        </w:tc>
        <w:tc>
          <w:tcPr>
            <w:tcW w:w="3002"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防范措施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9"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中毒和窒息</w:t>
            </w: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装卸车、输送</w:t>
            </w:r>
          </w:p>
        </w:tc>
        <w:tc>
          <w:tcPr>
            <w:tcW w:w="3260"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 相关设备、管道处有毒液体突然泄漏；</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2.报警器失灵。</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3.有毒物质容器破裂；</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缺少空气而窒息；人员伤害</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w:t>
            </w:r>
          </w:p>
        </w:tc>
        <w:tc>
          <w:tcPr>
            <w:tcW w:w="3002"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1．应对管线、法兰、阀门、附件等经常进行检查，防止泄漏。2．加强作业场所的通风；3．保证报警装置好用，按照操作规程操作；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9" w:type="dxa"/>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灼伤</w:t>
            </w:r>
          </w:p>
        </w:tc>
        <w:tc>
          <w:tcPr>
            <w:tcW w:w="677" w:type="dxa"/>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装卸车、输送</w:t>
            </w:r>
          </w:p>
        </w:tc>
        <w:tc>
          <w:tcPr>
            <w:tcW w:w="3260" w:type="dxa"/>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1.操作不当；</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2.机具故障；</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3.机泵部件损坏、密封损坏；</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4.未穿戴防护用品</w:t>
            </w:r>
          </w:p>
        </w:tc>
        <w:tc>
          <w:tcPr>
            <w:tcW w:w="709" w:type="dxa"/>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腐蚀品泄漏</w:t>
            </w:r>
          </w:p>
        </w:tc>
        <w:tc>
          <w:tcPr>
            <w:tcW w:w="708" w:type="dxa"/>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w:t>
            </w:r>
          </w:p>
        </w:tc>
        <w:tc>
          <w:tcPr>
            <w:tcW w:w="3002" w:type="dxa"/>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1．应对管线、法兰、阀门、附件等经常进行检查，防止泄漏。2．.按照操作规程操作；3.穿戴防护用品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9" w:type="dxa"/>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车辆伤害</w:t>
            </w:r>
          </w:p>
        </w:tc>
        <w:tc>
          <w:tcPr>
            <w:tcW w:w="677" w:type="dxa"/>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装卸车、输送</w:t>
            </w:r>
          </w:p>
        </w:tc>
        <w:tc>
          <w:tcPr>
            <w:tcW w:w="3260" w:type="dxa"/>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1.汽车撞人、撞物；</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2.卸车时倒车撞人、撞物；撞人、撞物；</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(1）车况不好，刹车失灵；</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(2）路况不好，路面斜度过大；</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(3）司机素质不高，违章驾驶；</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(4）司机驾驶技能差；</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(5）酒后开车；</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(6）信号出现问题，造成误会；</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(7）受害者精神紧张过度或其它身体原因，对车没有进行有效躲闪；</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(8）车辆超速；</w:t>
            </w:r>
          </w:p>
        </w:tc>
        <w:tc>
          <w:tcPr>
            <w:tcW w:w="709" w:type="dxa"/>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伤亡</w:t>
            </w:r>
          </w:p>
        </w:tc>
        <w:tc>
          <w:tcPr>
            <w:tcW w:w="708" w:type="dxa"/>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w:t>
            </w:r>
          </w:p>
        </w:tc>
        <w:tc>
          <w:tcPr>
            <w:tcW w:w="3002" w:type="dxa"/>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1.加强管理。</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2.提高防范意识。</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3.厂内设置限载、限速标识。</w:t>
            </w:r>
          </w:p>
        </w:tc>
      </w:tr>
    </w:tbl>
    <w:p>
      <w:pPr>
        <w:ind w:firstLine="56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小结：通过预先危险分析，装卸系统主要危险、有害因素为：火灾、中毒和窒息、</w:t>
      </w:r>
      <w:r>
        <w:rPr>
          <w:rFonts w:hint="default" w:ascii="Times New Roman" w:hAnsi="Times New Roman" w:eastAsia="宋体" w:cs="Times New Roman"/>
          <w:color w:val="auto"/>
          <w:szCs w:val="28"/>
          <w:lang w:eastAsia="zh-CN"/>
        </w:rPr>
        <w:t>灼烫和</w:t>
      </w:r>
      <w:r>
        <w:rPr>
          <w:rFonts w:hint="default" w:ascii="Times New Roman" w:hAnsi="Times New Roman" w:eastAsia="宋体" w:cs="Times New Roman"/>
          <w:color w:val="auto"/>
          <w:szCs w:val="28"/>
        </w:rPr>
        <w:t>车辆伤害危险程度为Ⅱ级（临界的），处于事故的边缘状态，暂时还不会造成人员伤亡、系统损坏降低系统性能，但应予排除或采取控制措施。</w:t>
      </w:r>
    </w:p>
    <w:p>
      <w:pPr>
        <w:keepNext/>
        <w:widowControl w:val="0"/>
        <w:spacing w:line="600" w:lineRule="exact"/>
        <w:jc w:val="center"/>
        <w:outlineLvl w:val="1"/>
        <w:rPr>
          <w:rFonts w:hint="default" w:ascii="Times New Roman" w:hAnsi="Times New Roman" w:eastAsia="黑体" w:cs="Times New Roman"/>
          <w:color w:val="auto"/>
          <w:kern w:val="0"/>
          <w:szCs w:val="28"/>
        </w:rPr>
      </w:pPr>
      <w:bookmarkStart w:id="155" w:name="_Toc15501"/>
      <w:r>
        <w:rPr>
          <w:rFonts w:hint="default" w:ascii="Times New Roman" w:hAnsi="Times New Roman" w:eastAsia="黑体" w:cs="Times New Roman"/>
          <w:color w:val="auto"/>
          <w:kern w:val="0"/>
          <w:szCs w:val="28"/>
        </w:rPr>
        <w:t>C.5公用工程及辅助设施单元</w:t>
      </w:r>
      <w:bookmarkEnd w:id="155"/>
    </w:p>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1、预先危险性分析</w:t>
      </w:r>
    </w:p>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采用预先危险性分析法（PHA）对本单元进行分析评价，具体情况见下表：</w:t>
      </w:r>
    </w:p>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1）供配电系统</w:t>
      </w:r>
    </w:p>
    <w:p>
      <w:pPr>
        <w:jc w:val="center"/>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表C.5-1 供配电系统预选危险性分析</w:t>
      </w:r>
    </w:p>
    <w:tbl>
      <w:tblPr>
        <w:tblStyle w:val="19"/>
        <w:tblW w:w="8655"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553"/>
        <w:gridCol w:w="3111"/>
        <w:gridCol w:w="832"/>
        <w:gridCol w:w="684"/>
        <w:gridCol w:w="2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51" w:type="dxa"/>
            <w:vAlign w:val="center"/>
          </w:tcPr>
          <w:p>
            <w:pPr>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w:t>
            </w:r>
          </w:p>
        </w:tc>
        <w:tc>
          <w:tcPr>
            <w:tcW w:w="553" w:type="dxa"/>
            <w:vAlign w:val="center"/>
          </w:tcPr>
          <w:p>
            <w:pPr>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阶段</w:t>
            </w:r>
          </w:p>
        </w:tc>
        <w:tc>
          <w:tcPr>
            <w:tcW w:w="3111" w:type="dxa"/>
            <w:vAlign w:val="center"/>
          </w:tcPr>
          <w:p>
            <w:pPr>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触发事件</w:t>
            </w:r>
          </w:p>
        </w:tc>
        <w:tc>
          <w:tcPr>
            <w:tcW w:w="832" w:type="dxa"/>
            <w:vAlign w:val="center"/>
          </w:tcPr>
          <w:p>
            <w:pPr>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事故后果</w:t>
            </w:r>
          </w:p>
        </w:tc>
        <w:tc>
          <w:tcPr>
            <w:tcW w:w="684" w:type="dxa"/>
            <w:vAlign w:val="center"/>
          </w:tcPr>
          <w:p>
            <w:pPr>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危险等级</w:t>
            </w:r>
          </w:p>
        </w:tc>
        <w:tc>
          <w:tcPr>
            <w:tcW w:w="2824" w:type="dxa"/>
            <w:vAlign w:val="center"/>
          </w:tcPr>
          <w:p>
            <w:pPr>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措施建议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pPr>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触电</w:t>
            </w:r>
          </w:p>
        </w:tc>
        <w:tc>
          <w:tcPr>
            <w:tcW w:w="553" w:type="dxa"/>
            <w:vAlign w:val="center"/>
          </w:tcPr>
          <w:p>
            <w:pPr>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正常生产</w:t>
            </w:r>
          </w:p>
        </w:tc>
        <w:tc>
          <w:tcPr>
            <w:tcW w:w="3111" w:type="dxa"/>
            <w:vAlign w:val="center"/>
          </w:tcPr>
          <w:p>
            <w:pPr>
              <w:spacing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1）设备、线路因绝缘缺陷、绝缘老化而失效；</w:t>
            </w:r>
          </w:p>
          <w:p>
            <w:pPr>
              <w:spacing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2）设备、线路机械损伤、动物啃咬电缆、过载或过电压击穿而绝缘损坏；</w:t>
            </w:r>
          </w:p>
          <w:p>
            <w:pPr>
              <w:spacing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3）电气设备外壳带电，漏电保护装置失效或接地不合格；</w:t>
            </w:r>
          </w:p>
          <w:p>
            <w:pPr>
              <w:spacing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4）检修中设备误送电或反馈送电；</w:t>
            </w:r>
          </w:p>
          <w:p>
            <w:pPr>
              <w:spacing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5）设备检修前未放电或未充分放电而触电；</w:t>
            </w:r>
          </w:p>
          <w:p>
            <w:pPr>
              <w:spacing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6）带电作业中防护装置失效而触电；</w:t>
            </w:r>
          </w:p>
          <w:p>
            <w:pPr>
              <w:spacing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7）电气设备未标名称编号或名称编号有误、无安全标志或不清晰；</w:t>
            </w:r>
          </w:p>
          <w:p>
            <w:pPr>
              <w:spacing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8）从业人员违章作业；</w:t>
            </w:r>
          </w:p>
          <w:p>
            <w:pPr>
              <w:spacing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9）非工作人员违章进入变配电室；</w:t>
            </w:r>
          </w:p>
          <w:p>
            <w:pPr>
              <w:spacing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10）使用的电气设备漏电、绝缘损坏、老化等；</w:t>
            </w:r>
          </w:p>
        </w:tc>
        <w:tc>
          <w:tcPr>
            <w:tcW w:w="832" w:type="dxa"/>
            <w:vAlign w:val="center"/>
          </w:tcPr>
          <w:p>
            <w:pPr>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设备损坏，人员伤害</w:t>
            </w:r>
          </w:p>
        </w:tc>
        <w:tc>
          <w:tcPr>
            <w:tcW w:w="684" w:type="dxa"/>
            <w:vAlign w:val="center"/>
          </w:tcPr>
          <w:p>
            <w:pPr>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w:t>
            </w:r>
          </w:p>
        </w:tc>
        <w:tc>
          <w:tcPr>
            <w:tcW w:w="2824" w:type="dxa"/>
            <w:vAlign w:val="center"/>
          </w:tcPr>
          <w:p>
            <w:pPr>
              <w:spacing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1）电气设备应严格按照相关规定规范要求设计，各种电气设备应做到良好的绝缘、接地；按规定配置过载保护器、漏电保护器等；</w:t>
            </w:r>
          </w:p>
          <w:p>
            <w:pPr>
              <w:spacing w:line="300" w:lineRule="exact"/>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z w:val="21"/>
                <w:szCs w:val="21"/>
              </w:rPr>
              <w:t>2）基建安装、生产及检修过程中要注意防护设备、线路的绝缘</w:t>
            </w:r>
            <w:r>
              <w:rPr>
                <w:rFonts w:hint="default" w:ascii="Times New Roman" w:hAnsi="Times New Roman" w:eastAsia="宋体" w:cs="Times New Roman"/>
                <w:color w:val="auto"/>
                <w:spacing w:val="-6"/>
                <w:sz w:val="21"/>
                <w:szCs w:val="21"/>
              </w:rPr>
              <w:t>，加强灭鼠工作，以免发生绝缘损坏而漏电；</w:t>
            </w:r>
          </w:p>
          <w:p>
            <w:pPr>
              <w:spacing w:line="300" w:lineRule="exact"/>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3）应对正常带电部位做到良好的隔离，加强防护措施，定期检测电器设备绝缘，发现绝缘缺陷，及时修补；</w:t>
            </w:r>
          </w:p>
          <w:p>
            <w:pPr>
              <w:spacing w:line="300" w:lineRule="exact"/>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4）电器设备停电时，要充分放电，严格验电，挂短路接地线，做好防止突然来电的可靠措施；</w:t>
            </w:r>
          </w:p>
          <w:p>
            <w:pPr>
              <w:spacing w:line="300" w:lineRule="exact"/>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5）安装调试、运行、维护过程中，注意与高压电气设备的安全距离，避免过分靠近，作业时事先应做好危险点分析，制定防范措施；</w:t>
            </w:r>
          </w:p>
          <w:p>
            <w:pPr>
              <w:spacing w:line="300" w:lineRule="exact"/>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6）各种电气设备上设置安全标识、标注设备名称，以防误操作，在有可能发生触电伤害的地点、场所设置警告牌和防护栏；</w:t>
            </w:r>
          </w:p>
          <w:p>
            <w:pPr>
              <w:spacing w:line="300" w:lineRule="exact"/>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7）电气设备的布置应按有关规范、标准留出操作和维护通道，设置必要的护栏、防护网等；</w:t>
            </w:r>
          </w:p>
          <w:p>
            <w:pPr>
              <w:spacing w:line="300" w:lineRule="exact"/>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8）加强从业人员的安全教育培训，提高安全意识，正确使用安全防护用品；严格规范作业人员的行为，杜绝违章和习惯性违章操作；</w:t>
            </w:r>
          </w:p>
          <w:p>
            <w:pPr>
              <w:spacing w:line="300" w:lineRule="exact"/>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9）定期对电气系统进行检查维护，保持良好状态，避免带病运行。</w:t>
            </w:r>
          </w:p>
          <w:p>
            <w:pPr>
              <w:spacing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10）及时更换不达标电气</w:t>
            </w:r>
            <w:r>
              <w:rPr>
                <w:rFonts w:hint="default" w:ascii="Times New Roman" w:hAnsi="Times New Roman" w:eastAsia="宋体" w:cs="Times New Roman"/>
                <w:color w:val="auto"/>
                <w:sz w:val="21"/>
                <w:szCs w:val="21"/>
              </w:rPr>
              <w: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火灾</w:t>
            </w:r>
          </w:p>
        </w:tc>
        <w:tc>
          <w:tcPr>
            <w:tcW w:w="553"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正常生产</w:t>
            </w:r>
          </w:p>
        </w:tc>
        <w:tc>
          <w:tcPr>
            <w:tcW w:w="3111"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1）电气线路短路、过载；</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2）电气线路接触电阻过大，产生高温引起火灾；</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3）电气设备超负荷运行，引起温度升高，造成绝缘不良、绝缘老化等；</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4）三相负载不平衡时，零线上就会出现电流。如这一电流过大而接地点接触电阻又较大时，接地点就会出现高温，引燃可燃物；</w:t>
            </w:r>
          </w:p>
        </w:tc>
        <w:tc>
          <w:tcPr>
            <w:tcW w:w="832"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设备损坏，财产损失，人员伤害</w:t>
            </w:r>
          </w:p>
        </w:tc>
        <w:tc>
          <w:tcPr>
            <w:tcW w:w="684"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w:t>
            </w:r>
          </w:p>
        </w:tc>
        <w:tc>
          <w:tcPr>
            <w:tcW w:w="2824"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1）严格按照设计进行电气线路布置，避免负荷过载；加强电气线路巡检维护，及时更换破损线路，避免发生短路；</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2）选用合格的电气设备及配电线路；</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3）定期维护电气设备内各种电气元件、电线等的完好，避免绝缘损坏造成短路打火；加强电气设备的安全管理和维护；</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4）按规范要求做好配电系统的防雷接地等。</w:t>
            </w:r>
          </w:p>
        </w:tc>
      </w:tr>
    </w:tbl>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2）仪表自动控制子单元</w:t>
      </w:r>
    </w:p>
    <w:tbl>
      <w:tblPr>
        <w:tblStyle w:val="19"/>
        <w:tblW w:w="926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35"/>
        <w:gridCol w:w="667"/>
        <w:gridCol w:w="2950"/>
        <w:gridCol w:w="674"/>
        <w:gridCol w:w="703"/>
        <w:gridCol w:w="34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35"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w:t>
            </w:r>
          </w:p>
        </w:tc>
        <w:tc>
          <w:tcPr>
            <w:tcW w:w="667"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阶段</w:t>
            </w:r>
          </w:p>
        </w:tc>
        <w:tc>
          <w:tcPr>
            <w:tcW w:w="2950"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原因</w:t>
            </w:r>
          </w:p>
        </w:tc>
        <w:tc>
          <w:tcPr>
            <w:tcW w:w="674"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事故后果</w:t>
            </w:r>
          </w:p>
        </w:tc>
        <w:tc>
          <w:tcPr>
            <w:tcW w:w="703"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危险等级</w:t>
            </w:r>
          </w:p>
        </w:tc>
        <w:tc>
          <w:tcPr>
            <w:tcW w:w="3431"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措施建议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35"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危险有害因素</w:t>
            </w:r>
          </w:p>
        </w:tc>
        <w:tc>
          <w:tcPr>
            <w:tcW w:w="667"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阶段</w:t>
            </w:r>
          </w:p>
        </w:tc>
        <w:tc>
          <w:tcPr>
            <w:tcW w:w="2950"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形成事故原因事件</w:t>
            </w:r>
          </w:p>
        </w:tc>
        <w:tc>
          <w:tcPr>
            <w:tcW w:w="674"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事故后果</w:t>
            </w:r>
          </w:p>
        </w:tc>
        <w:tc>
          <w:tcPr>
            <w:tcW w:w="703"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危险等级</w:t>
            </w:r>
          </w:p>
        </w:tc>
        <w:tc>
          <w:tcPr>
            <w:tcW w:w="3431"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防范措施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35"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（控制室）火灾</w:t>
            </w:r>
          </w:p>
        </w:tc>
        <w:tc>
          <w:tcPr>
            <w:tcW w:w="667"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w:t>
            </w:r>
          </w:p>
        </w:tc>
        <w:tc>
          <w:tcPr>
            <w:tcW w:w="2950"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1、控制室内的电气、控制电线选型不当或不符合安装规定要求，因短路、超负荷等引发火灾事故；</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2、计算机发生故障，造成绝缘被击穿，稳压电源短路或高阻抗元件接触不良等发热而着火；</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3、控制室内装修采用大量的木板、胶合板、塑料板等可燃物，易引起火势的蔓延与扩大。</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4、防雷、防静电措施不当或失效</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5、接地电阻值不符合规范要求</w:t>
            </w:r>
          </w:p>
        </w:tc>
        <w:tc>
          <w:tcPr>
            <w:tcW w:w="674"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人员伤亡设备损坏</w:t>
            </w:r>
          </w:p>
        </w:tc>
        <w:tc>
          <w:tcPr>
            <w:tcW w:w="703"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3431"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1．加强日常维护，计算机系统的信号线、电源电缆和地线等分开铺设，控制室外应有良好的防雷设施；</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2、电气、控制设备的安装、检修、改线，应符合防火要求；</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3、合理配置消防设施和器材，并定期组织检验、维修，确保消防设施和器材完好、有效</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4、防雷、防静电设施按规范设计、施工；</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5、接地电阻值定期检测。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35"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DCS系统错误</w:t>
            </w:r>
          </w:p>
        </w:tc>
        <w:tc>
          <w:tcPr>
            <w:tcW w:w="667"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w:t>
            </w:r>
          </w:p>
        </w:tc>
        <w:tc>
          <w:tcPr>
            <w:tcW w:w="2950"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1、腐蚀性气体损害密封线路、印刷电路板等；</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2、附着在集成块上的灰尘影响其散热或引起接触不良，还会引起数据的读写错误；</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3、温度升高导致电阻绝缘性能下降；</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4、低质量的供电损坏计算机的电源系统，并对元器件造成损坏；</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5、接地不良造成零部件的烧毁损坏；</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6、振动对硬件的损害最为严重，若离振动源较近又无避振措施时会受到影响。</w:t>
            </w:r>
          </w:p>
        </w:tc>
        <w:tc>
          <w:tcPr>
            <w:tcW w:w="674"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人员伤亡设备损坏</w:t>
            </w:r>
          </w:p>
        </w:tc>
        <w:tc>
          <w:tcPr>
            <w:tcW w:w="703"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3431"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1、在对DCS系统装置进行运输、开箱、保管、安装各阶段、严格按照指导说明书要求的环境与步骤进行；</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2、提供良好的外部环境条件，如控制室温、湿度控制；良好的接地系统以及防灰、防震、防腐蚀；远离振动源、高噪音源，还应考虑机柜进线的内、外部密封及消防措施等；</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3、必须配置不间断电源UPS。同时UPS运行的有关参数和运行状态信号应输入到DCS系统中，当UPS故障时可以报警显示，以保证系统和生产装置的安全运行。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35"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DCS系统系统运行不正常</w:t>
            </w:r>
          </w:p>
        </w:tc>
        <w:tc>
          <w:tcPr>
            <w:tcW w:w="667"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w:t>
            </w:r>
          </w:p>
        </w:tc>
        <w:tc>
          <w:tcPr>
            <w:tcW w:w="2950"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1、电力线、电机设备的负荷电流通过电磁感应对信号线及DCS仪表显示系统产生干扰，使CRT屏幕上出现麻点和闪动；</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2、控制室防雷接地单独设置，与控制系统的接地体没有足够的绝缘距离；</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3、仪表电源的波动、信号线连接点的接触电阻等对电信号传输引起干扰。</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4、硬盘、存储器等因多次读写产生坏磁道，若未及时修复，会丢失数据，造成控制精度下降甚至死机等大的故障。</w:t>
            </w:r>
          </w:p>
        </w:tc>
        <w:tc>
          <w:tcPr>
            <w:tcW w:w="674"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人员伤亡设备损坏</w:t>
            </w:r>
          </w:p>
        </w:tc>
        <w:tc>
          <w:tcPr>
            <w:tcW w:w="703"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3431"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1、仪表信号线路与电力线及能产生交变电磁场的设备，相隔最小间距应按有关配线设计规定施工规范来执行；</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2、机电设备、电源开关等应有铁质壳体屏蔽，信号线与电源线严格分开，不得穿同一金属管或敷设于同一金属槽盒内；</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3、采用对绞线可很好抑制电磁感应引入的干扰，又可明显抑制静电感应引入的干扰；</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4、设置DCS系统保护接地和工作接地。在DCS系统调试前应经过接地电阻测试，达不到要求不能调试，更不能进行生产的联动试车；</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5、DCS</w:t>
            </w:r>
            <w:r>
              <w:rPr>
                <w:rFonts w:hint="default" w:ascii="Times New Roman" w:hAnsi="Times New Roman" w:eastAsia="宋体" w:cs="Times New Roman"/>
                <w:color w:val="auto"/>
                <w:sz w:val="21"/>
                <w:szCs w:val="21"/>
                <w:lang w:eastAsia="zh-CN"/>
              </w:rPr>
              <w:t>系统</w:t>
            </w:r>
            <w:r>
              <w:rPr>
                <w:rFonts w:hint="default" w:ascii="Times New Roman" w:hAnsi="Times New Roman" w:eastAsia="宋体" w:cs="Times New Roman"/>
                <w:color w:val="auto"/>
                <w:sz w:val="21"/>
                <w:szCs w:val="21"/>
              </w:rPr>
              <w:t>的接地系统和防雷接地系统应进行等电位联接，以避免DCS系统的电子元件受到雷电反击。</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6、利用设备诊断和检测技术，确切掌握设备状态以掌握设备的老化程度，预测故障，决定点检内容、周期，决定更新周期，以维持和提高设备的可靠性、稳定性。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35"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自动控制调节装置运行不正常</w:t>
            </w:r>
          </w:p>
        </w:tc>
        <w:tc>
          <w:tcPr>
            <w:tcW w:w="667"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w:t>
            </w:r>
          </w:p>
        </w:tc>
        <w:tc>
          <w:tcPr>
            <w:tcW w:w="2950"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1、自动调节系统电源回路失电，或其导线故障，导致自动调节失控或调节系统无动作。</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2、调节用一次检测装置及其接线回路损坏，或断线/短路，致使调节信号异常，导致调整门突然开大或关小。</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3、执行机构故障，导致自动调节无动作或突大突小。</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4、双路冗余互为备用的通讯环路，自动切换时瞬时故障，丢失信息导致自动控制失控。</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5、DCS仪表系统调节用的CPU，超过使用有效期，或受外界干扰或PID运算出错，导致自动调节失控。</w:t>
            </w:r>
          </w:p>
          <w:p>
            <w:pPr>
              <w:spacing w:line="260" w:lineRule="exact"/>
              <w:rPr>
                <w:rFonts w:hint="default" w:ascii="Times New Roman" w:hAnsi="Times New Roman" w:eastAsia="宋体" w:cs="Times New Roman"/>
                <w:color w:val="auto"/>
                <w:sz w:val="21"/>
                <w:szCs w:val="21"/>
              </w:rPr>
            </w:pPr>
          </w:p>
        </w:tc>
        <w:tc>
          <w:tcPr>
            <w:tcW w:w="674"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可能造成人员伤亡或设备损坏</w:t>
            </w:r>
          </w:p>
        </w:tc>
        <w:tc>
          <w:tcPr>
            <w:tcW w:w="703"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3431"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1、加强系统自动调节系统电源回路(电源开关、熔断器、电缆、接插件)维护管理工组。</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2、加强系统调节用一次检测装置、执行机构、调节机构、通讯组件、I/O输入/输出组件、CPU主机组件的维护管理工作。对超过有效期使用的组件，及时更换备用件。</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3、把好仪表等检测设备入口关，“三证”齐全方可使用。</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4、重要调节系统设计，应具有“当调节信号偏差大时，自动由自动调节方式转为手动调节方式”的功能。</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5、重要调节系统，应定期进行内外扰动动作试验。</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6、当在线仪表发生损坏时，DCS系统应能及时的显示、报警，必要时，可启动联锁保护系统按规定要求动作，以确保工艺装置的安全生产或停机。</w:t>
            </w:r>
          </w:p>
        </w:tc>
      </w:tr>
    </w:tbl>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2、评价小结</w:t>
      </w:r>
    </w:p>
    <w:p>
      <w:pPr>
        <w:spacing w:line="580" w:lineRule="exact"/>
        <w:ind w:firstLine="56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通过预先危险性分析，公用工程及辅助设施单元主要危险、有害因素为：触电、火灾等危险程度为II级（临界的）。II级是临界的，处于事故的边缘状态，暂时还不会造成人员伤亡、系统损坏或降低系统性能，但应予排除或采取控制措施。仪表自动控制子单元主要危险、有害因素为：控制室火灾、DCS控制系统系统错误、DCS控制系统运行不正常、自动控制调节装置运行不正常危险程度为Ⅱ级（临界的），处于事故的边缘状态，暂时还不会造成人员伤亡、系统损坏降低系统性能，但应予排除或采取控制措施。</w:t>
      </w:r>
    </w:p>
    <w:p>
      <w:pPr>
        <w:rPr>
          <w:rFonts w:hint="default" w:ascii="Times New Roman" w:hAnsi="Times New Roman" w:eastAsia="黑体" w:cs="Times New Roman"/>
          <w:color w:val="auto"/>
          <w:kern w:val="0"/>
          <w:szCs w:val="28"/>
        </w:rPr>
      </w:pPr>
      <w:r>
        <w:rPr>
          <w:rFonts w:hint="default" w:ascii="Times New Roman" w:hAnsi="Times New Roman" w:eastAsia="黑体" w:cs="Times New Roman"/>
          <w:color w:val="auto"/>
          <w:kern w:val="0"/>
          <w:szCs w:val="28"/>
        </w:rPr>
        <w:br w:type="page"/>
      </w:r>
    </w:p>
    <w:p>
      <w:pPr>
        <w:keepNext/>
        <w:widowControl w:val="0"/>
        <w:spacing w:line="600" w:lineRule="exact"/>
        <w:jc w:val="center"/>
        <w:outlineLvl w:val="1"/>
        <w:rPr>
          <w:rFonts w:hint="default" w:ascii="Times New Roman" w:hAnsi="Times New Roman" w:eastAsia="黑体" w:cs="Times New Roman"/>
          <w:color w:val="auto"/>
          <w:kern w:val="0"/>
          <w:szCs w:val="28"/>
        </w:rPr>
      </w:pPr>
      <w:bookmarkStart w:id="156" w:name="_Toc6930"/>
      <w:r>
        <w:rPr>
          <w:rFonts w:hint="default" w:ascii="Times New Roman" w:hAnsi="Times New Roman" w:eastAsia="黑体" w:cs="Times New Roman"/>
          <w:color w:val="auto"/>
          <w:kern w:val="0"/>
          <w:szCs w:val="28"/>
        </w:rPr>
        <w:t>C.6特种设备单元</w:t>
      </w:r>
      <w:bookmarkEnd w:id="156"/>
    </w:p>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该项目涉及特种设备主要为压力容器、</w:t>
      </w:r>
      <w:r>
        <w:rPr>
          <w:rFonts w:hint="default" w:ascii="Times New Roman" w:hAnsi="Times New Roman" w:cs="Times New Roman"/>
          <w:color w:val="auto"/>
          <w:szCs w:val="28"/>
          <w:lang w:val="en-US" w:eastAsia="zh-CN"/>
        </w:rPr>
        <w:t>行车、叉车、压力管道</w:t>
      </w:r>
      <w:r>
        <w:rPr>
          <w:rFonts w:hint="default" w:ascii="Times New Roman" w:hAnsi="Times New Roman" w:eastAsia="宋体" w:cs="Times New Roman"/>
          <w:color w:val="auto"/>
          <w:szCs w:val="28"/>
        </w:rPr>
        <w:t>等设备、设施。</w:t>
      </w:r>
    </w:p>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1、预先危险性分析</w:t>
      </w:r>
    </w:p>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采用预先危险性分析法（PHA）对本单元进行分析评价，具体情况见下表：</w:t>
      </w:r>
    </w:p>
    <w:p>
      <w:pPr>
        <w:jc w:val="center"/>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表C.6特种设备单元预先危险性分析</w:t>
      </w:r>
    </w:p>
    <w:tbl>
      <w:tblPr>
        <w:tblStyle w:val="19"/>
        <w:tblW w:w="928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42"/>
        <w:gridCol w:w="3125"/>
        <w:gridCol w:w="853"/>
        <w:gridCol w:w="709"/>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75"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w:t>
            </w:r>
          </w:p>
        </w:tc>
        <w:tc>
          <w:tcPr>
            <w:tcW w:w="842"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阶段</w:t>
            </w:r>
          </w:p>
        </w:tc>
        <w:tc>
          <w:tcPr>
            <w:tcW w:w="3125"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触发事件</w:t>
            </w:r>
          </w:p>
        </w:tc>
        <w:tc>
          <w:tcPr>
            <w:tcW w:w="853"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事故后果</w:t>
            </w:r>
          </w:p>
        </w:tc>
        <w:tc>
          <w:tcPr>
            <w:tcW w:w="709"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危险等级</w:t>
            </w:r>
          </w:p>
        </w:tc>
        <w:tc>
          <w:tcPr>
            <w:tcW w:w="3082"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措施建议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675"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容器爆炸</w:t>
            </w:r>
          </w:p>
        </w:tc>
        <w:tc>
          <w:tcPr>
            <w:tcW w:w="842"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运行</w:t>
            </w:r>
          </w:p>
        </w:tc>
        <w:tc>
          <w:tcPr>
            <w:tcW w:w="3125"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1）系统超压运行；</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2）压力容器</w:t>
            </w:r>
            <w:r>
              <w:rPr>
                <w:rFonts w:hint="default" w:ascii="Times New Roman" w:hAnsi="Times New Roman" w:cs="Times New Roman"/>
                <w:color w:val="auto"/>
                <w:sz w:val="21"/>
                <w:szCs w:val="21"/>
                <w:lang w:eastAsia="zh-CN"/>
              </w:rPr>
              <w:t>、管道</w:t>
            </w:r>
            <w:r>
              <w:rPr>
                <w:rFonts w:hint="default" w:ascii="Times New Roman" w:hAnsi="Times New Roman" w:eastAsia="宋体" w:cs="Times New Roman"/>
                <w:color w:val="auto"/>
                <w:sz w:val="21"/>
                <w:szCs w:val="21"/>
              </w:rPr>
              <w:t>未定期进行检测；</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3）安全阀损坏或整定值不合格；</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4）设备或管道遭受腐蚀强度下降；</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5）遭受外力撞击过大。</w:t>
            </w:r>
          </w:p>
        </w:tc>
        <w:tc>
          <w:tcPr>
            <w:tcW w:w="853" w:type="dxa"/>
            <w:vAlign w:val="center"/>
          </w:tcPr>
          <w:p>
            <w:pPr>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人员伤亡、财产损失</w:t>
            </w:r>
          </w:p>
        </w:tc>
        <w:tc>
          <w:tcPr>
            <w:tcW w:w="709" w:type="dxa"/>
            <w:vAlign w:val="center"/>
          </w:tcPr>
          <w:p>
            <w:pPr>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3082"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1）严格执行安全操作规程，禁止违章作业；</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2）压力容器</w:t>
            </w:r>
            <w:r>
              <w:rPr>
                <w:rFonts w:hint="default" w:ascii="Times New Roman" w:hAnsi="Times New Roman" w:cs="Times New Roman"/>
                <w:color w:val="auto"/>
                <w:sz w:val="21"/>
                <w:szCs w:val="21"/>
                <w:lang w:eastAsia="zh-CN"/>
              </w:rPr>
              <w:t>、管道</w:t>
            </w:r>
            <w:r>
              <w:rPr>
                <w:rFonts w:hint="default" w:ascii="Times New Roman" w:hAnsi="Times New Roman" w:eastAsia="宋体" w:cs="Times New Roman"/>
                <w:color w:val="auto"/>
                <w:sz w:val="21"/>
                <w:szCs w:val="21"/>
              </w:rPr>
              <w:t>和安全阀应定期检测，合格后使用；</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3）危险性较大的压力容器应采用2个安全阀；</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4）加强现场检查维护，减缓设备或管道腐蚀；</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5）防止外来物体撞击。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675"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中毒窒息</w:t>
            </w:r>
          </w:p>
        </w:tc>
        <w:tc>
          <w:tcPr>
            <w:tcW w:w="842"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运行、检修</w:t>
            </w:r>
          </w:p>
        </w:tc>
        <w:tc>
          <w:tcPr>
            <w:tcW w:w="3125"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1．压力容器、管道安全附件失灵、超压，或因腐蚀、冲刷、温度、压力交变影响承压能力降低，发生物理爆炸，引起独行物料泄漏。</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2.施工安装完成后未进行无损检测及泄漏试验</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3.作业人员进入塔器、储罐等特种设备内作业时无防护；</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2．进入</w:t>
            </w:r>
            <w:r>
              <w:rPr>
                <w:rFonts w:hint="default" w:ascii="Times New Roman" w:hAnsi="Times New Roman" w:cs="Times New Roman"/>
                <w:color w:val="auto"/>
                <w:sz w:val="21"/>
                <w:szCs w:val="21"/>
                <w:lang w:val="en-US" w:eastAsia="zh-CN"/>
              </w:rPr>
              <w:t>涉及有毒物料的</w:t>
            </w:r>
            <w:r>
              <w:rPr>
                <w:rFonts w:hint="default" w:ascii="Times New Roman" w:hAnsi="Times New Roman" w:eastAsia="宋体" w:cs="Times New Roman"/>
                <w:color w:val="auto"/>
                <w:sz w:val="21"/>
                <w:szCs w:val="21"/>
              </w:rPr>
              <w:t>设备内作业前，未进行空气置换或置换不彻底；</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3．进入塔器、储罐等特种设备内作业时有害气体超标，无人监护；</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4．塔器、储罐等特种设备无通风设施或通风不良；</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5．安全生产管理工作不到位，违章作业。</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未制定事故应急处理预案</w:t>
            </w:r>
          </w:p>
        </w:tc>
        <w:tc>
          <w:tcPr>
            <w:tcW w:w="853" w:type="dxa"/>
            <w:vAlign w:val="center"/>
          </w:tcPr>
          <w:p>
            <w:pPr>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人员伤亡、财产损失</w:t>
            </w:r>
          </w:p>
        </w:tc>
        <w:tc>
          <w:tcPr>
            <w:tcW w:w="709" w:type="dxa"/>
            <w:vAlign w:val="center"/>
          </w:tcPr>
          <w:p>
            <w:pPr>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3082"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1．作业人员进入设备内作业时要穿工作服、戴工作帽，并佩戴必要的防护用品；</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2．进入涉及有毒物料的设备进行检修作业前，首先必须进行彻底的气体置换，合格后才能允许进入容器内部作业；</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3．进入设备进行检修作业，要有专人进行监护，并采取必要的防护措施；</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4．在设备内作业时，应保持良好的通风；</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5．加强安全生产管理工作，严格执行各项管理制度和操作规程。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675"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物体打击</w:t>
            </w:r>
          </w:p>
        </w:tc>
        <w:tc>
          <w:tcPr>
            <w:tcW w:w="842"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运行</w:t>
            </w:r>
          </w:p>
        </w:tc>
        <w:tc>
          <w:tcPr>
            <w:tcW w:w="3125"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1.高出平台上有未安装紧固的物体。</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2.高处作业时工具或备件等重物放置不当，高处落下。</w:t>
            </w:r>
          </w:p>
        </w:tc>
        <w:tc>
          <w:tcPr>
            <w:tcW w:w="853" w:type="dxa"/>
            <w:vAlign w:val="center"/>
          </w:tcPr>
          <w:p>
            <w:pPr>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人员伤害</w:t>
            </w:r>
          </w:p>
        </w:tc>
        <w:tc>
          <w:tcPr>
            <w:tcW w:w="709" w:type="dxa"/>
            <w:vAlign w:val="center"/>
          </w:tcPr>
          <w:p>
            <w:pPr>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3082"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1.高处平台上的设备、设施紧固件等应安装紧固并定期检查。</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2.加强作业人员安全教育，禁止违章作业。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675"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高处坠落</w:t>
            </w:r>
          </w:p>
        </w:tc>
        <w:tc>
          <w:tcPr>
            <w:tcW w:w="842" w:type="dxa"/>
            <w:vAlign w:val="center"/>
          </w:tcPr>
          <w:p>
            <w:pPr>
              <w:spacing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检修</w:t>
            </w:r>
          </w:p>
        </w:tc>
        <w:tc>
          <w:tcPr>
            <w:tcW w:w="3125"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1.安全防护设施损坏或不牢固。</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2.作业人员高处作业未使用安全带等防护用品，注意力不集中。</w:t>
            </w:r>
          </w:p>
        </w:tc>
        <w:tc>
          <w:tcPr>
            <w:tcW w:w="853" w:type="dxa"/>
            <w:vAlign w:val="center"/>
          </w:tcPr>
          <w:p>
            <w:pPr>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人员伤害</w:t>
            </w:r>
          </w:p>
        </w:tc>
        <w:tc>
          <w:tcPr>
            <w:tcW w:w="709" w:type="dxa"/>
            <w:vAlign w:val="center"/>
          </w:tcPr>
          <w:p>
            <w:pPr>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3082" w:type="dxa"/>
            <w:vAlign w:val="center"/>
          </w:tcPr>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1.定期检查维护安全防护设施，确保安全牢固。</w:t>
            </w:r>
          </w:p>
          <w:p>
            <w:pPr>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2.加强作业人员安全教育，提高安全意识及技术素质，禁止违章作业。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675" w:type="dxa"/>
            <w:vAlign w:val="center"/>
          </w:tcPr>
          <w:p>
            <w:pPr>
              <w:pStyle w:val="30"/>
              <w:spacing w:line="280" w:lineRule="exact"/>
              <w:rPr>
                <w:rFonts w:hint="default" w:ascii="Times New Roman" w:hAnsi="Times New Roman" w:eastAsia="宋体" w:cs="Times New Roman"/>
                <w:color w:val="auto"/>
                <w:kern w:val="0"/>
                <w:sz w:val="21"/>
                <w:szCs w:val="22"/>
                <w:lang w:val="en-US" w:eastAsia="zh-CN" w:bidi="ar-SA"/>
              </w:rPr>
            </w:pPr>
            <w:r>
              <w:rPr>
                <w:rFonts w:hint="default" w:ascii="Times New Roman" w:hAnsi="Times New Roman" w:cs="Times New Roman"/>
                <w:color w:val="auto"/>
              </w:rPr>
              <w:t>起重伤害</w:t>
            </w:r>
          </w:p>
        </w:tc>
        <w:tc>
          <w:tcPr>
            <w:tcW w:w="842" w:type="dxa"/>
            <w:vAlign w:val="center"/>
          </w:tcPr>
          <w:p>
            <w:pPr>
              <w:pStyle w:val="30"/>
              <w:spacing w:line="280" w:lineRule="exact"/>
              <w:rPr>
                <w:rFonts w:hint="default" w:ascii="Times New Roman" w:hAnsi="Times New Roman" w:eastAsia="宋体" w:cs="Times New Roman"/>
                <w:color w:val="auto"/>
                <w:kern w:val="0"/>
                <w:sz w:val="21"/>
                <w:szCs w:val="22"/>
                <w:lang w:val="en-US" w:eastAsia="zh-CN" w:bidi="ar-SA"/>
              </w:rPr>
            </w:pPr>
            <w:r>
              <w:rPr>
                <w:rFonts w:hint="default" w:ascii="Times New Roman" w:hAnsi="Times New Roman" w:cs="Times New Roman"/>
                <w:color w:val="auto"/>
              </w:rPr>
              <w:t>正常生产</w:t>
            </w:r>
          </w:p>
        </w:tc>
        <w:tc>
          <w:tcPr>
            <w:tcW w:w="3125" w:type="dxa"/>
            <w:vAlign w:val="center"/>
          </w:tcPr>
          <w:p>
            <w:pPr>
              <w:pStyle w:val="31"/>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1）原材装卸、成品、半成品装卸、大型设备检修都要使用起重设备。如果设备本身缺陷，没有足够的强度，起重机械没有定期检验和检查维护就可能发生伤害事故。</w:t>
            </w:r>
          </w:p>
          <w:p>
            <w:pPr>
              <w:pStyle w:val="31"/>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2）如果超过工作载荷、超过运行半径或设备基础不牢固就有可能发生翻倒、负载失落事故。</w:t>
            </w:r>
          </w:p>
          <w:p>
            <w:pPr>
              <w:pStyle w:val="31"/>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3）操作人员未经培训，缺乏技能或由于视界限制可能引起碰撞，挤压伤人、物体打击事故。</w:t>
            </w:r>
          </w:p>
          <w:p>
            <w:pPr>
              <w:pStyle w:val="31"/>
              <w:spacing w:line="280" w:lineRule="exact"/>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4）如因起重设备安全附件失灵或人为拆除，违章作业，钢丝绳断裂，指挥信号失误，吊物下站人等或检修时未使用相应的防护用品，可能造成起重伤害事故。</w:t>
            </w:r>
          </w:p>
        </w:tc>
        <w:tc>
          <w:tcPr>
            <w:tcW w:w="853" w:type="dxa"/>
            <w:vAlign w:val="center"/>
          </w:tcPr>
          <w:p>
            <w:pPr>
              <w:pStyle w:val="30"/>
              <w:spacing w:line="280" w:lineRule="exact"/>
              <w:rPr>
                <w:rFonts w:hint="default" w:ascii="Times New Roman" w:hAnsi="Times New Roman" w:eastAsia="宋体" w:cs="Times New Roman"/>
                <w:color w:val="auto"/>
                <w:kern w:val="0"/>
                <w:sz w:val="21"/>
                <w:szCs w:val="22"/>
                <w:lang w:val="en-US" w:eastAsia="zh-CN" w:bidi="ar-SA"/>
              </w:rPr>
            </w:pPr>
            <w:r>
              <w:rPr>
                <w:rFonts w:hint="default" w:ascii="Times New Roman" w:hAnsi="Times New Roman" w:cs="Times New Roman"/>
                <w:color w:val="auto"/>
              </w:rPr>
              <w:t>财产损失，人员伤亡</w:t>
            </w:r>
          </w:p>
        </w:tc>
        <w:tc>
          <w:tcPr>
            <w:tcW w:w="709" w:type="dxa"/>
            <w:vAlign w:val="center"/>
          </w:tcPr>
          <w:p>
            <w:pPr>
              <w:pStyle w:val="30"/>
              <w:spacing w:line="280" w:lineRule="exact"/>
              <w:rPr>
                <w:rFonts w:hint="default" w:ascii="Times New Roman" w:hAnsi="Times New Roman" w:eastAsia="宋体" w:cs="Times New Roman"/>
                <w:color w:val="auto"/>
                <w:kern w:val="0"/>
                <w:sz w:val="21"/>
                <w:szCs w:val="22"/>
                <w:lang w:val="en-US" w:eastAsia="zh-CN" w:bidi="ar-SA"/>
              </w:rPr>
            </w:pPr>
            <w:r>
              <w:rPr>
                <w:rFonts w:hint="default" w:ascii="Times New Roman" w:hAnsi="Times New Roman" w:cs="Times New Roman"/>
                <w:color w:val="auto"/>
              </w:rPr>
              <w:t>II</w:t>
            </w:r>
          </w:p>
        </w:tc>
        <w:tc>
          <w:tcPr>
            <w:tcW w:w="3082" w:type="dxa"/>
            <w:vAlign w:val="center"/>
          </w:tcPr>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1、起重设备应选用国家规定的合成产品，定期进行检验和维护；</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2、起重设备严禁超工作载荷、运行半径等进行起吊；</w:t>
            </w:r>
          </w:p>
          <w:p>
            <w:pPr>
              <w:pStyle w:val="30"/>
              <w:spacing w:line="28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3、起重作业人员应持证上岗；</w:t>
            </w:r>
          </w:p>
          <w:p>
            <w:pPr>
              <w:pStyle w:val="30"/>
              <w:spacing w:line="280" w:lineRule="exact"/>
              <w:ind w:firstLine="420" w:firstLineChars="200"/>
              <w:jc w:val="both"/>
              <w:rPr>
                <w:rFonts w:hint="default" w:ascii="Times New Roman" w:hAnsi="Times New Roman" w:eastAsia="宋体" w:cs="Times New Roman"/>
                <w:color w:val="auto"/>
                <w:kern w:val="0"/>
                <w:sz w:val="21"/>
                <w:szCs w:val="22"/>
                <w:lang w:val="en-US" w:eastAsia="zh-CN" w:bidi="ar-SA"/>
              </w:rPr>
            </w:pPr>
            <w:r>
              <w:rPr>
                <w:rFonts w:hint="default" w:ascii="Times New Roman" w:hAnsi="Times New Roman" w:cs="Times New Roman"/>
                <w:color w:val="auto"/>
              </w:rPr>
              <w:t>4、起重设备安全附件应保证正常使用；起重时严格执行起重操作“十不吊”。</w:t>
            </w:r>
          </w:p>
        </w:tc>
      </w:tr>
    </w:tbl>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2、评价小结</w:t>
      </w:r>
    </w:p>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通过预先危险性分析，特种设备单元主要危险、有害因素为：容器爆炸、中毒窒息危险等级为Ⅲ级，危险程度是危险的，会造成人员伤亡和系统损坏，要立即采取防范对策措施。</w:t>
      </w:r>
      <w:r>
        <w:rPr>
          <w:rFonts w:hint="default" w:ascii="Times New Roman" w:hAnsi="Times New Roman" w:eastAsia="宋体" w:cs="Times New Roman"/>
          <w:color w:val="auto"/>
          <w:szCs w:val="28"/>
          <w:lang w:eastAsia="zh-CN"/>
        </w:rPr>
        <w:t>起重伤害</w:t>
      </w:r>
      <w:r>
        <w:rPr>
          <w:rFonts w:hint="default" w:ascii="Times New Roman" w:hAnsi="Times New Roman" w:eastAsia="宋体" w:cs="Times New Roman"/>
          <w:color w:val="auto"/>
          <w:szCs w:val="28"/>
        </w:rPr>
        <w:t>、物体打击、高处坠落危险程度为II级（临界的）。II级是临界的，处于事故的边缘状态，暂时还不会造成人员伤亡、系统损坏或降低系统性能，但应予排除或采取控制措施。</w:t>
      </w:r>
    </w:p>
    <w:p>
      <w:pPr>
        <w:keepNext/>
        <w:widowControl w:val="0"/>
        <w:spacing w:line="600" w:lineRule="exact"/>
        <w:jc w:val="center"/>
        <w:outlineLvl w:val="1"/>
        <w:rPr>
          <w:rFonts w:hint="default" w:ascii="Times New Roman" w:hAnsi="Times New Roman" w:eastAsia="黑体" w:cs="Times New Roman"/>
          <w:color w:val="auto"/>
          <w:kern w:val="0"/>
          <w:szCs w:val="28"/>
        </w:rPr>
      </w:pPr>
      <w:bookmarkStart w:id="157" w:name="_Toc13189"/>
      <w:r>
        <w:rPr>
          <w:rFonts w:hint="default" w:ascii="Times New Roman" w:hAnsi="Times New Roman" w:eastAsia="黑体" w:cs="Times New Roman"/>
          <w:color w:val="auto"/>
          <w:kern w:val="0"/>
          <w:szCs w:val="28"/>
        </w:rPr>
        <w:t>C.7消防单元</w:t>
      </w:r>
      <w:bookmarkEnd w:id="157"/>
    </w:p>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评价组依据《中华人民共和国消防法》、《建筑设计防火规范（2018版）》、《消防给水及消火栓系统技术规范》等法规、规范对该项目的消防设施进行安全检查。检查情况见下表：</w:t>
      </w:r>
    </w:p>
    <w:p>
      <w:pPr>
        <w:jc w:val="center"/>
        <w:rPr>
          <w:rFonts w:hint="default" w:ascii="Times New Roman" w:hAnsi="Times New Roman" w:eastAsia="宋体" w:cs="Times New Roman"/>
          <w:color w:val="auto"/>
          <w:szCs w:val="28"/>
        </w:rPr>
      </w:pPr>
    </w:p>
    <w:p>
      <w:pPr>
        <w:jc w:val="center"/>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表C.7消防单元安全检查表</w:t>
      </w:r>
    </w:p>
    <w:tbl>
      <w:tblPr>
        <w:tblStyle w:val="19"/>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4382"/>
        <w:gridCol w:w="720"/>
        <w:gridCol w:w="1649"/>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spacing w:line="280" w:lineRule="exact"/>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4382" w:type="dxa"/>
            <w:vAlign w:val="center"/>
          </w:tcPr>
          <w:p>
            <w:pPr>
              <w:spacing w:line="280" w:lineRule="exact"/>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检查项目和内容</w:t>
            </w:r>
          </w:p>
        </w:tc>
        <w:tc>
          <w:tcPr>
            <w:tcW w:w="720" w:type="dxa"/>
            <w:vAlign w:val="center"/>
          </w:tcPr>
          <w:p>
            <w:pPr>
              <w:spacing w:line="280" w:lineRule="exact"/>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检查结果</w:t>
            </w:r>
          </w:p>
        </w:tc>
        <w:tc>
          <w:tcPr>
            <w:tcW w:w="1649" w:type="dxa"/>
            <w:vAlign w:val="center"/>
          </w:tcPr>
          <w:p>
            <w:pPr>
              <w:spacing w:line="280" w:lineRule="exact"/>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检查依据</w:t>
            </w:r>
          </w:p>
        </w:tc>
        <w:tc>
          <w:tcPr>
            <w:tcW w:w="2311" w:type="dxa"/>
            <w:vAlign w:val="center"/>
          </w:tcPr>
          <w:p>
            <w:pPr>
              <w:spacing w:line="280" w:lineRule="exact"/>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widowControl/>
              <w:numPr>
                <w:ilvl w:val="0"/>
                <w:numId w:val="37"/>
              </w:numPr>
              <w:adjustRightInd w:val="0"/>
              <w:snapToGrid w:val="0"/>
              <w:spacing w:line="280" w:lineRule="exact"/>
              <w:jc w:val="left"/>
              <w:rPr>
                <w:rFonts w:hint="default" w:ascii="Times New Roman" w:hAnsi="Times New Roman" w:eastAsia="宋体" w:cs="Times New Roman"/>
                <w:bCs/>
                <w:color w:val="auto"/>
                <w:sz w:val="21"/>
                <w:szCs w:val="21"/>
              </w:rPr>
            </w:pPr>
          </w:p>
        </w:tc>
        <w:tc>
          <w:tcPr>
            <w:tcW w:w="4382" w:type="dxa"/>
            <w:vAlign w:val="center"/>
          </w:tcPr>
          <w:p>
            <w:pPr>
              <w:widowControl/>
              <w:spacing w:line="280" w:lineRule="exact"/>
              <w:ind w:firstLine="420"/>
              <w:jc w:val="left"/>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生产、储存、经营易燃易爆危险品的场所不得与居住场所设置在同一建筑物内，并应当与居住场所保持安全距离。</w:t>
            </w:r>
          </w:p>
          <w:p>
            <w:pPr>
              <w:widowControl/>
              <w:spacing w:line="280" w:lineRule="exact"/>
              <w:ind w:firstLine="42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zh-CN"/>
              </w:rPr>
              <w:t>生产、储存、经营其他物品的场所与居住场所设置在同一建筑物内的，应当符合国家工程建设消防技术标准。</w:t>
            </w:r>
          </w:p>
        </w:tc>
        <w:tc>
          <w:tcPr>
            <w:tcW w:w="720"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649" w:type="dxa"/>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《中华人民共和国消防法》第十九条</w:t>
            </w:r>
          </w:p>
        </w:tc>
        <w:tc>
          <w:tcPr>
            <w:tcW w:w="2311" w:type="dxa"/>
            <w:vAlign w:val="center"/>
          </w:tcPr>
          <w:p>
            <w:pPr>
              <w:widowControl/>
              <w:spacing w:line="28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生产区内没有设员工宿舍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widowControl/>
              <w:numPr>
                <w:ilvl w:val="0"/>
                <w:numId w:val="37"/>
              </w:numPr>
              <w:adjustRightInd w:val="0"/>
              <w:snapToGrid w:val="0"/>
              <w:spacing w:line="280" w:lineRule="exact"/>
              <w:jc w:val="left"/>
              <w:rPr>
                <w:rFonts w:hint="default" w:ascii="Times New Roman" w:hAnsi="Times New Roman" w:eastAsia="宋体" w:cs="Times New Roman"/>
                <w:bCs/>
                <w:color w:val="auto"/>
                <w:sz w:val="21"/>
                <w:szCs w:val="21"/>
              </w:rPr>
            </w:pPr>
          </w:p>
        </w:tc>
        <w:tc>
          <w:tcPr>
            <w:tcW w:w="4382" w:type="dxa"/>
            <w:vAlign w:val="center"/>
          </w:tcPr>
          <w:p>
            <w:pPr>
              <w:widowControl/>
              <w:spacing w:line="28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消防产品必须符合国家标准；没有国家标准的，必须符合行业标准。禁止生产、销售或者使用不合格的消防产品以及国家明令淘汰的消防产品。</w:t>
            </w:r>
          </w:p>
        </w:tc>
        <w:tc>
          <w:tcPr>
            <w:tcW w:w="720"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649" w:type="dxa"/>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《中华人民共和国消防法》第二十四条</w:t>
            </w:r>
          </w:p>
        </w:tc>
        <w:tc>
          <w:tcPr>
            <w:tcW w:w="2311" w:type="dxa"/>
            <w:vAlign w:val="center"/>
          </w:tcPr>
          <w:p>
            <w:pPr>
              <w:widowControl/>
              <w:spacing w:line="28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选用符合国家标准的合格的消防产品。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widowControl/>
              <w:numPr>
                <w:ilvl w:val="0"/>
                <w:numId w:val="37"/>
              </w:numPr>
              <w:adjustRightInd w:val="0"/>
              <w:snapToGrid w:val="0"/>
              <w:spacing w:line="280" w:lineRule="exact"/>
              <w:jc w:val="left"/>
              <w:rPr>
                <w:rFonts w:hint="default" w:ascii="Times New Roman" w:hAnsi="Times New Roman" w:eastAsia="宋体" w:cs="Times New Roman"/>
                <w:bCs/>
                <w:color w:val="auto"/>
                <w:sz w:val="21"/>
                <w:szCs w:val="21"/>
              </w:rPr>
            </w:pPr>
          </w:p>
        </w:tc>
        <w:tc>
          <w:tcPr>
            <w:tcW w:w="4382" w:type="dxa"/>
            <w:vAlign w:val="center"/>
          </w:tcPr>
          <w:p>
            <w:pPr>
              <w:widowControl/>
              <w:spacing w:line="280" w:lineRule="exact"/>
              <w:jc w:val="left"/>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当建筑物沿街道部分的长度大于150m或总长度大于220m时，应设置穿过建筑物的消防车道。确有困难时，应设置环形消防车道。</w:t>
            </w:r>
          </w:p>
        </w:tc>
        <w:tc>
          <w:tcPr>
            <w:tcW w:w="720"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649" w:type="dxa"/>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《建筑设计防火规范》7.1.1</w:t>
            </w:r>
          </w:p>
        </w:tc>
        <w:tc>
          <w:tcPr>
            <w:tcW w:w="2311" w:type="dxa"/>
            <w:vAlign w:val="center"/>
          </w:tcPr>
          <w:p>
            <w:pPr>
              <w:widowControl/>
              <w:spacing w:line="280" w:lineRule="exact"/>
              <w:jc w:val="left"/>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设置环形消防车道。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widowControl/>
              <w:numPr>
                <w:ilvl w:val="0"/>
                <w:numId w:val="37"/>
              </w:numPr>
              <w:adjustRightInd w:val="0"/>
              <w:snapToGrid w:val="0"/>
              <w:spacing w:line="280" w:lineRule="exact"/>
              <w:jc w:val="left"/>
              <w:rPr>
                <w:rFonts w:hint="default" w:ascii="Times New Roman" w:hAnsi="Times New Roman" w:eastAsia="宋体" w:cs="Times New Roman"/>
                <w:bCs/>
                <w:color w:val="auto"/>
                <w:sz w:val="21"/>
                <w:szCs w:val="21"/>
              </w:rPr>
            </w:pPr>
          </w:p>
        </w:tc>
        <w:tc>
          <w:tcPr>
            <w:tcW w:w="4382" w:type="dxa"/>
            <w:vAlign w:val="center"/>
          </w:tcPr>
          <w:p>
            <w:pPr>
              <w:pStyle w:val="31"/>
              <w:spacing w:line="28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消防车道应符合下列要求：</w:t>
            </w:r>
          </w:p>
          <w:p>
            <w:pPr>
              <w:pStyle w:val="31"/>
              <w:spacing w:line="28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1车道的净宽度和净空高度均不应小于4.0m；</w:t>
            </w:r>
          </w:p>
          <w:p>
            <w:pPr>
              <w:pStyle w:val="31"/>
              <w:spacing w:line="28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2转弯半径应满足消防车转弯的要求；</w:t>
            </w:r>
          </w:p>
          <w:p>
            <w:pPr>
              <w:pStyle w:val="31"/>
              <w:spacing w:line="28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3消防车道与建筑之间不应设置妨碍消防车操作的树木、架空管线等障碍物；</w:t>
            </w:r>
          </w:p>
          <w:p>
            <w:pPr>
              <w:pStyle w:val="31"/>
              <w:spacing w:line="28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4消防车道靠建筑外墙一侧的边缘距离建筑外墙不宜小于5m；</w:t>
            </w:r>
          </w:p>
          <w:p>
            <w:pPr>
              <w:pStyle w:val="31"/>
              <w:spacing w:line="280" w:lineRule="exact"/>
              <w:ind w:firstLine="420" w:firstLineChars="200"/>
              <w:rPr>
                <w:rFonts w:hint="default" w:ascii="Times New Roman" w:hAnsi="Times New Roman" w:cs="Times New Roman"/>
                <w:color w:val="auto"/>
                <w:sz w:val="28"/>
                <w:szCs w:val="22"/>
              </w:rPr>
            </w:pPr>
            <w:r>
              <w:rPr>
                <w:rFonts w:hint="default" w:ascii="Times New Roman" w:hAnsi="Times New Roman" w:cs="Times New Roman"/>
                <w:color w:val="auto"/>
              </w:rPr>
              <w:t>5消防车道的坡度不宜大于8%。</w:t>
            </w:r>
          </w:p>
        </w:tc>
        <w:tc>
          <w:tcPr>
            <w:tcW w:w="720" w:type="dxa"/>
            <w:vAlign w:val="center"/>
          </w:tcPr>
          <w:p>
            <w:pPr>
              <w:spacing w:line="280" w:lineRule="exact"/>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1"/>
                <w:szCs w:val="21"/>
              </w:rPr>
              <w:t>符合要求</w:t>
            </w:r>
          </w:p>
        </w:tc>
        <w:tc>
          <w:tcPr>
            <w:tcW w:w="1649" w:type="dxa"/>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《建筑设计防火规范》7.1.8</w:t>
            </w:r>
          </w:p>
        </w:tc>
        <w:tc>
          <w:tcPr>
            <w:tcW w:w="2311" w:type="dxa"/>
            <w:vAlign w:val="center"/>
          </w:tcPr>
          <w:p>
            <w:pPr>
              <w:widowControl/>
              <w:spacing w:line="280" w:lineRule="exact"/>
              <w:jc w:val="left"/>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项目道路设计净宽度不小于4m。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widowControl/>
              <w:numPr>
                <w:ilvl w:val="0"/>
                <w:numId w:val="37"/>
              </w:numPr>
              <w:adjustRightInd w:val="0"/>
              <w:snapToGrid w:val="0"/>
              <w:spacing w:line="280" w:lineRule="exact"/>
              <w:jc w:val="left"/>
              <w:rPr>
                <w:rFonts w:hint="default" w:ascii="Times New Roman" w:hAnsi="Times New Roman" w:eastAsia="宋体" w:cs="Times New Roman"/>
                <w:bCs/>
                <w:color w:val="auto"/>
                <w:sz w:val="21"/>
                <w:szCs w:val="21"/>
              </w:rPr>
            </w:pPr>
          </w:p>
        </w:tc>
        <w:tc>
          <w:tcPr>
            <w:tcW w:w="4382" w:type="dxa"/>
            <w:vAlign w:val="center"/>
          </w:tcPr>
          <w:p>
            <w:pPr>
              <w:pStyle w:val="31"/>
              <w:spacing w:line="280" w:lineRule="exact"/>
              <w:rPr>
                <w:rFonts w:hint="default" w:ascii="Times New Roman" w:hAnsi="Times New Roman" w:cs="Times New Roman"/>
                <w:color w:val="auto"/>
              </w:rPr>
            </w:pPr>
            <w:r>
              <w:rPr>
                <w:rFonts w:hint="default" w:ascii="Times New Roman" w:hAnsi="Times New Roman" w:cs="Times New Roman"/>
                <w:color w:val="auto"/>
              </w:rPr>
              <w:t>民用建筑、厂房、仓库、储罐（区）和堆场周围应设置室外消火栓系统。</w:t>
            </w:r>
          </w:p>
        </w:tc>
        <w:tc>
          <w:tcPr>
            <w:tcW w:w="720" w:type="dxa"/>
            <w:vAlign w:val="center"/>
          </w:tcPr>
          <w:p>
            <w:pPr>
              <w:spacing w:line="280" w:lineRule="exact"/>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1"/>
                <w:szCs w:val="21"/>
              </w:rPr>
              <w:t>符合要求</w:t>
            </w:r>
          </w:p>
        </w:tc>
        <w:tc>
          <w:tcPr>
            <w:tcW w:w="1649" w:type="dxa"/>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《建筑设计防火规范》8.1.2</w:t>
            </w:r>
          </w:p>
        </w:tc>
        <w:tc>
          <w:tcPr>
            <w:tcW w:w="2311" w:type="dxa"/>
            <w:vAlign w:val="center"/>
          </w:tcPr>
          <w:p>
            <w:pPr>
              <w:widowControl/>
              <w:spacing w:line="280" w:lineRule="exact"/>
              <w:jc w:val="left"/>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设置室外消火栓系统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widowControl/>
              <w:numPr>
                <w:ilvl w:val="0"/>
                <w:numId w:val="37"/>
              </w:numPr>
              <w:adjustRightInd w:val="0"/>
              <w:snapToGrid w:val="0"/>
              <w:spacing w:line="280" w:lineRule="exact"/>
              <w:jc w:val="left"/>
              <w:rPr>
                <w:rFonts w:hint="default" w:ascii="Times New Roman" w:hAnsi="Times New Roman" w:eastAsia="宋体" w:cs="Times New Roman"/>
                <w:bCs/>
                <w:color w:val="auto"/>
                <w:sz w:val="21"/>
                <w:szCs w:val="21"/>
              </w:rPr>
            </w:pPr>
          </w:p>
        </w:tc>
        <w:tc>
          <w:tcPr>
            <w:tcW w:w="4382" w:type="dxa"/>
            <w:vAlign w:val="center"/>
          </w:tcPr>
          <w:p>
            <w:pPr>
              <w:autoSpaceDE w:val="0"/>
              <w:autoSpaceDN w:val="0"/>
              <w:adjustRightIn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厂房、仓库、储罐（区）和堆场，应设置灭火器。</w:t>
            </w:r>
          </w:p>
        </w:tc>
        <w:tc>
          <w:tcPr>
            <w:tcW w:w="720" w:type="dxa"/>
            <w:vAlign w:val="center"/>
          </w:tcPr>
          <w:p>
            <w:pPr>
              <w:spacing w:line="280" w:lineRule="exact"/>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1"/>
                <w:szCs w:val="21"/>
              </w:rPr>
              <w:t>符合要求</w:t>
            </w:r>
          </w:p>
        </w:tc>
        <w:tc>
          <w:tcPr>
            <w:tcW w:w="1649" w:type="dxa"/>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《建筑设计防火规范》8.1.10</w:t>
            </w:r>
          </w:p>
        </w:tc>
        <w:tc>
          <w:tcPr>
            <w:tcW w:w="2311" w:type="dxa"/>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设置灭火器。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widowControl/>
              <w:numPr>
                <w:ilvl w:val="0"/>
                <w:numId w:val="37"/>
              </w:numPr>
              <w:adjustRightInd w:val="0"/>
              <w:snapToGrid w:val="0"/>
              <w:spacing w:line="280" w:lineRule="exact"/>
              <w:jc w:val="left"/>
              <w:rPr>
                <w:rFonts w:hint="default" w:ascii="Times New Roman" w:hAnsi="Times New Roman" w:eastAsia="宋体" w:cs="Times New Roman"/>
                <w:bCs/>
                <w:color w:val="auto"/>
                <w:sz w:val="21"/>
                <w:szCs w:val="21"/>
              </w:rPr>
            </w:pPr>
          </w:p>
        </w:tc>
        <w:tc>
          <w:tcPr>
            <w:tcW w:w="4382" w:type="dxa"/>
            <w:vAlign w:val="center"/>
          </w:tcPr>
          <w:p>
            <w:pPr>
              <w:autoSpaceDE w:val="0"/>
              <w:autoSpaceDN w:val="0"/>
              <w:adjustRightIn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下列建筑或场所应设置室内消火栓系统：1 建筑占地面积大于 300m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的厂房和仓库；</w:t>
            </w:r>
          </w:p>
        </w:tc>
        <w:tc>
          <w:tcPr>
            <w:tcW w:w="720" w:type="dxa"/>
            <w:vAlign w:val="center"/>
          </w:tcPr>
          <w:p>
            <w:pPr>
              <w:spacing w:line="280" w:lineRule="exact"/>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1"/>
                <w:szCs w:val="21"/>
              </w:rPr>
              <w:t>符合要求</w:t>
            </w:r>
          </w:p>
        </w:tc>
        <w:tc>
          <w:tcPr>
            <w:tcW w:w="1649" w:type="dxa"/>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《建筑设计防火规范》8.2.1</w:t>
            </w:r>
          </w:p>
        </w:tc>
        <w:tc>
          <w:tcPr>
            <w:tcW w:w="2311" w:type="dxa"/>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设置室内消火栓系统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widowControl/>
              <w:numPr>
                <w:ilvl w:val="0"/>
                <w:numId w:val="37"/>
              </w:numPr>
              <w:adjustRightInd w:val="0"/>
              <w:snapToGrid w:val="0"/>
              <w:spacing w:line="280" w:lineRule="exact"/>
              <w:jc w:val="left"/>
              <w:rPr>
                <w:rFonts w:hint="default" w:ascii="Times New Roman" w:hAnsi="Times New Roman" w:eastAsia="宋体" w:cs="Times New Roman"/>
                <w:bCs/>
                <w:color w:val="auto"/>
                <w:sz w:val="21"/>
                <w:szCs w:val="21"/>
              </w:rPr>
            </w:pPr>
          </w:p>
        </w:tc>
        <w:tc>
          <w:tcPr>
            <w:tcW w:w="4382" w:type="dxa"/>
            <w:vAlign w:val="center"/>
          </w:tcPr>
          <w:p>
            <w:pPr>
              <w:spacing w:line="280" w:lineRule="exact"/>
              <w:jc w:val="left"/>
              <w:rPr>
                <w:rFonts w:hint="default" w:ascii="Times New Roman" w:hAnsi="Times New Roman" w:cs="Times New Roman"/>
                <w:color w:val="auto"/>
                <w:sz w:val="21"/>
                <w:szCs w:val="21"/>
                <w:shd w:val="clear" w:color="auto" w:fill="FFFFFF"/>
              </w:rPr>
            </w:pPr>
            <w:r>
              <w:rPr>
                <w:rFonts w:hint="default" w:ascii="Times New Roman" w:hAnsi="Times New Roman" w:cs="Times New Roman"/>
                <w:color w:val="auto"/>
                <w:sz w:val="21"/>
                <w:szCs w:val="21"/>
                <w:shd w:val="clear" w:color="auto" w:fill="FFFFFF"/>
              </w:rPr>
              <w:t>建筑内消防应急照明和灯光疏散指示标志的备用电源的连续供电时间应符合下列规定：</w:t>
            </w:r>
          </w:p>
          <w:p>
            <w:pPr>
              <w:spacing w:line="280" w:lineRule="exact"/>
              <w:jc w:val="left"/>
              <w:rPr>
                <w:rFonts w:hint="default" w:ascii="Times New Roman" w:hAnsi="Times New Roman" w:cs="Times New Roman"/>
                <w:color w:val="auto"/>
                <w:sz w:val="21"/>
                <w:szCs w:val="21"/>
                <w:shd w:val="clear" w:color="auto" w:fill="FFFFFF"/>
              </w:rPr>
            </w:pPr>
            <w:r>
              <w:rPr>
                <w:rFonts w:hint="default" w:ascii="Times New Roman" w:hAnsi="Times New Roman" w:cs="Times New Roman"/>
                <w:color w:val="auto"/>
                <w:sz w:val="21"/>
                <w:szCs w:val="21"/>
                <w:shd w:val="clear" w:color="auto" w:fill="FFFFFF"/>
              </w:rPr>
              <w:t>1 建筑高度大于100m的民用建筑，不应小于1.5h；</w:t>
            </w:r>
          </w:p>
          <w:p>
            <w:pPr>
              <w:spacing w:line="280" w:lineRule="exact"/>
              <w:jc w:val="left"/>
              <w:rPr>
                <w:rFonts w:hint="default" w:ascii="Times New Roman" w:hAnsi="Times New Roman" w:cs="Times New Roman"/>
                <w:color w:val="auto"/>
                <w:sz w:val="21"/>
                <w:szCs w:val="21"/>
                <w:shd w:val="clear" w:color="auto" w:fill="FFFFFF"/>
              </w:rPr>
            </w:pPr>
            <w:r>
              <w:rPr>
                <w:rFonts w:hint="default" w:ascii="Times New Roman" w:hAnsi="Times New Roman" w:cs="Times New Roman"/>
                <w:color w:val="auto"/>
                <w:sz w:val="21"/>
                <w:szCs w:val="21"/>
                <w:shd w:val="clear" w:color="auto" w:fill="FFFFFF"/>
              </w:rPr>
              <w:t>2 医疗建筑、老年人建筑、总建筑面积大于100000m2 的公共建筑，不应少于1.0h；</w:t>
            </w:r>
          </w:p>
          <w:p>
            <w:pPr>
              <w:spacing w:line="280" w:lineRule="exact"/>
              <w:jc w:val="left"/>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cs="Times New Roman"/>
                <w:color w:val="auto"/>
                <w:sz w:val="21"/>
                <w:szCs w:val="21"/>
                <w:shd w:val="clear" w:color="auto" w:fill="FFFFFF"/>
              </w:rPr>
              <w:t>3 其他建筑，不应少于0.5h。</w:t>
            </w:r>
          </w:p>
        </w:tc>
        <w:tc>
          <w:tcPr>
            <w:tcW w:w="720" w:type="dxa"/>
            <w:vAlign w:val="center"/>
          </w:tcPr>
          <w:p>
            <w:pPr>
              <w:spacing w:line="2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符合要求</w:t>
            </w:r>
          </w:p>
        </w:tc>
        <w:tc>
          <w:tcPr>
            <w:tcW w:w="1649" w:type="dxa"/>
            <w:vAlign w:val="center"/>
          </w:tcPr>
          <w:p>
            <w:pPr>
              <w:spacing w:line="280" w:lineRule="exac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《建筑设计防火规范》10.1.5</w:t>
            </w:r>
          </w:p>
        </w:tc>
        <w:tc>
          <w:tcPr>
            <w:tcW w:w="2311" w:type="dxa"/>
            <w:vAlign w:val="center"/>
          </w:tcPr>
          <w:p>
            <w:pPr>
              <w:spacing w:line="280" w:lineRule="exact"/>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shd w:val="clear" w:color="auto" w:fill="FFFFFF"/>
              </w:rPr>
              <w:t>消防应急照明和灯光疏散指示标志的备用电源的连续供电时间</w:t>
            </w:r>
            <w:r>
              <w:rPr>
                <w:rFonts w:hint="default" w:ascii="Times New Roman" w:hAnsi="Times New Roman" w:cs="Times New Roman"/>
                <w:color w:val="auto"/>
                <w:sz w:val="21"/>
                <w:szCs w:val="21"/>
                <w:shd w:val="clear" w:color="auto" w:fill="FFFFFF"/>
                <w:lang w:val="en-US" w:eastAsia="zh-CN"/>
              </w:rPr>
              <w:t>不少于0.5h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widowControl/>
              <w:numPr>
                <w:ilvl w:val="0"/>
                <w:numId w:val="37"/>
              </w:numPr>
              <w:adjustRightInd w:val="0"/>
              <w:snapToGrid w:val="0"/>
              <w:spacing w:line="280" w:lineRule="exact"/>
              <w:jc w:val="left"/>
              <w:rPr>
                <w:rFonts w:hint="default" w:ascii="Times New Roman" w:hAnsi="Times New Roman" w:eastAsia="宋体" w:cs="Times New Roman"/>
                <w:bCs/>
                <w:color w:val="auto"/>
                <w:sz w:val="21"/>
                <w:szCs w:val="21"/>
              </w:rPr>
            </w:pPr>
          </w:p>
        </w:tc>
        <w:tc>
          <w:tcPr>
            <w:tcW w:w="4382" w:type="dxa"/>
            <w:vAlign w:val="center"/>
          </w:tcPr>
          <w:p>
            <w:pPr>
              <w:autoSpaceDE w:val="0"/>
              <w:autoSpaceDN w:val="0"/>
              <w:adjustRightIn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建筑物室外消火栓设计流量不应小于表 3.3.2 的规定。</w:t>
            </w:r>
          </w:p>
        </w:tc>
        <w:tc>
          <w:tcPr>
            <w:tcW w:w="720" w:type="dxa"/>
            <w:vAlign w:val="center"/>
          </w:tcPr>
          <w:p>
            <w:pPr>
              <w:spacing w:line="280" w:lineRule="exact"/>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1"/>
                <w:szCs w:val="21"/>
              </w:rPr>
              <w:t>符合要求</w:t>
            </w:r>
          </w:p>
        </w:tc>
        <w:tc>
          <w:tcPr>
            <w:tcW w:w="1649" w:type="dxa"/>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《消防给水及消火栓系统技术规范》3.3.2</w:t>
            </w:r>
          </w:p>
        </w:tc>
        <w:tc>
          <w:tcPr>
            <w:tcW w:w="2311" w:type="dxa"/>
            <w:vAlign w:val="center"/>
          </w:tcPr>
          <w:p>
            <w:pPr>
              <w:spacing w:line="280" w:lineRule="exact"/>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kern w:val="24"/>
                <w:sz w:val="21"/>
                <w:szCs w:val="21"/>
              </w:rPr>
              <w:t>按规范要求设置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widowControl/>
              <w:numPr>
                <w:ilvl w:val="0"/>
                <w:numId w:val="37"/>
              </w:numPr>
              <w:adjustRightInd w:val="0"/>
              <w:snapToGrid w:val="0"/>
              <w:spacing w:line="280" w:lineRule="exact"/>
              <w:jc w:val="left"/>
              <w:rPr>
                <w:rFonts w:hint="default" w:ascii="Times New Roman" w:hAnsi="Times New Roman" w:eastAsia="宋体" w:cs="Times New Roman"/>
                <w:bCs/>
                <w:color w:val="auto"/>
                <w:sz w:val="21"/>
                <w:szCs w:val="21"/>
              </w:rPr>
            </w:pPr>
          </w:p>
        </w:tc>
        <w:tc>
          <w:tcPr>
            <w:tcW w:w="4382" w:type="dxa"/>
            <w:vAlign w:val="center"/>
          </w:tcPr>
          <w:p>
            <w:pPr>
              <w:autoSpaceDE w:val="0"/>
              <w:autoSpaceDN w:val="0"/>
              <w:adjustRightIn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建筑物室内消火栓设计流量不应小于表 3.5.2 的规定。</w:t>
            </w:r>
          </w:p>
        </w:tc>
        <w:tc>
          <w:tcPr>
            <w:tcW w:w="720" w:type="dxa"/>
            <w:vAlign w:val="center"/>
          </w:tcPr>
          <w:p>
            <w:pPr>
              <w:spacing w:line="280" w:lineRule="exact"/>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1"/>
                <w:szCs w:val="21"/>
              </w:rPr>
              <w:t>符合要求</w:t>
            </w:r>
          </w:p>
        </w:tc>
        <w:tc>
          <w:tcPr>
            <w:tcW w:w="1649" w:type="dxa"/>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《消防给水及消火栓系统技术规范》3.5.2</w:t>
            </w:r>
          </w:p>
        </w:tc>
        <w:tc>
          <w:tcPr>
            <w:tcW w:w="2311" w:type="dxa"/>
            <w:vAlign w:val="center"/>
          </w:tcPr>
          <w:p>
            <w:pPr>
              <w:spacing w:line="280" w:lineRule="exact"/>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kern w:val="24"/>
                <w:sz w:val="21"/>
                <w:szCs w:val="21"/>
              </w:rPr>
              <w:t>按规范要求设置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widowControl/>
              <w:numPr>
                <w:ilvl w:val="0"/>
                <w:numId w:val="37"/>
              </w:numPr>
              <w:adjustRightInd w:val="0"/>
              <w:snapToGrid w:val="0"/>
              <w:spacing w:line="280" w:lineRule="exact"/>
              <w:jc w:val="left"/>
              <w:rPr>
                <w:rFonts w:hint="default" w:ascii="Times New Roman" w:hAnsi="Times New Roman" w:eastAsia="宋体" w:cs="Times New Roman"/>
                <w:bCs/>
                <w:color w:val="auto"/>
                <w:sz w:val="21"/>
                <w:szCs w:val="21"/>
              </w:rPr>
            </w:pPr>
          </w:p>
        </w:tc>
        <w:tc>
          <w:tcPr>
            <w:tcW w:w="4382" w:type="dxa"/>
            <w:vAlign w:val="center"/>
          </w:tcPr>
          <w:p>
            <w:pPr>
              <w:autoSpaceDE w:val="0"/>
              <w:autoSpaceDN w:val="0"/>
              <w:adjustRightInd w:val="0"/>
              <w:spacing w:line="28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不同场所消火栓系统和固定冷却水系统的火灾延续时间不应小于表 3.6.2 的规定</w:t>
            </w:r>
          </w:p>
        </w:tc>
        <w:tc>
          <w:tcPr>
            <w:tcW w:w="720" w:type="dxa"/>
            <w:vAlign w:val="center"/>
          </w:tcPr>
          <w:p>
            <w:pPr>
              <w:spacing w:line="280" w:lineRule="exact"/>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1"/>
                <w:szCs w:val="21"/>
              </w:rPr>
              <w:t>符合要求</w:t>
            </w:r>
          </w:p>
        </w:tc>
        <w:tc>
          <w:tcPr>
            <w:tcW w:w="1649" w:type="dxa"/>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《消防给水及消火栓系统技术规范》</w:t>
            </w:r>
            <w:r>
              <w:rPr>
                <w:rFonts w:hint="default" w:ascii="Times New Roman" w:hAnsi="Times New Roman" w:eastAsia="宋体" w:cs="Times New Roman"/>
                <w:color w:val="auto"/>
                <w:kern w:val="0"/>
                <w:sz w:val="21"/>
                <w:szCs w:val="21"/>
              </w:rPr>
              <w:t>3.6.2</w:t>
            </w:r>
          </w:p>
        </w:tc>
        <w:tc>
          <w:tcPr>
            <w:tcW w:w="2311" w:type="dxa"/>
            <w:vAlign w:val="center"/>
          </w:tcPr>
          <w:p>
            <w:pPr>
              <w:autoSpaceDE w:val="0"/>
              <w:autoSpaceDN w:val="0"/>
              <w:adjustRightInd w:val="0"/>
              <w:spacing w:line="28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4"/>
                <w:sz w:val="21"/>
                <w:szCs w:val="21"/>
              </w:rPr>
              <w:t>按规范要求设置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widowControl/>
              <w:numPr>
                <w:ilvl w:val="0"/>
                <w:numId w:val="37"/>
              </w:numPr>
              <w:adjustRightInd w:val="0"/>
              <w:snapToGrid w:val="0"/>
              <w:spacing w:line="280" w:lineRule="exact"/>
              <w:jc w:val="left"/>
              <w:rPr>
                <w:rFonts w:hint="default" w:ascii="Times New Roman" w:hAnsi="Times New Roman" w:eastAsia="宋体" w:cs="Times New Roman"/>
                <w:bCs/>
                <w:color w:val="auto"/>
                <w:sz w:val="21"/>
                <w:szCs w:val="21"/>
              </w:rPr>
            </w:pPr>
          </w:p>
        </w:tc>
        <w:tc>
          <w:tcPr>
            <w:tcW w:w="4382" w:type="dxa"/>
            <w:vAlign w:val="center"/>
          </w:tcPr>
          <w:p>
            <w:pPr>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市政消火栓和建筑室外消火栓应采用湿式消火栓系统。</w:t>
            </w:r>
          </w:p>
        </w:tc>
        <w:tc>
          <w:tcPr>
            <w:tcW w:w="720" w:type="dxa"/>
            <w:vAlign w:val="center"/>
          </w:tcPr>
          <w:p>
            <w:pPr>
              <w:spacing w:line="280" w:lineRule="exact"/>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1"/>
                <w:szCs w:val="21"/>
              </w:rPr>
              <w:t>符合要求</w:t>
            </w:r>
          </w:p>
        </w:tc>
        <w:tc>
          <w:tcPr>
            <w:tcW w:w="1649" w:type="dxa"/>
            <w:vAlign w:val="center"/>
          </w:tcPr>
          <w:p>
            <w:pPr>
              <w:spacing w:line="280" w:lineRule="exact"/>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1"/>
                <w:szCs w:val="21"/>
              </w:rPr>
              <w:t>《消防给水及消火栓系统技术规范》7.1.1</w:t>
            </w:r>
          </w:p>
        </w:tc>
        <w:tc>
          <w:tcPr>
            <w:tcW w:w="2311" w:type="dxa"/>
            <w:vAlign w:val="center"/>
          </w:tcPr>
          <w:p>
            <w:pPr>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室外消火栓采用湿式消火栓系统。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widowControl/>
              <w:numPr>
                <w:ilvl w:val="0"/>
                <w:numId w:val="37"/>
              </w:numPr>
              <w:adjustRightInd w:val="0"/>
              <w:snapToGrid w:val="0"/>
              <w:spacing w:line="280" w:lineRule="exact"/>
              <w:jc w:val="left"/>
              <w:rPr>
                <w:rFonts w:hint="default" w:ascii="Times New Roman" w:hAnsi="Times New Roman" w:eastAsia="宋体" w:cs="Times New Roman"/>
                <w:bCs/>
                <w:color w:val="auto"/>
                <w:sz w:val="21"/>
                <w:szCs w:val="21"/>
              </w:rPr>
            </w:pPr>
          </w:p>
        </w:tc>
        <w:tc>
          <w:tcPr>
            <w:tcW w:w="4382" w:type="dxa"/>
            <w:vAlign w:val="center"/>
          </w:tcPr>
          <w:p>
            <w:pPr>
              <w:pStyle w:val="31"/>
              <w:spacing w:line="280" w:lineRule="exact"/>
              <w:jc w:val="left"/>
              <w:rPr>
                <w:rFonts w:hint="default" w:ascii="Times New Roman" w:hAnsi="Times New Roman" w:cs="Times New Roman"/>
                <w:color w:val="auto"/>
              </w:rPr>
            </w:pPr>
            <w:r>
              <w:rPr>
                <w:rStyle w:val="22"/>
                <w:rFonts w:hint="default" w:ascii="Times New Roman" w:hAnsi="Times New Roman" w:cs="Times New Roman"/>
                <w:b w:val="0"/>
                <w:bCs w:val="0"/>
                <w:color w:val="auto"/>
                <w:szCs w:val="22"/>
                <w:shd w:val="clear" w:color="auto" w:fill="FFFFFF"/>
              </w:rPr>
              <w:t>室内环境温度不低于4℃，且不高于70℃的场所，应采用湿式室内消火栓系统。</w:t>
            </w:r>
          </w:p>
        </w:tc>
        <w:tc>
          <w:tcPr>
            <w:tcW w:w="720" w:type="dxa"/>
            <w:vAlign w:val="center"/>
          </w:tcPr>
          <w:p>
            <w:pPr>
              <w:spacing w:line="280" w:lineRule="exact"/>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1"/>
                <w:szCs w:val="21"/>
              </w:rPr>
              <w:t>符合要求</w:t>
            </w:r>
          </w:p>
        </w:tc>
        <w:tc>
          <w:tcPr>
            <w:tcW w:w="1649" w:type="dxa"/>
            <w:vAlign w:val="center"/>
          </w:tcPr>
          <w:p>
            <w:pPr>
              <w:spacing w:line="280" w:lineRule="exact"/>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1"/>
                <w:szCs w:val="21"/>
              </w:rPr>
              <w:t>《消防给水及消火栓系统技术规范》7.1.2</w:t>
            </w:r>
          </w:p>
        </w:tc>
        <w:tc>
          <w:tcPr>
            <w:tcW w:w="2311" w:type="dxa"/>
            <w:vAlign w:val="center"/>
          </w:tcPr>
          <w:p>
            <w:pPr>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采用湿式室内消火栓系统。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widowControl/>
              <w:numPr>
                <w:ilvl w:val="0"/>
                <w:numId w:val="37"/>
              </w:numPr>
              <w:adjustRightInd w:val="0"/>
              <w:snapToGrid w:val="0"/>
              <w:spacing w:line="280" w:lineRule="exact"/>
              <w:jc w:val="left"/>
              <w:rPr>
                <w:rFonts w:hint="default" w:ascii="Times New Roman" w:hAnsi="Times New Roman" w:eastAsia="宋体" w:cs="Times New Roman"/>
                <w:bCs/>
                <w:color w:val="auto"/>
                <w:sz w:val="21"/>
                <w:szCs w:val="21"/>
              </w:rPr>
            </w:pPr>
          </w:p>
        </w:tc>
        <w:tc>
          <w:tcPr>
            <w:tcW w:w="4382" w:type="dxa"/>
            <w:vAlign w:val="center"/>
          </w:tcPr>
          <w:p>
            <w:pPr>
              <w:autoSpaceDE w:val="0"/>
              <w:autoSpaceDN w:val="0"/>
              <w:adjustRightInd w:val="0"/>
              <w:spacing w:line="280" w:lineRule="exact"/>
              <w:jc w:val="left"/>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建筑室外消火栓的数量应根据室外消火栓设计流量和保护半径经计算确定，保护半径不应大于150.0m，每个室外消火栓的出流量宜按10L/s～15L/s计算。</w:t>
            </w:r>
          </w:p>
        </w:tc>
        <w:tc>
          <w:tcPr>
            <w:tcW w:w="720"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649" w:type="dxa"/>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《消防给水及消火栓系统技术规范》7.3.2</w:t>
            </w:r>
          </w:p>
        </w:tc>
        <w:tc>
          <w:tcPr>
            <w:tcW w:w="2311" w:type="dxa"/>
            <w:vAlign w:val="center"/>
          </w:tcPr>
          <w:p>
            <w:pPr>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室外消火栓设置间距不大于60m。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vAlign w:val="center"/>
          </w:tcPr>
          <w:p>
            <w:pPr>
              <w:widowControl/>
              <w:numPr>
                <w:ilvl w:val="0"/>
                <w:numId w:val="37"/>
              </w:numPr>
              <w:adjustRightInd w:val="0"/>
              <w:snapToGrid w:val="0"/>
              <w:spacing w:line="280" w:lineRule="exact"/>
              <w:jc w:val="left"/>
              <w:rPr>
                <w:rFonts w:hint="default" w:ascii="Times New Roman" w:hAnsi="Times New Roman" w:eastAsia="宋体" w:cs="Times New Roman"/>
                <w:bCs/>
                <w:color w:val="auto"/>
                <w:sz w:val="21"/>
                <w:szCs w:val="21"/>
              </w:rPr>
            </w:pPr>
          </w:p>
        </w:tc>
        <w:tc>
          <w:tcPr>
            <w:tcW w:w="4382" w:type="dxa"/>
            <w:vAlign w:val="center"/>
          </w:tcPr>
          <w:p>
            <w:pPr>
              <w:pStyle w:val="31"/>
              <w:spacing w:line="280" w:lineRule="exact"/>
              <w:jc w:val="left"/>
              <w:rPr>
                <w:rFonts w:hint="default" w:ascii="Times New Roman" w:hAnsi="Times New Roman" w:eastAsia="宋体" w:cs="Times New Roman"/>
                <w:color w:val="auto"/>
                <w:shd w:val="clear" w:color="auto" w:fill="FFFFFF"/>
                <w:lang w:eastAsia="zh-CN"/>
              </w:rPr>
            </w:pPr>
            <w:r>
              <w:rPr>
                <w:rFonts w:hint="default" w:ascii="Times New Roman" w:hAnsi="Times New Roman" w:cs="Times New Roman"/>
                <w:color w:val="auto"/>
                <w:shd w:val="clear" w:color="auto" w:fill="FFFFFF"/>
              </w:rPr>
              <w:t>室内消火栓宜按直线距离计算其布置间距，并应符合下列规定：</w:t>
            </w:r>
          </w:p>
          <w:p>
            <w:pPr>
              <w:pStyle w:val="31"/>
              <w:spacing w:line="280" w:lineRule="exact"/>
              <w:jc w:val="left"/>
              <w:rPr>
                <w:rFonts w:hint="default" w:ascii="Times New Roman" w:hAnsi="Times New Roman" w:eastAsia="宋体" w:cs="Times New Roman"/>
                <w:color w:val="auto"/>
                <w:shd w:val="clear" w:color="auto" w:fill="FFFFFF"/>
                <w:lang w:eastAsia="zh-CN"/>
              </w:rPr>
            </w:pPr>
            <w:r>
              <w:rPr>
                <w:rFonts w:hint="default" w:ascii="Times New Roman" w:hAnsi="Times New Roman" w:cs="Times New Roman"/>
                <w:color w:val="auto"/>
                <w:shd w:val="clear" w:color="auto" w:fill="FFFFFF"/>
              </w:rPr>
              <w:t>    1 消火栓按2支消防水枪的2股充实水柱布置的建筑物，消火栓的布置间距不应大于30.0m；</w:t>
            </w:r>
          </w:p>
          <w:p>
            <w:pPr>
              <w:pStyle w:val="31"/>
              <w:spacing w:line="280" w:lineRule="exact"/>
              <w:jc w:val="left"/>
              <w:rPr>
                <w:rFonts w:hint="default" w:ascii="Times New Roman" w:hAnsi="Times New Roman" w:cs="Times New Roman"/>
                <w:color w:val="auto"/>
              </w:rPr>
            </w:pPr>
            <w:r>
              <w:rPr>
                <w:rFonts w:hint="default" w:ascii="Times New Roman" w:hAnsi="Times New Roman" w:cs="Times New Roman"/>
                <w:color w:val="auto"/>
                <w:shd w:val="clear" w:color="auto" w:fill="FFFFFF"/>
              </w:rPr>
              <w:t>    2 消火栓按1支消防水枪的1股充实水柱布置的建筑物，消火栓的布置间距不应大于50.0m。</w:t>
            </w:r>
          </w:p>
        </w:tc>
        <w:tc>
          <w:tcPr>
            <w:tcW w:w="720"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c>
          <w:tcPr>
            <w:tcW w:w="1649" w:type="dxa"/>
            <w:vAlign w:val="center"/>
          </w:tcPr>
          <w:p>
            <w:pPr>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《消防给水及消火栓系统技术规范》7.4.10</w:t>
            </w:r>
          </w:p>
        </w:tc>
        <w:tc>
          <w:tcPr>
            <w:tcW w:w="2311" w:type="dxa"/>
            <w:vAlign w:val="center"/>
          </w:tcPr>
          <w:p>
            <w:pPr>
              <w:spacing w:line="28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室内消火栓设置间距不大于30m。</w:t>
            </w:r>
          </w:p>
        </w:tc>
      </w:tr>
    </w:tbl>
    <w:p>
      <w:pPr>
        <w:ind w:firstLine="56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2、评价小结</w:t>
      </w:r>
    </w:p>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1）该项目建、构筑物耐火级别不低于二级。生产区内没有设员工宿舍。</w:t>
      </w:r>
    </w:p>
    <w:p>
      <w:pPr>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2）依据《可研》，该项目消防供水系统依托在建项目，拟按规范设置室内、外消火栓系统；拟按规定设置小型灭火器材。</w:t>
      </w:r>
    </w:p>
    <w:p>
      <w:pPr>
        <w:ind w:firstLine="560"/>
        <w:rPr>
          <w:rFonts w:hint="default" w:ascii="Times New Roman" w:hAnsi="Times New Roman" w:cs="Times New Roman"/>
          <w:color w:val="auto"/>
        </w:rPr>
      </w:pPr>
      <w:r>
        <w:rPr>
          <w:rFonts w:hint="default" w:ascii="Times New Roman" w:hAnsi="Times New Roman" w:eastAsia="宋体" w:cs="Times New Roman"/>
          <w:color w:val="auto"/>
          <w:szCs w:val="28"/>
        </w:rPr>
        <w:t>3）依据总平面布置图，设置环形消防车道，消防车道至少有两处与其它车道相连。</w:t>
      </w:r>
    </w:p>
    <w:p>
      <w:pPr>
        <w:keepNext/>
        <w:keepLines/>
        <w:widowControl w:val="0"/>
        <w:spacing w:line="600" w:lineRule="exact"/>
        <w:jc w:val="center"/>
        <w:outlineLvl w:val="0"/>
        <w:rPr>
          <w:rFonts w:hint="default" w:ascii="Times New Roman" w:hAnsi="Times New Roman" w:eastAsia="黑体" w:cs="Times New Roman"/>
          <w:color w:val="auto"/>
          <w:kern w:val="10"/>
          <w:sz w:val="32"/>
          <w:szCs w:val="32"/>
          <w:lang w:val="en-US" w:eastAsia="zh-CN" w:bidi="ar-SA"/>
        </w:rPr>
      </w:pPr>
      <w:r>
        <w:rPr>
          <w:rFonts w:hint="default" w:ascii="Times New Roman" w:hAnsi="Times New Roman" w:cs="Times New Roman"/>
          <w:b/>
          <w:bCs/>
          <w:color w:val="auto"/>
        </w:rPr>
        <w:br w:type="page"/>
      </w:r>
      <w:bookmarkStart w:id="158" w:name="_Toc22740"/>
      <w:r>
        <w:rPr>
          <w:rFonts w:hint="default" w:ascii="Times New Roman" w:hAnsi="Times New Roman" w:eastAsia="黑体" w:cs="Times New Roman"/>
          <w:color w:val="auto"/>
          <w:kern w:val="10"/>
          <w:sz w:val="32"/>
          <w:szCs w:val="32"/>
          <w:lang w:val="en-US" w:eastAsia="zh-CN" w:bidi="ar-SA"/>
        </w:rPr>
        <w:t>附件D安全评价依据</w:t>
      </w:r>
      <w:bookmarkEnd w:id="140"/>
      <w:bookmarkEnd w:id="158"/>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59" w:name="_Toc15585"/>
      <w:bookmarkStart w:id="160" w:name="_Toc15972"/>
      <w:r>
        <w:rPr>
          <w:rFonts w:hint="default" w:ascii="Times New Roman" w:hAnsi="Times New Roman" w:eastAsia="楷体" w:cs="Times New Roman"/>
          <w:b/>
          <w:bCs/>
          <w:color w:val="auto"/>
          <w:kern w:val="2"/>
          <w:sz w:val="32"/>
          <w:szCs w:val="32"/>
          <w:lang w:val="en-US" w:eastAsia="zh-CN" w:bidi="ar-SA"/>
        </w:rPr>
        <w:t>D.1法律法规</w:t>
      </w:r>
      <w:bookmarkEnd w:id="159"/>
      <w:bookmarkEnd w:id="160"/>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1、《中华人民共和国安全生产法》（主席令［2021］第88号，2021年6月10日第十三届全国人民代表大会常务委员会第二十九次会议通过，2021年9月1日起实施）</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2、《中华人民共和国劳动法》（主席令［1994］第28号，1994年7月5日第八届全国人民代表大会常务委员会第八次会议通过，1995年1月1日起实施，主席令［2018］第24号修订）</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3、《中华人民共和国消防法》（主席令［2008］第6号，2008年10月28日第十一届全国人民代表大会常务委员会第五次会议通过，2009年5月1日起实施，2021年4月29日第十三届全国人民代表大会常务委员会第二十八次会议修订）</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4、《中华人民共和国职业病防治法》（2011年12月31日第十一届全国人民代表大会常务委员会第二十四次会议通过修改，2012年5月1日起实施，主席令［2016］第48号修改、主席令［2017］第81号再修改，2018年12月29日第十三届全国人民代表大会常务委员会第七次会议第四次修正）</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5、《中华人民共和国特种设备安全法》（主席令［2013］第4号，2013年6月29日第十二届全国人民代表大会常务委员会第三次会议通过，2014年1月1日起实施）</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6、《危险化学品安全管理条例》（国务院令第591号，2011年12月1日起施行，2013年国务院令第645号修改）</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7、《工伤保险条例》（国务院令第586号，2011年1月1日起施行）</w:t>
      </w:r>
    </w:p>
    <w:p>
      <w:pPr>
        <w:ind w:firstLine="544" w:firstLineChars="200"/>
        <w:rPr>
          <w:rFonts w:hint="default" w:ascii="Times New Roman" w:hAnsi="Times New Roman" w:cs="Times New Roman"/>
          <w:color w:val="auto"/>
          <w:spacing w:val="-4"/>
        </w:rPr>
      </w:pPr>
      <w:r>
        <w:rPr>
          <w:rFonts w:hint="default" w:ascii="Times New Roman" w:hAnsi="Times New Roman" w:cs="Times New Roman"/>
          <w:color w:val="auto"/>
          <w:spacing w:val="-4"/>
        </w:rPr>
        <w:t>8、《劳动保障监察条例》（国务院令第423号，2004年12月1日起施行）</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9、《使用有毒物品作业场所劳动保护条例》（国务院令第352号，2002年4月30日起施行）</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10、《中华人民共和国监控化学品管理条例》（国务院令第190号，1995年12月27日起施行，2011年588号令修订）</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11、《易制毒化学品管理条例》（国务院令第445号，2005年11月1日起施行，2014年国务院令653号、2016年国务院令第666号修订、2018年国务院令第703号修订）</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12、《铁路安全管理条例》（国务院令第639号，2014年1月1日起施行）</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13、《公路安全保护条例》（国务院令第593号，2011年7月1日起施行）</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14、《国务院关于特大安全事故行政责任追究的规定》（国务院令第302号，2001年4月21日起实施）</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15、《生产安全事故应急条例》（国务院令第708号，2018年12月5日国务院第33次常务会议通过，自2019年4月1日起施行）</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16、《安全生产许可证条例》（2004年1月7日国务院第34次常务会议通过，2014年7月29日国务院第54次常务会议修订）</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17、《江西省安全生产条例》（2017年7月26日江西省第十二届人民代表大会常务委员会第三十四次会议修订）</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18、《江西省消防条例》（江西省人大常委会公号第57号，2010年11月9日起实施，20</w:t>
      </w:r>
      <w:r>
        <w:rPr>
          <w:rFonts w:hint="default" w:ascii="Times New Roman" w:hAnsi="Times New Roman" w:cs="Times New Roman"/>
          <w:color w:val="auto"/>
          <w:lang w:val="en-US" w:eastAsia="zh-CN"/>
        </w:rPr>
        <w:t>20</w:t>
      </w:r>
      <w:r>
        <w:rPr>
          <w:rFonts w:hint="default" w:ascii="Times New Roman" w:hAnsi="Times New Roman" w:cs="Times New Roman"/>
          <w:color w:val="auto"/>
        </w:rPr>
        <w:t>年修订）</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19、《特种设备安全监察条例》（国务院令第549号，2009年5月1日起施行）</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0</w:t>
      </w:r>
      <w:r>
        <w:rPr>
          <w:rFonts w:hint="default" w:ascii="Times New Roman" w:hAnsi="Times New Roman" w:cs="Times New Roman"/>
          <w:color w:val="auto"/>
        </w:rPr>
        <w:t>、《江西省特种设备安全条例》（2017年11月30日江西省第十二届人大常务委员会第三十六次会议通过，2018年3月1日起施行）</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1</w:t>
      </w:r>
      <w:r>
        <w:rPr>
          <w:rFonts w:hint="default" w:ascii="Times New Roman" w:hAnsi="Times New Roman" w:cs="Times New Roman"/>
          <w:color w:val="auto"/>
        </w:rPr>
        <w:t>、《江西省生产安全事故隐患排查治理办法》（江西省人民政府令第238号，2018年9月28日省人民政府第11次常务会议审议通过，自2018年12月1日起施行）</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2</w:t>
      </w:r>
      <w:r>
        <w:rPr>
          <w:rFonts w:hint="default" w:ascii="Times New Roman" w:hAnsi="Times New Roman" w:cs="Times New Roman"/>
          <w:color w:val="auto"/>
        </w:rPr>
        <w:t>、《国务院办公厅关于同意将α-苯乙酰乙酸甲酯等6种物质列入易制毒化学品品种目录的函》国办函[2021]58号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3</w:t>
      </w:r>
      <w:r>
        <w:rPr>
          <w:rFonts w:hint="default" w:ascii="Times New Roman" w:hAnsi="Times New Roman" w:cs="Times New Roman"/>
          <w:color w:val="auto"/>
        </w:rPr>
        <w:t>、其他</w:t>
      </w: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61" w:name="_Toc12196"/>
      <w:bookmarkStart w:id="162" w:name="_Toc29948"/>
      <w:r>
        <w:rPr>
          <w:rFonts w:hint="default" w:ascii="Times New Roman" w:hAnsi="Times New Roman" w:eastAsia="楷体" w:cs="Times New Roman"/>
          <w:b/>
          <w:bCs/>
          <w:color w:val="auto"/>
          <w:kern w:val="2"/>
          <w:sz w:val="32"/>
          <w:szCs w:val="32"/>
          <w:lang w:val="en-US" w:eastAsia="zh-CN" w:bidi="ar-SA"/>
        </w:rPr>
        <w:t>D.2部门规章及规范性文件</w:t>
      </w:r>
      <w:bookmarkEnd w:id="161"/>
      <w:bookmarkEnd w:id="162"/>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1.《国家发展改革委、国家安全生产监督管理局关于加强建设项目安全设施“三同时”工作的通知》国家发展和改革委员会、原国家安全生产监督管理总局发改投资[2003]1346号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2.《生产经营单位安全培训规定》国家安全生产监督管理总局2006年令第3号（国家安全生产监督管理总局80号令修改，2015年7月1日施行）</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3.《安全生产事故隐患排查治理暂行规定》国家安全生产监督管理总局令2007年第16号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4.《生产安全事故应急预案管理办法》（2016年6月3日国家安全生产监督管理总局令第88号公布，根据2019年7月11日应急管理部令第2号《应急管理部关于修改生产安全事故应急预案管理办法的决定》修正）</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5.《特种作业人员安全技术培训考核管理规定》原国家安全生产监督管理总局令2010年第30号（国家安全生产监督管理总局80号令修改）</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6.《建设项目安全设施“三同时”监督管理办法》原国家安全生产监督管理总局令2010年第36号（国家安全生产监督管理总局77号令修改）</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7.《危险化学品重大危险源监督管理暂行规定》原国家安全生产监督管理总局令2011年第40号（国家安全生产监督管理总局79号令修改）</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8.《危险化学品生产企业安全生产许可证实施办法》原国家安全生产监督管理总局令2011年第41号（国家安全生产监督管理总局89号令修改）</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9.《国家安全生产监督管理局关于&lt;危险化学品生产企业安全评价导则（试行）&gt;的通知》安监管危化字[2004]127号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10.《关于印发&lt;有限空间作业安全指导手册&gt;和4个专题系列折页的通知》应急厅函[2020]299号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11.《国家安全监管总局关于修改&lt;生产安全事故报告和调查处理条例&gt;罚款处罚暂行规定》国家安全生产监督管理总局令2011年第42号（国家安全生产监督管理总局77号令修改）</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12.《安全生产培训管理办法》国家安全生产监督管理总局令2011年第44号（国家安全生产监督管理总局80号令修改）</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13.《危险化学品建设项目安全监督管理办法》国家安全生产监督管理总局令2012年第45号（国家安全生产监督管理总局79号令修改）</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14.《危险化学品登记管理办法》国家安全生产监督管理总局令2012年第53号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15.《化学品物理危险性鉴定与分类管理办法》国家安全生产监督管理总局令2013年第60号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16.《关于督促化工企业切实做好几项安全环保重点工作的紧急通知》国家安全生产监督管理总局、国家环境保护总局安监总危化［2006］10号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17.《国家安全监管总局关于加强化工过程安全管理的指导意见》国家安全监管总局安监总管三〔2013〕88号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18.《国家安全监管总局关于加强化工企业泄漏管理的指导意见》国家安全监管总局安监总管三〔2014〕94号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19.《国家安全监管总局关于印发&lt;化工和危险化学品生产经营单位重大生产安全事故隐患判定标准（试行）&gt;和&lt;烟花爆竹生产经营单位重大生产安全事故隐患判定标准（试行）&gt;的通知》安监总管三〔2017〕121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20.《应急管理部关于印发危险化学品生产储存企业安全风险评估诊断分级指南（试行）的通知》应急〔2018〕19号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21.《应急管理部关于印发&lt;化工园区安全风险排查治理导则（试行）》和《危险化学品企业安全风险隐患排查治理导则&gt;的通知》应急〔2019〕78号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22.《国家安全生产监管总局、工业和信息化部关于危险化学品企业贯彻落实&lt;国务院关于进一步加强企业安全生产工作的通知&gt;的实施意见》安监总管三［2010］186号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23.《关于认真学习和贯彻落实《国务院关于进一步加强企业安全生产工作的通知》的通知》国务院安委会办公室安委办〔2010〕15号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24.《国务院安委会办公室关于进一步加强危险化学品安全生产工作的指导意见》国务院安委会办公室安委办〔2008〕26号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25.《国务院关于进一步加强企业安全生产工作的通知》（国发〔2010〕23）号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26.《国家发展改革委关于修改&lt;产业结构调整指导目录（2019年本）&gt;的决定》国家发展和改革委员会令第49号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27.《部分工业行业淘汰落后生产工艺装备和产品指导目录（2010年本）》中华人民共和国工业和信息化部工产业[2010]第122号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28.《淘汰落后危险化学品安全生产工艺技术设备目录（第一批）》应急厅[2020]38号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29.《应急管理部关于印发危险化学品企业安全分类整治目录（2020年）的通知》应急管理部[2020]84号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30.《企业安全生产费用提取和使用管理办法》的通知（财资</w:t>
      </w:r>
      <w:r>
        <w:rPr>
          <w:rFonts w:hint="eastAsia" w:cs="Times New Roman"/>
          <w:color w:val="auto"/>
          <w:lang w:val="en-US" w:eastAsia="zh-CN"/>
        </w:rPr>
        <w:t>[</w:t>
      </w:r>
      <w:r>
        <w:rPr>
          <w:rFonts w:hint="default" w:ascii="Times New Roman" w:hAnsi="Times New Roman" w:cs="Times New Roman"/>
          <w:color w:val="auto"/>
        </w:rPr>
        <w:t>2022</w:t>
      </w:r>
      <w:r>
        <w:rPr>
          <w:rFonts w:hint="eastAsia" w:cs="Times New Roman"/>
          <w:color w:val="auto"/>
          <w:lang w:val="en-US" w:eastAsia="zh-CN"/>
        </w:rPr>
        <w:t>]</w:t>
      </w:r>
      <w:r>
        <w:rPr>
          <w:rFonts w:hint="default" w:ascii="Times New Roman" w:hAnsi="Times New Roman" w:cs="Times New Roman"/>
          <w:color w:val="auto"/>
        </w:rPr>
        <w:t>136号）</w:t>
      </w:r>
    </w:p>
    <w:p>
      <w:pPr>
        <w:ind w:firstLine="56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rPr>
        <w:t>31.《特种设备</w:t>
      </w:r>
      <w:r>
        <w:rPr>
          <w:rFonts w:hint="default" w:ascii="Times New Roman" w:hAnsi="Times New Roman" w:cs="Times New Roman"/>
          <w:color w:val="auto"/>
          <w:lang w:eastAsia="zh-CN"/>
        </w:rPr>
        <w:t>安全监督检查办法</w:t>
      </w:r>
      <w:r>
        <w:rPr>
          <w:rFonts w:hint="default" w:ascii="Times New Roman" w:hAnsi="Times New Roman" w:cs="Times New Roman"/>
          <w:color w:val="auto"/>
        </w:rPr>
        <w:t>》国家</w:t>
      </w:r>
      <w:r>
        <w:rPr>
          <w:rFonts w:hint="default" w:ascii="Times New Roman" w:hAnsi="Times New Roman" w:cs="Times New Roman"/>
          <w:color w:val="auto"/>
          <w:lang w:eastAsia="zh-CN"/>
        </w:rPr>
        <w:t>市场监督管理总局</w:t>
      </w:r>
      <w:r>
        <w:rPr>
          <w:rFonts w:hint="default" w:ascii="Times New Roman" w:hAnsi="Times New Roman" w:cs="Times New Roman"/>
          <w:color w:val="auto"/>
          <w:lang w:val="en-US" w:eastAsia="zh-CN"/>
        </w:rPr>
        <w:t>[2022]57号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32.《危险化学品企业安全风险隐患排查治理导则》应急管理部[2019]78号</w:t>
      </w:r>
    </w:p>
    <w:p>
      <w:pPr>
        <w:ind w:firstLine="56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33.</w:t>
      </w:r>
      <w:r>
        <w:rPr>
          <w:rFonts w:hint="default" w:ascii="Times New Roman" w:hAnsi="Times New Roman" w:cs="Times New Roman"/>
          <w:color w:val="auto"/>
          <w:lang w:eastAsia="zh-CN"/>
        </w:rPr>
        <w:t>《关于发布</w:t>
      </w:r>
      <w:r>
        <w:rPr>
          <w:rFonts w:hint="default" w:ascii="Times New Roman" w:hAnsi="Times New Roman" w:cs="Times New Roman"/>
          <w:color w:val="auto"/>
          <w:lang w:val="en-US" w:eastAsia="zh-CN"/>
        </w:rPr>
        <w:t>&lt;</w:t>
      </w:r>
      <w:r>
        <w:rPr>
          <w:rFonts w:hint="default" w:ascii="Times New Roman" w:hAnsi="Times New Roman" w:cs="Times New Roman"/>
          <w:color w:val="auto"/>
          <w:lang w:eastAsia="zh-CN"/>
        </w:rPr>
        <w:t>工作场所有害因素职业接触限值第1部分：化学有害因素</w:t>
      </w:r>
      <w:r>
        <w:rPr>
          <w:rFonts w:hint="default" w:ascii="Times New Roman" w:hAnsi="Times New Roman" w:cs="Times New Roman"/>
          <w:color w:val="auto"/>
          <w:lang w:val="en-US" w:eastAsia="zh-CN"/>
        </w:rPr>
        <w:t>&gt;</w:t>
      </w:r>
      <w:r>
        <w:rPr>
          <w:rFonts w:hint="default" w:ascii="Times New Roman" w:hAnsi="Times New Roman" w:cs="Times New Roman"/>
          <w:color w:val="auto"/>
          <w:lang w:eastAsia="zh-CN"/>
        </w:rPr>
        <w:t>（GBZ2.1-2019）第</w:t>
      </w:r>
      <w:r>
        <w:rPr>
          <w:rFonts w:hint="default" w:ascii="Times New Roman" w:hAnsi="Times New Roman" w:cs="Times New Roman"/>
          <w:color w:val="auto"/>
          <w:lang w:val="en-US" w:eastAsia="zh-CN"/>
        </w:rPr>
        <w:t>1号修改单的通知</w:t>
      </w:r>
      <w:r>
        <w:rPr>
          <w:rFonts w:hint="default" w:ascii="Times New Roman" w:hAnsi="Times New Roman" w:cs="Times New Roman"/>
          <w:color w:val="auto"/>
          <w:lang w:eastAsia="zh-CN"/>
        </w:rPr>
        <w:t>》国卫通[2022]</w:t>
      </w:r>
      <w:r>
        <w:rPr>
          <w:rFonts w:hint="default" w:ascii="Times New Roman" w:hAnsi="Times New Roman" w:cs="Times New Roman"/>
          <w:color w:val="auto"/>
          <w:lang w:val="en-US" w:eastAsia="zh-CN"/>
        </w:rPr>
        <w:t>14</w:t>
      </w:r>
      <w:r>
        <w:rPr>
          <w:rFonts w:hint="default" w:ascii="Times New Roman" w:hAnsi="Times New Roman" w:cs="Times New Roman"/>
          <w:color w:val="auto"/>
          <w:lang w:eastAsia="zh-CN"/>
        </w:rPr>
        <w:t>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34.《关于印发&lt;2021年危险化学品安全培训网络建设工作方案&gt;等四个文件的通知》应急危化二[2021]1号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35.《江西省生产安全事故隐患排查治理办法》江西省省政府令[2018]第238号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36.《江西省人民政府关于进一步加强企业安全生产工作的实施意见》江西省人民政府赣府发﹝2010﹞32号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37.《关于加强全省建设项目安全设施“三同时”工作的通知》江西省赣计工字[2003]1312号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38.《江西省人民政府办公厅关于切实加强危险化学品安全生产工作的意见》江西省人民政府办公厅赣府厅发[2010]3号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39.《江西省人民政府办公厅关于印发鄱阳湖生态环境综合整治三年行动计划（2018-2020年）的通知》江西省人民政府2018年5月30日</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40.《关于贯彻落实《危险化学品重大危险源监督管理暂行规定》的通知》江西省安全生产监督管理局赣安监管二字〔2012〕29号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41.《江西省安监局关于印发江西省化工企业安全生产五十条禁令的通知》赣安监管二字〔2013〕15号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42.《江西省关于进一步加强高危行业企业生产安全事故应急预案管理规定（暂行）》赣安监管应急字[2012]63号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43.《高毒物品目录》（2003版）卫法监［2003］142号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44.《易制爆危险化学品名录》公安部（2017年版）</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45.《特种设备目录》质监总局2014年第114号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46.《危险化学品目录》（2022调整版）应急管理部会同十部门调整[2022]第8号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47.《应急管理部办公厅关于印发危险化学品企业重大危险源安全包保责任制办法（试行）的通知》应急厅〔2021〕12号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48.《国务院办公厅关于同意将N-苯乙基-4-哌啶酮、4-苯胺基-N-苯乙基哌啶、N-甲基-1-苯基-1-氯-2-丙胺、溴素、1-苯基-1-丙酮列入易制毒化学品品种目录的函》国办函〔2017〕120号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49.《首批重点监管的危险化工工艺目录》安监总管三［2009］116号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50.《第二批重点监管的危险化工工艺目录》安监总管三［2013］3号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51.《首批重点监管危险化学品名录》安监总管三［2011］95号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52.《第二批重点监管危险化学品名录》安监总管三［2013］12号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53.《特别管控危险化学品目录》2020年第一版</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54.《各类监控化学品名录》工信部[2020]52号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55.《部分第四类监控化学品名录（2019版）》国家禁化武办</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56.《江西省危险化学品建设项目安全监督管理实施细则（试行）》赣应急字[2021]100号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57.《关于公布全省化工园区名单（第一批）的通知》赣工信石化字〔2021〕92号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58.《江西省危险化学品安全专项整治三年行动实施方案》（赣安〔2020〕6号）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59.《江西省应急管理厅关于印发&lt;江西省化工企业自动化提升实施方案&gt;（施行）的通知》赣应急厅[2021]190号</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其他</w:t>
      </w: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63" w:name="_Toc31351"/>
      <w:bookmarkStart w:id="164" w:name="_Toc16214"/>
      <w:r>
        <w:rPr>
          <w:rFonts w:hint="default" w:ascii="Times New Roman" w:hAnsi="Times New Roman" w:eastAsia="楷体" w:cs="Times New Roman"/>
          <w:b/>
          <w:bCs/>
          <w:color w:val="auto"/>
          <w:kern w:val="2"/>
          <w:sz w:val="32"/>
          <w:szCs w:val="32"/>
          <w:lang w:val="en-US" w:eastAsia="zh-CN" w:bidi="ar-SA"/>
        </w:rPr>
        <w:t>D.3国家标准</w:t>
      </w:r>
      <w:bookmarkEnd w:id="163"/>
      <w:bookmarkEnd w:id="164"/>
    </w:p>
    <w:p>
      <w:pPr>
        <w:numPr>
          <w:ilvl w:val="0"/>
          <w:numId w:val="38"/>
          <w:numberingChange w:id="0" w:author="FtpDown" w:date="2020-04-20T17:01:00Z" w:original="%1:1:0:）"/>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《建筑设计防火规范》GB50016-2014（2018年修改）</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《建筑防火通用规范》</w:t>
      </w:r>
      <w:r>
        <w:rPr>
          <w:rFonts w:hint="default" w:ascii="Times New Roman" w:hAnsi="Times New Roman" w:cs="Times New Roman"/>
          <w:color w:val="auto"/>
          <w:lang w:val="en-US" w:eastAsia="zh-CN"/>
        </w:rPr>
        <w:t>GB55037-2022</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《危险化学品仓库储存通则》</w:t>
      </w:r>
      <w:r>
        <w:rPr>
          <w:rFonts w:hint="default" w:ascii="Times New Roman" w:hAnsi="Times New Roman" w:cs="Times New Roman"/>
          <w:color w:val="auto"/>
          <w:lang w:val="en-US" w:eastAsia="zh-CN"/>
        </w:rPr>
        <w:t>GB15603-2022</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《工业企业总平面设计规范》GB50187-2012</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《化工企业总图运输设计规范》GB50489-2009</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《生产过程安全卫生要求总则》GB12801-2008</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《工业企业设计卫生标准》GBZ1-2010</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《企业职工伤亡事故分类》GB6441-86</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《复合肥料》GB/T 15063-2020</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《建筑抗震设计规范》GB50011-2010（2016年版）</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《构筑物抗震设计规范》GB50191-2012</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《建筑工程抗震设防分类标准》GB50223-2008</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《化学工业建（构）筑物抗震设防分类标准》GB50914-2013</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《建筑物防雷设计规范》GB50057-2010</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《建筑灭火器配置设计规范》GB50140-2005</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val="zh-CN"/>
        </w:rPr>
        <w:t>《国家电气设备安全技术规范》GB19517-2009</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《电气装置安装工程接地装置施工及验收规范》GB50169-2016</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《工业管路的基本识别色、识别符号和安全标识》GB7231-2003</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《工业电视系统工程设计规范》GB50115-2009</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rPr>
        <w:t>《危险货物分类和品名编号》GB6944-2012</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《火灾自动报警系统设计规范》GB50116-2013</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《工作场所有害因素职业接触限值第1部分：化学有害因素》GBZ2.1-2019</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《工作场所有害因素职业接触限值第2部分：物理因素》GBZ2.2</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2</w:t>
      </w:r>
      <w:r>
        <w:rPr>
          <w:rFonts w:hint="default" w:ascii="Times New Roman" w:hAnsi="Times New Roman" w:cs="Times New Roman"/>
          <w:color w:val="auto"/>
          <w:lang w:val="en-US" w:eastAsia="zh-CN"/>
        </w:rPr>
        <w:t>007</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《生产设备安全卫生设计总则》GB5083-1999</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《危险化学品重大危险源辨识》GB18218-2018</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《20kV及以下变电所设计规范》GB50053-2013</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《供配电系统设计规范》GB50052-2009</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《职业性接触毒物危害程度分级》GBZ230-2010</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《系统接地型式及安全技术要求》GB14050-2008</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val="zh-CN"/>
        </w:rPr>
        <w:t>《用电安全导则》GB/T13869-2008</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《工业建筑供暖通风与空气调节设计规范》GB50019-2015</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《工业企业厂内铁路、道路运输安全规程》GB4387-2008</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《机械安全</w:t>
      </w:r>
      <w:r>
        <w:rPr>
          <w:rFonts w:hint="default" w:ascii="Times New Roman" w:hAnsi="Times New Roman" w:cs="Times New Roman"/>
          <w:color w:val="auto"/>
        </w:rPr>
        <w:t xml:space="preserve"> </w:t>
      </w:r>
      <w:r>
        <w:rPr>
          <w:rFonts w:hint="default" w:ascii="Times New Roman" w:hAnsi="Times New Roman" w:cs="Times New Roman"/>
          <w:color w:val="auto"/>
          <w:lang w:val="zh-CN"/>
        </w:rPr>
        <w:t>防护装置  固定式和活动式防护装置的设计与制造一般要求》GB</w:t>
      </w:r>
      <w:r>
        <w:rPr>
          <w:rFonts w:hint="default" w:ascii="Times New Roman" w:hAnsi="Times New Roman" w:cs="Times New Roman"/>
          <w:color w:val="auto"/>
        </w:rPr>
        <w:t>/T</w:t>
      </w:r>
      <w:r>
        <w:rPr>
          <w:rFonts w:hint="default" w:ascii="Times New Roman" w:hAnsi="Times New Roman" w:cs="Times New Roman"/>
          <w:color w:val="auto"/>
          <w:lang w:val="zh-CN"/>
        </w:rPr>
        <w:t>819</w:t>
      </w:r>
      <w:r>
        <w:rPr>
          <w:rFonts w:hint="default" w:ascii="Times New Roman" w:hAnsi="Times New Roman" w:cs="Times New Roman"/>
          <w:color w:val="auto"/>
        </w:rPr>
        <w:t>6</w:t>
      </w:r>
      <w:r>
        <w:rPr>
          <w:rFonts w:hint="default" w:ascii="Times New Roman" w:hAnsi="Times New Roman" w:cs="Times New Roman"/>
          <w:color w:val="auto"/>
          <w:lang w:val="zh-CN"/>
        </w:rPr>
        <w:t>-20</w:t>
      </w:r>
      <w:r>
        <w:rPr>
          <w:rFonts w:hint="default" w:ascii="Times New Roman" w:hAnsi="Times New Roman" w:cs="Times New Roman"/>
          <w:color w:val="auto"/>
        </w:rPr>
        <w:t>18</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eastAsia" w:cs="Times New Roman"/>
          <w:color w:val="auto"/>
          <w:lang w:val="zh-CN"/>
        </w:rPr>
        <w:t>《消防设施通用规范》GB 55036-2022</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《固定式钢梯及平台安全要求第1部分：钢直梯》GB4053.1-2009</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《固定式钢梯及平台安全要求第2部分：钢斜梯》GB4053.2-2009</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《固定式钢梯及平台安全要求第3部分：工业防护栏杆及钢平台》GB4053.3-2009</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《安全色》GB2893-2008</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eastAsia" w:cs="Times New Roman"/>
          <w:color w:val="auto"/>
          <w:lang w:val="zh-CN"/>
        </w:rPr>
        <w:t>《足部防护 安全鞋》GB 21148-2020</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《头部防护 安全帽》GB2811-2019</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《安全标志及其使用导则》GB2894-2008</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《防护服装 化学防护服》GB24539-2021</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rPr>
        <w:t>《危险货物包装标志》</w:t>
      </w:r>
      <w:r>
        <w:rPr>
          <w:rFonts w:hint="default" w:ascii="Times New Roman" w:hAnsi="Times New Roman" w:cs="Times New Roman"/>
          <w:color w:val="auto"/>
          <w:lang w:val="zh-CN"/>
        </w:rPr>
        <w:t>GB190-2009</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《化学品分类和标签规范(1~18部分)》GB30000-2013</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《个体防护装备选用规范》GB/T11651-2008</w:t>
      </w:r>
    </w:p>
    <w:p>
      <w:pPr>
        <w:numPr>
          <w:ilvl w:val="0"/>
          <w:numId w:val="38"/>
        </w:numPr>
        <w:spacing w:line="360" w:lineRule="auto"/>
        <w:ind w:firstLine="544" w:firstLineChars="200"/>
        <w:jc w:val="left"/>
        <w:rPr>
          <w:rFonts w:hint="default" w:ascii="Times New Roman" w:hAnsi="Times New Roman" w:cs="Times New Roman"/>
          <w:color w:val="auto"/>
          <w:lang w:val="zh-CN"/>
        </w:rPr>
      </w:pPr>
      <w:r>
        <w:rPr>
          <w:rFonts w:hint="default" w:ascii="Times New Roman" w:hAnsi="Times New Roman" w:cs="Times New Roman"/>
          <w:color w:val="auto"/>
          <w:spacing w:val="-4"/>
        </w:rPr>
        <w:t>《生产过程危险和有害因素分类与代码》GB/T13861-20</w:t>
      </w:r>
      <w:r>
        <w:rPr>
          <w:rFonts w:hint="eastAsia" w:cs="Times New Roman"/>
          <w:color w:val="auto"/>
          <w:spacing w:val="-4"/>
          <w:lang w:val="en-US" w:eastAsia="zh-CN"/>
        </w:rPr>
        <w:t>22</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val="zh-CN"/>
        </w:rPr>
        <w:t>《化学品分类和危险性公示通则》GB13690-2009</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《常用化学危险品贮存通则》GB15603-1995</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《毒害性商品储存养护技术条件》GB17916-2013</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val="zh-CN"/>
        </w:rPr>
        <w:t>《机械安全防止上下肢触及危险区的安全距离》GB23821-2009</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val="zh-CN"/>
        </w:rPr>
        <w:t>《电力装置的继电保护和自动装置设计规范》GB50062-2008</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val="zh-CN"/>
        </w:rPr>
        <w:t>《设备及管道绝热技术通则》GB/T4272-2008</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zh-CN"/>
        </w:rPr>
        <w:t>工业企业噪声控制设计规范》GB/T50087-2013</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zh-CN"/>
        </w:rPr>
        <w:t>建筑照明设计标准》GB50034-2013</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《建筑给水排水设计规范》GB50015-20</w:t>
      </w:r>
      <w:r>
        <w:rPr>
          <w:rFonts w:hint="default" w:ascii="Times New Roman" w:hAnsi="Times New Roman" w:cs="Times New Roman"/>
          <w:color w:val="auto"/>
          <w:lang w:val="en-US" w:eastAsia="zh-CN"/>
        </w:rPr>
        <w:t>19</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val="zh-CN"/>
        </w:rPr>
        <w:t>《工业建筑防腐蚀设计规范》GB</w:t>
      </w:r>
      <w:r>
        <w:rPr>
          <w:rFonts w:hint="default" w:ascii="Times New Roman" w:hAnsi="Times New Roman" w:cs="Times New Roman"/>
          <w:color w:val="auto"/>
        </w:rPr>
        <w:t>/T</w:t>
      </w:r>
      <w:r>
        <w:rPr>
          <w:rFonts w:hint="default" w:ascii="Times New Roman" w:hAnsi="Times New Roman" w:cs="Times New Roman"/>
          <w:color w:val="auto"/>
          <w:lang w:val="zh-CN"/>
        </w:rPr>
        <w:t>50046-2008</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rPr>
        <w:t>《消防安全标志第1部分：标志》GB13495.1-2015</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w:t>
      </w:r>
      <w:r>
        <w:rPr>
          <w:rFonts w:hint="eastAsia" w:cs="Times New Roman"/>
          <w:color w:val="auto"/>
          <w:lang w:val="zh-CN"/>
        </w:rPr>
        <w:t>危险化学品企业特殊作业安全规范</w:t>
      </w:r>
      <w:r>
        <w:rPr>
          <w:rFonts w:hint="default" w:ascii="Times New Roman" w:hAnsi="Times New Roman" w:cs="Times New Roman"/>
          <w:color w:val="auto"/>
          <w:lang w:val="zh-CN"/>
        </w:rPr>
        <w:t>》GB</w:t>
      </w:r>
      <w:r>
        <w:rPr>
          <w:rFonts w:hint="default" w:ascii="Times New Roman" w:hAnsi="Times New Roman" w:cs="Times New Roman"/>
          <w:color w:val="auto"/>
          <w:lang w:val="en-US" w:eastAsia="zh-CN"/>
        </w:rPr>
        <w:t>/T</w:t>
      </w:r>
      <w:r>
        <w:rPr>
          <w:rFonts w:hint="default" w:ascii="Times New Roman" w:hAnsi="Times New Roman" w:cs="Times New Roman"/>
          <w:color w:val="auto"/>
          <w:lang w:val="zh-CN"/>
        </w:rPr>
        <w:t>30871-20</w:t>
      </w:r>
      <w:r>
        <w:rPr>
          <w:rFonts w:hint="default" w:ascii="Times New Roman" w:hAnsi="Times New Roman" w:cs="Times New Roman"/>
          <w:color w:val="auto"/>
          <w:lang w:val="en-US" w:eastAsia="zh-CN"/>
        </w:rPr>
        <w:t>22</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《生产经营单位生产安全事故应急预案编制导则</w:t>
      </w:r>
      <w:r>
        <w:rPr>
          <w:rFonts w:hint="default" w:ascii="Times New Roman" w:hAnsi="Times New Roman" w:cs="Times New Roman"/>
          <w:color w:val="auto"/>
          <w:lang w:val="zh-CN"/>
        </w:rPr>
        <w:t>》</w:t>
      </w:r>
      <w:r>
        <w:rPr>
          <w:rFonts w:hint="default" w:ascii="Times New Roman" w:hAnsi="Times New Roman" w:cs="Times New Roman"/>
          <w:color w:val="auto"/>
        </w:rPr>
        <w:t>GB/T29639-20</w:t>
      </w:r>
      <w:r>
        <w:rPr>
          <w:rFonts w:hint="default" w:ascii="Times New Roman" w:hAnsi="Times New Roman" w:cs="Times New Roman"/>
          <w:color w:val="auto"/>
          <w:lang w:val="en-US" w:eastAsia="zh-CN"/>
        </w:rPr>
        <w:t>20</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《危险货物品名表》GB12268-2012</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《建筑采光设计标准》GB50033-2013</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val="zh-CN"/>
        </w:rPr>
        <w:t>《个体防护装备选用规范》GB/T11651-2008</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zh-CN"/>
        </w:rPr>
        <w:t>压力容器</w:t>
      </w:r>
      <w:r>
        <w:rPr>
          <w:rFonts w:hint="default" w:ascii="Times New Roman" w:hAnsi="Times New Roman" w:cs="Times New Roman"/>
          <w:color w:val="auto"/>
        </w:rPr>
        <w:t>》</w:t>
      </w:r>
      <w:r>
        <w:rPr>
          <w:rFonts w:hint="default" w:ascii="Times New Roman" w:hAnsi="Times New Roman" w:cs="Times New Roman"/>
          <w:color w:val="auto"/>
          <w:lang w:val="zh-CN"/>
        </w:rPr>
        <w:t>GB150.1～GB150.4-2011</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val="zh-CN"/>
        </w:rPr>
        <w:t>《压力管道规范》GB/T 20801.1～GB/T 20801.6-2006</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《缺氧危险作业安全规程</w:t>
      </w:r>
      <w:r>
        <w:rPr>
          <w:rFonts w:hint="default" w:ascii="Times New Roman" w:hAnsi="Times New Roman" w:cs="Times New Roman"/>
          <w:color w:val="auto"/>
          <w:lang w:val="zh-CN"/>
        </w:rPr>
        <w:t>》</w:t>
      </w:r>
      <w:r>
        <w:rPr>
          <w:rFonts w:hint="default" w:ascii="Times New Roman" w:hAnsi="Times New Roman" w:cs="Times New Roman"/>
          <w:color w:val="auto"/>
        </w:rPr>
        <w:t>GB8958-2006</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《输送流体用无缝钢管</w:t>
      </w:r>
      <w:r>
        <w:rPr>
          <w:rFonts w:hint="default" w:ascii="Times New Roman" w:hAnsi="Times New Roman" w:cs="Times New Roman"/>
          <w:color w:val="auto"/>
          <w:lang w:val="zh-CN"/>
        </w:rPr>
        <w:t>》</w:t>
      </w:r>
      <w:r>
        <w:rPr>
          <w:rFonts w:hint="default" w:ascii="Times New Roman" w:hAnsi="Times New Roman" w:cs="Times New Roman"/>
          <w:color w:val="auto"/>
        </w:rPr>
        <w:t>GB</w:t>
      </w:r>
      <w:r>
        <w:rPr>
          <w:rFonts w:hint="default" w:ascii="Times New Roman" w:hAnsi="Times New Roman" w:cs="Times New Roman"/>
          <w:color w:val="auto"/>
          <w:lang w:val="en-US" w:eastAsia="zh-CN"/>
        </w:rPr>
        <w:t>/T</w:t>
      </w:r>
      <w:r>
        <w:rPr>
          <w:rFonts w:hint="default" w:ascii="Times New Roman" w:hAnsi="Times New Roman" w:cs="Times New Roman"/>
          <w:color w:val="auto"/>
        </w:rPr>
        <w:t>8163-20</w:t>
      </w:r>
      <w:r>
        <w:rPr>
          <w:rFonts w:hint="default" w:ascii="Times New Roman" w:hAnsi="Times New Roman" w:cs="Times New Roman"/>
          <w:color w:val="auto"/>
          <w:lang w:val="en-US" w:eastAsia="zh-CN"/>
        </w:rPr>
        <w:t>18</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《立式圆筒形钢制焊接油罐设计规范》GB 50341-2014</w:t>
      </w:r>
    </w:p>
    <w:p>
      <w:pPr>
        <w:numPr>
          <w:ilvl w:val="0"/>
          <w:numId w:val="38"/>
        </w:numPr>
        <w:spacing w:line="360" w:lineRule="auto"/>
        <w:ind w:firstLine="560" w:firstLineChars="200"/>
        <w:jc w:val="left"/>
        <w:rPr>
          <w:rFonts w:hint="default" w:ascii="Times New Roman" w:hAnsi="Times New Roman" w:cs="Times New Roman"/>
          <w:color w:val="auto"/>
        </w:rPr>
      </w:pPr>
      <w:r>
        <w:rPr>
          <w:rFonts w:hint="eastAsia" w:asciiTheme="minorEastAsia" w:hAnsiTheme="minorEastAsia"/>
          <w:color w:val="auto"/>
          <w:sz w:val="28"/>
          <w:szCs w:val="28"/>
        </w:rPr>
        <w:t>《过程工业领域安全仪表系统的功能安全 第1部分：框架、定义、系统、硬件和软件要求》GB/T 21109.1-2007</w:t>
      </w:r>
    </w:p>
    <w:p>
      <w:pPr>
        <w:numPr>
          <w:ilvl w:val="0"/>
          <w:numId w:val="38"/>
        </w:numPr>
        <w:spacing w:line="360" w:lineRule="auto"/>
        <w:ind w:firstLine="560" w:firstLineChars="200"/>
        <w:jc w:val="left"/>
        <w:rPr>
          <w:rFonts w:hint="default" w:ascii="Times New Roman" w:hAnsi="Times New Roman" w:cs="Times New Roman"/>
          <w:color w:val="auto"/>
        </w:rPr>
      </w:pPr>
      <w:r>
        <w:rPr>
          <w:rFonts w:hint="eastAsia" w:asciiTheme="minorEastAsia" w:hAnsiTheme="minorEastAsia"/>
          <w:color w:val="auto"/>
          <w:sz w:val="28"/>
          <w:szCs w:val="28"/>
        </w:rPr>
        <w:t>《过程工业领域安全仪表系统的功能安全 第2部分：GB/T 21109.1的应用指南》GB/T 21109.2-2007</w:t>
      </w:r>
    </w:p>
    <w:p>
      <w:pPr>
        <w:numPr>
          <w:ilvl w:val="0"/>
          <w:numId w:val="38"/>
        </w:numPr>
        <w:spacing w:line="360" w:lineRule="auto"/>
        <w:ind w:firstLine="560" w:firstLineChars="200"/>
        <w:jc w:val="left"/>
        <w:rPr>
          <w:rFonts w:hint="default" w:ascii="Times New Roman" w:hAnsi="Times New Roman" w:cs="Times New Roman"/>
          <w:color w:val="auto"/>
        </w:rPr>
      </w:pPr>
      <w:r>
        <w:rPr>
          <w:rFonts w:hint="eastAsia" w:asciiTheme="minorEastAsia" w:hAnsiTheme="minorEastAsia"/>
          <w:color w:val="auto"/>
          <w:sz w:val="28"/>
          <w:szCs w:val="28"/>
        </w:rPr>
        <w:t>《过程工业领域安全仪表系统的功能安全 第3部分：确定要求的安全完整性等级的指南》GB/T 21109.3-2007</w:t>
      </w:r>
    </w:p>
    <w:p>
      <w:pPr>
        <w:numPr>
          <w:ilvl w:val="0"/>
          <w:numId w:val="38"/>
        </w:numPr>
        <w:spacing w:line="360" w:lineRule="auto"/>
        <w:ind w:firstLine="560" w:firstLineChars="200"/>
        <w:jc w:val="left"/>
        <w:rPr>
          <w:rFonts w:hint="default" w:ascii="Times New Roman" w:hAnsi="Times New Roman" w:cs="Times New Roman"/>
          <w:color w:val="auto"/>
        </w:rPr>
      </w:pPr>
      <w:r>
        <w:rPr>
          <w:rFonts w:hint="eastAsia" w:asciiTheme="minorEastAsia" w:hAnsiTheme="minorEastAsia"/>
          <w:color w:val="auto"/>
          <w:sz w:val="28"/>
          <w:szCs w:val="28"/>
        </w:rPr>
        <w:t>《分散型控制系统工程设计规范》HG/T 20573-2012</w:t>
      </w:r>
    </w:p>
    <w:p>
      <w:pPr>
        <w:numPr>
          <w:ilvl w:val="0"/>
          <w:numId w:val="38"/>
        </w:numPr>
        <w:spacing w:line="360" w:lineRule="auto"/>
        <w:ind w:firstLine="560" w:firstLineChars="200"/>
        <w:jc w:val="left"/>
        <w:rPr>
          <w:rFonts w:hint="default" w:ascii="Times New Roman" w:hAnsi="Times New Roman" w:cs="Times New Roman"/>
          <w:color w:val="auto"/>
        </w:rPr>
      </w:pPr>
      <w:r>
        <w:rPr>
          <w:rFonts w:hint="eastAsia" w:asciiTheme="minorEastAsia" w:hAnsiTheme="minorEastAsia"/>
          <w:color w:val="auto"/>
          <w:sz w:val="28"/>
          <w:szCs w:val="28"/>
        </w:rPr>
        <w:t>《分散型控制系统功能模板模块可靠性设计规范》JB/T 6810-2014</w:t>
      </w:r>
    </w:p>
    <w:p>
      <w:pPr>
        <w:numPr>
          <w:ilvl w:val="0"/>
          <w:numId w:val="38"/>
        </w:numPr>
        <w:spacing w:line="360" w:lineRule="auto"/>
        <w:ind w:firstLine="560" w:firstLineChars="200"/>
        <w:jc w:val="left"/>
        <w:rPr>
          <w:rFonts w:hint="default" w:ascii="Times New Roman" w:hAnsi="Times New Roman" w:cs="Times New Roman"/>
          <w:color w:val="auto"/>
        </w:rPr>
      </w:pPr>
      <w:r>
        <w:rPr>
          <w:rFonts w:hint="eastAsia" w:asciiTheme="minorEastAsia" w:hAnsiTheme="minorEastAsia"/>
          <w:color w:val="auto"/>
          <w:sz w:val="28"/>
          <w:szCs w:val="28"/>
        </w:rPr>
        <w:t>《石油化工仪表供气设计规范》SH/T 3020-2013</w:t>
      </w:r>
    </w:p>
    <w:p>
      <w:pPr>
        <w:numPr>
          <w:ilvl w:val="0"/>
          <w:numId w:val="38"/>
        </w:numPr>
        <w:spacing w:line="360" w:lineRule="auto"/>
        <w:ind w:firstLine="560" w:firstLineChars="200"/>
        <w:jc w:val="left"/>
        <w:rPr>
          <w:rFonts w:hint="default" w:ascii="Times New Roman" w:hAnsi="Times New Roman" w:cs="Times New Roman"/>
          <w:color w:val="auto"/>
        </w:rPr>
      </w:pPr>
      <w:r>
        <w:rPr>
          <w:rFonts w:hint="eastAsia" w:asciiTheme="minorEastAsia" w:hAnsiTheme="minorEastAsia"/>
          <w:color w:val="auto"/>
          <w:sz w:val="28"/>
          <w:szCs w:val="28"/>
        </w:rPr>
        <w:t>《重要电力用户供电电源及自备应急电源配置技术规范》GB/T 29328-2018</w:t>
      </w:r>
    </w:p>
    <w:p>
      <w:pPr>
        <w:numPr>
          <w:ilvl w:val="0"/>
          <w:numId w:val="38"/>
        </w:numPr>
        <w:spacing w:line="360" w:lineRule="auto"/>
        <w:ind w:firstLine="560" w:firstLineChars="200"/>
        <w:jc w:val="left"/>
        <w:rPr>
          <w:rFonts w:hint="default" w:ascii="Times New Roman" w:hAnsi="Times New Roman" w:cs="Times New Roman"/>
          <w:color w:val="auto"/>
        </w:rPr>
      </w:pPr>
      <w:r>
        <w:rPr>
          <w:rFonts w:hint="eastAsia" w:asciiTheme="minorEastAsia" w:hAnsiTheme="minorEastAsia"/>
          <w:color w:val="auto"/>
          <w:sz w:val="28"/>
          <w:szCs w:val="28"/>
        </w:rPr>
        <w:t>《爆炸危险场所防爆安全导则》GB/T 29304-2012</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《消防应急照明和疏散指示系统技术标准》GB 51309-2018</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《危险化学品生产装置和储存设施外部安全防护距离确定方法》GB/T 37243-2019</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《危险化学品生产装置和储存设施风险基准》GB 36894-2018</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《危险货物运输包装通用技术条件》GB12463-2009</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《工业金属管道设计规范</w:t>
      </w:r>
      <w:r>
        <w:rPr>
          <w:rFonts w:hint="default" w:ascii="Times New Roman" w:hAnsi="Times New Roman" w:cs="Times New Roman"/>
          <w:color w:val="auto"/>
          <w:lang w:val="zh-CN"/>
        </w:rPr>
        <w:t>》</w:t>
      </w:r>
      <w:r>
        <w:rPr>
          <w:rFonts w:hint="default" w:ascii="Times New Roman" w:hAnsi="Times New Roman" w:cs="Times New Roman"/>
          <w:color w:val="auto"/>
        </w:rPr>
        <w:t>GB50316-2000（2008版）</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zh-CN"/>
        </w:rPr>
        <w:t>消防给水及消火栓系统技术规范》</w:t>
      </w:r>
      <w:r>
        <w:rPr>
          <w:rFonts w:hint="default" w:ascii="Times New Roman" w:hAnsi="Times New Roman" w:cs="Times New Roman"/>
          <w:bCs/>
          <w:color w:val="auto"/>
          <w:lang w:val="zh-CN"/>
        </w:rPr>
        <w:t>GB50974-2014</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《室外给水设计规范》GB50013-20</w:t>
      </w:r>
      <w:r>
        <w:rPr>
          <w:rFonts w:hint="default" w:ascii="Times New Roman" w:hAnsi="Times New Roman" w:cs="Times New Roman"/>
          <w:color w:val="auto"/>
          <w:lang w:val="en-US" w:eastAsia="zh-CN"/>
        </w:rPr>
        <w:t>18</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《腐蚀性商品储</w:t>
      </w:r>
      <w:r>
        <w:rPr>
          <w:rFonts w:hint="default" w:ascii="Times New Roman" w:hAnsi="Times New Roman" w:cs="Times New Roman"/>
          <w:color w:val="auto"/>
          <w:lang w:eastAsia="zh-CN"/>
        </w:rPr>
        <w:t>存</w:t>
      </w:r>
      <w:r>
        <w:rPr>
          <w:rFonts w:hint="default" w:ascii="Times New Roman" w:hAnsi="Times New Roman" w:cs="Times New Roman"/>
          <w:color w:val="auto"/>
        </w:rPr>
        <w:t>养护技术条件》GB17915-2013</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《分散型控制系统工程设计规定》HG/T20573-2012</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《纤维增强塑料化工设备技术规范》HG/T 20696-2018</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《仪表供气设计规范》HG/T20510-2014</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《控制室设计规范》HG/T20508-2014</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《仪表供电设计规范》HG/T20509-2014</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《尿素造粒塔设计规定》</w:t>
      </w:r>
      <w:r>
        <w:rPr>
          <w:rFonts w:hint="default" w:ascii="Times New Roman" w:hAnsi="Times New Roman" w:cs="Times New Roman"/>
          <w:color w:val="auto"/>
          <w:lang w:val="en-US" w:eastAsia="zh-CN"/>
        </w:rPr>
        <w:t>HG/T20672-2005</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lang w:val="zh-CN"/>
        </w:rPr>
        <w:t>《化工设备、管道外防腐设计规定》HG/T20679-</w:t>
      </w:r>
      <w:r>
        <w:rPr>
          <w:rFonts w:hint="default" w:ascii="Times New Roman" w:hAnsi="Times New Roman" w:cs="Times New Roman"/>
          <w:color w:val="auto"/>
        </w:rPr>
        <w:t>2014</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zh-CN"/>
        </w:rPr>
        <w:t>化工设备基础设计规定》HG/T20643-2012</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lang w:val="zh-CN"/>
        </w:rPr>
        <w:t>《危险场所电气防爆安全规范》AQ3009-2007</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《安全阀安全技术监察规程》TSGZF001-2006</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kern w:val="0"/>
        </w:rPr>
        <w:t>场（厂）内专用机动车辆安全技术监察规程》</w:t>
      </w:r>
      <w:r>
        <w:rPr>
          <w:rFonts w:hint="default" w:ascii="Times New Roman" w:hAnsi="Times New Roman" w:cs="Times New Roman"/>
          <w:color w:val="auto"/>
        </w:rPr>
        <w:t>TSG N0001-2017</w:t>
      </w:r>
    </w:p>
    <w:p>
      <w:pPr>
        <w:numPr>
          <w:ilvl w:val="0"/>
          <w:numId w:val="38"/>
        </w:numPr>
        <w:spacing w:line="360" w:lineRule="auto"/>
        <w:ind w:firstLine="560" w:firstLineChars="200"/>
        <w:jc w:val="left"/>
        <w:rPr>
          <w:rFonts w:hint="default" w:ascii="Times New Roman" w:hAnsi="Times New Roman" w:cs="Times New Roman"/>
          <w:color w:val="auto"/>
          <w:lang w:val="zh-CN"/>
        </w:rPr>
      </w:pPr>
      <w:r>
        <w:rPr>
          <w:rFonts w:hint="default" w:ascii="Times New Roman" w:hAnsi="Times New Roman" w:cs="Times New Roman"/>
          <w:color w:val="auto"/>
        </w:rPr>
        <w:t>《固定式压力容器安全技术监察规程》TSG21-2016</w:t>
      </w:r>
    </w:p>
    <w:p>
      <w:pPr>
        <w:numPr>
          <w:ilvl w:val="0"/>
          <w:numId w:val="38"/>
        </w:numPr>
        <w:spacing w:line="360" w:lineRule="auto"/>
        <w:ind w:firstLine="560" w:firstLineChars="200"/>
        <w:jc w:val="left"/>
        <w:rPr>
          <w:rFonts w:hint="default" w:ascii="Times New Roman" w:hAnsi="Times New Roman" w:cs="Times New Roman"/>
          <w:color w:val="auto"/>
        </w:rPr>
      </w:pPr>
      <w:r>
        <w:rPr>
          <w:rFonts w:hint="default" w:ascii="Times New Roman" w:hAnsi="Times New Roman" w:cs="Times New Roman"/>
          <w:color w:val="auto"/>
        </w:rPr>
        <w:t>《压力管道安全技术监察规范-工业管道》TSGD</w:t>
      </w:r>
      <w:r>
        <w:rPr>
          <w:rFonts w:hint="eastAsia" w:cs="Times New Roman"/>
          <w:color w:val="auto"/>
          <w:lang w:val="en-US" w:eastAsia="zh-CN"/>
        </w:rPr>
        <w:t>0</w:t>
      </w:r>
      <w:r>
        <w:rPr>
          <w:rFonts w:hint="default" w:ascii="Times New Roman" w:hAnsi="Times New Roman" w:cs="Times New Roman"/>
          <w:color w:val="auto"/>
        </w:rPr>
        <w:t>001-2009</w:t>
      </w:r>
    </w:p>
    <w:p>
      <w:pPr>
        <w:ind w:firstLine="560" w:firstLineChars="200"/>
        <w:jc w:val="left"/>
        <w:rPr>
          <w:rFonts w:hint="default" w:ascii="Times New Roman" w:hAnsi="Times New Roman" w:cs="Times New Roman"/>
          <w:color w:val="auto"/>
          <w:kern w:val="0"/>
          <w:lang w:val="en-US" w:eastAsia="zh-CN"/>
        </w:rPr>
      </w:pPr>
      <w:r>
        <w:rPr>
          <w:rFonts w:hint="eastAsia" w:cs="Times New Roman"/>
          <w:color w:val="auto"/>
          <w:kern w:val="0"/>
          <w:lang w:val="en-US" w:eastAsia="zh-CN"/>
        </w:rPr>
        <w:t>97</w:t>
      </w:r>
      <w:r>
        <w:rPr>
          <w:rFonts w:hint="default" w:ascii="Times New Roman" w:hAnsi="Times New Roman" w:cs="Times New Roman"/>
          <w:color w:val="auto"/>
          <w:kern w:val="0"/>
          <w:lang w:val="en-US" w:eastAsia="zh-CN"/>
        </w:rPr>
        <w:t>）《化肥厂电力设计技术规定》HG/T 20540-1992</w:t>
      </w:r>
    </w:p>
    <w:p>
      <w:pPr>
        <w:ind w:firstLine="560" w:firstLineChars="200"/>
        <w:jc w:val="left"/>
        <w:rPr>
          <w:rFonts w:hint="default" w:ascii="Times New Roman" w:hAnsi="Times New Roman" w:eastAsia="宋体" w:cs="Times New Roman"/>
          <w:color w:val="auto"/>
          <w:szCs w:val="24"/>
        </w:rPr>
      </w:pPr>
      <w:r>
        <w:rPr>
          <w:rFonts w:hint="eastAsia" w:cs="Times New Roman"/>
          <w:color w:val="auto"/>
          <w:kern w:val="0"/>
          <w:lang w:val="en-US" w:eastAsia="zh-CN"/>
        </w:rPr>
        <w:t>98</w:t>
      </w:r>
      <w:r>
        <w:rPr>
          <w:rFonts w:hint="default" w:ascii="Times New Roman" w:hAnsi="Times New Roman" w:cs="Times New Roman"/>
          <w:color w:val="auto"/>
          <w:kern w:val="0"/>
          <w:lang w:val="en-US" w:eastAsia="zh-CN"/>
        </w:rPr>
        <w:t>）</w:t>
      </w:r>
      <w:r>
        <w:rPr>
          <w:rFonts w:hint="default" w:ascii="Times New Roman" w:hAnsi="Times New Roman" w:eastAsia="宋体" w:cs="Times New Roman"/>
          <w:color w:val="auto"/>
          <w:szCs w:val="24"/>
        </w:rPr>
        <w:t>《酸类物质泄漏的处理处置方法第</w:t>
      </w:r>
      <w:r>
        <w:rPr>
          <w:rFonts w:hint="default" w:ascii="Times New Roman" w:hAnsi="Times New Roman" w:eastAsia="宋体" w:cs="Times New Roman"/>
          <w:color w:val="auto"/>
          <w:szCs w:val="24"/>
          <w:lang w:val="en-US" w:eastAsia="zh-CN"/>
        </w:rPr>
        <w:t>1</w:t>
      </w:r>
      <w:r>
        <w:rPr>
          <w:rFonts w:hint="default" w:ascii="Times New Roman" w:hAnsi="Times New Roman" w:eastAsia="宋体" w:cs="Times New Roman"/>
          <w:color w:val="auto"/>
          <w:szCs w:val="24"/>
        </w:rPr>
        <w:t>部分</w:t>
      </w:r>
      <w:r>
        <w:rPr>
          <w:rFonts w:hint="default" w:ascii="Times New Roman" w:hAnsi="Times New Roman" w:eastAsia="宋体" w:cs="Times New Roman"/>
          <w:color w:val="auto"/>
          <w:szCs w:val="24"/>
          <w:lang w:eastAsia="zh-CN"/>
        </w:rPr>
        <w:t>盐</w:t>
      </w:r>
      <w:r>
        <w:rPr>
          <w:rFonts w:hint="default" w:ascii="Times New Roman" w:hAnsi="Times New Roman" w:eastAsia="宋体" w:cs="Times New Roman"/>
          <w:color w:val="auto"/>
          <w:szCs w:val="24"/>
        </w:rPr>
        <w:t>酸》HG/T4335.</w:t>
      </w:r>
      <w:r>
        <w:rPr>
          <w:rFonts w:hint="default" w:ascii="Times New Roman" w:hAnsi="Times New Roman" w:eastAsia="宋体" w:cs="Times New Roman"/>
          <w:color w:val="auto"/>
          <w:szCs w:val="24"/>
          <w:lang w:val="en-US" w:eastAsia="zh-CN"/>
        </w:rPr>
        <w:t>1</w:t>
      </w:r>
      <w:r>
        <w:rPr>
          <w:rFonts w:hint="default" w:ascii="Times New Roman" w:hAnsi="Times New Roman" w:eastAsia="宋体" w:cs="Times New Roman"/>
          <w:color w:val="auto"/>
          <w:szCs w:val="24"/>
        </w:rPr>
        <w:t>-2012</w:t>
      </w:r>
    </w:p>
    <w:p>
      <w:pPr>
        <w:ind w:firstLine="560" w:firstLineChars="200"/>
        <w:jc w:val="left"/>
        <w:rPr>
          <w:rFonts w:hint="default" w:ascii="Times New Roman" w:hAnsi="Times New Roman" w:eastAsia="宋体" w:cs="Times New Roman"/>
          <w:color w:val="auto"/>
          <w:szCs w:val="24"/>
        </w:rPr>
      </w:pPr>
      <w:r>
        <w:rPr>
          <w:rFonts w:hint="eastAsia" w:cs="Times New Roman"/>
          <w:color w:val="auto"/>
          <w:kern w:val="0"/>
          <w:lang w:val="en-US" w:eastAsia="zh-CN"/>
        </w:rPr>
        <w:t>99</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szCs w:val="24"/>
        </w:rPr>
        <w:t>《酸类物质泄漏的处理处置方法第</w:t>
      </w:r>
      <w:r>
        <w:rPr>
          <w:rFonts w:hint="default" w:ascii="Times New Roman" w:hAnsi="Times New Roman" w:cs="Times New Roman"/>
          <w:color w:val="auto"/>
          <w:szCs w:val="24"/>
          <w:lang w:val="en-US" w:eastAsia="zh-CN"/>
        </w:rPr>
        <w:t>2</w:t>
      </w:r>
      <w:r>
        <w:rPr>
          <w:rFonts w:hint="default" w:ascii="Times New Roman" w:hAnsi="Times New Roman" w:eastAsia="宋体" w:cs="Times New Roman"/>
          <w:color w:val="auto"/>
          <w:szCs w:val="24"/>
        </w:rPr>
        <w:t>部分</w:t>
      </w:r>
      <w:r>
        <w:rPr>
          <w:rFonts w:hint="default" w:ascii="Times New Roman" w:hAnsi="Times New Roman" w:cs="Times New Roman"/>
          <w:color w:val="auto"/>
          <w:szCs w:val="24"/>
          <w:lang w:eastAsia="zh-CN"/>
        </w:rPr>
        <w:t>硫</w:t>
      </w:r>
      <w:r>
        <w:rPr>
          <w:rFonts w:hint="default" w:ascii="Times New Roman" w:hAnsi="Times New Roman" w:eastAsia="宋体" w:cs="Times New Roman"/>
          <w:color w:val="auto"/>
          <w:szCs w:val="24"/>
        </w:rPr>
        <w:t>酸》HG/T4335.</w:t>
      </w:r>
      <w:r>
        <w:rPr>
          <w:rFonts w:hint="default" w:ascii="Times New Roman" w:hAnsi="Times New Roman" w:cs="Times New Roman"/>
          <w:color w:val="auto"/>
          <w:szCs w:val="24"/>
          <w:lang w:val="en-US" w:eastAsia="zh-CN"/>
        </w:rPr>
        <w:t>2</w:t>
      </w:r>
      <w:r>
        <w:rPr>
          <w:rFonts w:hint="default" w:ascii="Times New Roman" w:hAnsi="Times New Roman" w:eastAsia="宋体" w:cs="Times New Roman"/>
          <w:color w:val="auto"/>
          <w:szCs w:val="24"/>
        </w:rPr>
        <w:t>-2012</w:t>
      </w:r>
    </w:p>
    <w:p>
      <w:pPr>
        <w:autoSpaceDE w:val="0"/>
        <w:autoSpaceDN w:val="0"/>
        <w:adjustRightInd w:val="0"/>
        <w:spacing w:line="360" w:lineRule="auto"/>
        <w:ind w:firstLine="560" w:firstLineChars="200"/>
        <w:jc w:val="left"/>
        <w:rPr>
          <w:rFonts w:hint="default" w:ascii="Times New Roman" w:hAnsi="Times New Roman" w:cs="Times New Roman"/>
          <w:color w:val="auto"/>
          <w:kern w:val="0"/>
          <w:lang w:val="en-US" w:eastAsia="zh-CN"/>
        </w:rPr>
      </w:pPr>
      <w:r>
        <w:rPr>
          <w:rFonts w:hint="eastAsia" w:cs="Times New Roman"/>
          <w:color w:val="auto"/>
          <w:kern w:val="0"/>
          <w:lang w:val="en-US" w:eastAsia="zh-CN"/>
        </w:rPr>
        <w:t>100</w:t>
      </w:r>
      <w:r>
        <w:rPr>
          <w:rFonts w:hint="default" w:ascii="Times New Roman" w:hAnsi="Times New Roman" w:cs="Times New Roman"/>
          <w:color w:val="auto"/>
          <w:kern w:val="0"/>
          <w:lang w:val="en-US" w:eastAsia="zh-CN"/>
        </w:rPr>
        <w:t>）《液氨泄漏的处理处置方法》HG/T 4686-2014</w:t>
      </w:r>
    </w:p>
    <w:p>
      <w:pPr>
        <w:autoSpaceDE w:val="0"/>
        <w:autoSpaceDN w:val="0"/>
        <w:adjustRightInd w:val="0"/>
        <w:spacing w:line="360" w:lineRule="auto"/>
        <w:ind w:firstLine="560" w:firstLineChars="200"/>
        <w:jc w:val="left"/>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101）《石油化工厂际管道工程技术标准》GB/T 51359-2019</w:t>
      </w:r>
    </w:p>
    <w:p>
      <w:pPr>
        <w:autoSpaceDE w:val="0"/>
        <w:autoSpaceDN w:val="0"/>
        <w:adjustRightInd w:val="0"/>
        <w:spacing w:line="360" w:lineRule="auto"/>
        <w:ind w:firstLine="56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其它相关的国家和行业的标准、规定。</w:t>
      </w:r>
    </w:p>
    <w:p>
      <w:pPr>
        <w:keepNext/>
        <w:widowControl w:val="0"/>
        <w:spacing w:line="600" w:lineRule="exact"/>
        <w:jc w:val="center"/>
        <w:outlineLvl w:val="1"/>
        <w:rPr>
          <w:rFonts w:hint="default" w:ascii="Times New Roman" w:hAnsi="Times New Roman" w:eastAsia="楷体" w:cs="Times New Roman"/>
          <w:b/>
          <w:bCs/>
          <w:color w:val="auto"/>
          <w:kern w:val="2"/>
          <w:sz w:val="32"/>
          <w:szCs w:val="32"/>
          <w:lang w:val="en-US" w:eastAsia="zh-CN" w:bidi="ar-SA"/>
        </w:rPr>
      </w:pPr>
      <w:bookmarkStart w:id="165" w:name="_Toc27122"/>
      <w:r>
        <w:rPr>
          <w:rFonts w:hint="default" w:ascii="Times New Roman" w:hAnsi="Times New Roman" w:eastAsia="楷体" w:cs="Times New Roman"/>
          <w:b/>
          <w:bCs/>
          <w:color w:val="auto"/>
          <w:kern w:val="2"/>
          <w:sz w:val="32"/>
          <w:szCs w:val="32"/>
          <w:lang w:val="en-US" w:eastAsia="zh-CN" w:bidi="ar-SA"/>
        </w:rPr>
        <w:t>D.4有关技术文件和资料</w:t>
      </w:r>
      <w:bookmarkEnd w:id="165"/>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1、营业执照</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2、项目备案通知书</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3、土地证</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4、可行性研究报告</w:t>
      </w:r>
    </w:p>
    <w:p>
      <w:pPr>
        <w:ind w:firstLine="56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、总平面布置图</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其他</w:t>
      </w:r>
    </w:p>
    <w:p>
      <w:pPr>
        <w:ind w:firstLine="560" w:firstLineChars="200"/>
        <w:rPr>
          <w:rFonts w:hint="default" w:ascii="Times New Roman" w:hAnsi="Times New Roman" w:cs="Times New Roman"/>
          <w:color w:val="auto"/>
        </w:rPr>
      </w:pPr>
    </w:p>
    <w:p>
      <w:pPr>
        <w:bidi w:val="0"/>
        <w:rPr>
          <w:rFonts w:hint="default" w:ascii="Times New Roman" w:hAnsi="Times New Roman" w:cs="Times New Roman"/>
          <w:color w:val="auto"/>
          <w:lang w:val="en-US" w:eastAsia="zh-CN"/>
        </w:rPr>
      </w:pPr>
    </w:p>
    <w:sectPr>
      <w:footerReference r:id="rId10"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altName w:val="微软雅黑"/>
    <w:panose1 w:val="03000509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left" w:pos="5885"/>
      </w:tabs>
      <w:snapToGrid w:val="0"/>
      <w:spacing w:line="240" w:lineRule="auto"/>
      <w:jc w:val="left"/>
      <w:rPr>
        <w:rFonts w:ascii="Times New Roman" w:hAnsi="Times New Roman" w:eastAsia="宋体" w:cs="Times New Roman"/>
        <w:kern w:val="0"/>
        <w:sz w:val="18"/>
        <w:szCs w:val="18"/>
        <w:lang w:val="en-US" w:eastAsia="zh-CN" w:bidi="ar-SA"/>
      </w:rPr>
    </w:pPr>
    <w:r>
      <w:rPr>
        <w:rFonts w:hint="eastAsia" w:ascii="Times New Roman" w:hAnsi="Times New Roman" w:eastAsia="宋体" w:cs="宋体"/>
        <w:kern w:val="0"/>
        <w:sz w:val="18"/>
        <w:szCs w:val="18"/>
        <w:lang w:val="en-US" w:eastAsia="zh-CN" w:bidi="ar-SA"/>
      </w:rPr>
      <w:t>江西赣安安全生产科学技术咨询服务中心</w:t>
    </w:r>
    <w:r>
      <w:rPr>
        <w:rFonts w:ascii="Times New Roman" w:hAnsi="Times New Roman" w:eastAsia="宋体" w:cs="Times New Roman"/>
        <w:kern w:val="0"/>
        <w:sz w:val="18"/>
        <w:szCs w:val="18"/>
        <w:lang w:val="en-US" w:eastAsia="zh-CN" w:bidi="ar-S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default" w:eastAsia="宋体"/>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114300</wp:posOffset>
              </wp:positionV>
              <wp:extent cx="5781675" cy="9525"/>
              <wp:effectExtent l="0" t="0" r="0" b="0"/>
              <wp:wrapNone/>
              <wp:docPr id="3" name="直接连接符 3"/>
              <wp:cNvGraphicFramePr/>
              <a:graphic xmlns:a="http://schemas.openxmlformats.org/drawingml/2006/main">
                <a:graphicData uri="http://schemas.microsoft.com/office/word/2010/wordprocessingShape">
                  <wps:wsp>
                    <wps:cNvCnPr/>
                    <wps:spPr>
                      <a:xfrm>
                        <a:off x="889635" y="9805035"/>
                        <a:ext cx="57816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05pt;margin-top:9pt;height:0.75pt;width:455.25pt;z-index:251659264;mso-width-relative:page;mso-height-relative:page;" filled="f" stroked="t" coordsize="21600,21600" o:gfxdata="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yk9ajVAAAABwEAAA8AAAAAAAAAAQAgAAAAIgAAAGRycy9kb3ducmV2LnhtbFBLAQIUABQAAAAI&#10;AIdO4kDKuy6r8AEAAL8DAAAOAAAAAAAAAAEAIAAAACQBAABkcnMvZTJvRG9jLnhtbFBLBQYAAAAA&#10;BgAGAFkBAACGBQAAAAA=&#10;">
              <v:fill on="f" focussize="0,0"/>
              <v:stroke weight="0.5pt" color="#000000 [3200]" miterlimit="8" joinstyle="miter"/>
              <v:imagedata o:title=""/>
              <o:lock v:ext="edit" aspectratio="f"/>
            </v:line>
          </w:pict>
        </mc:Fallback>
      </mc:AlternateContent>
    </w:r>
    <w:r>
      <w:rPr>
        <w:rFonts w:hint="eastAsia"/>
        <w:lang w:eastAsia="zh-CN"/>
      </w:rPr>
      <w:t>江西赣安安全生产科学技术咨询服务中心</w:t>
    </w:r>
    <w:r>
      <w:rPr>
        <w:rFonts w:hint="eastAsia"/>
        <w:lang w:val="en-US" w:eastAsia="zh-CN"/>
      </w:rPr>
      <w:t xml:space="preserve">                                                   APJ-（赣）-002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default"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12</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114300</wp:posOffset>
              </wp:positionV>
              <wp:extent cx="5781675" cy="9525"/>
              <wp:effectExtent l="0" t="0" r="0" b="0"/>
              <wp:wrapNone/>
              <wp:docPr id="14" name="直接连接符 14"/>
              <wp:cNvGraphicFramePr/>
              <a:graphic xmlns:a="http://schemas.openxmlformats.org/drawingml/2006/main">
                <a:graphicData uri="http://schemas.microsoft.com/office/word/2010/wordprocessingShape">
                  <wps:wsp>
                    <wps:cNvCnPr/>
                    <wps:spPr>
                      <a:xfrm>
                        <a:off x="889635" y="9805035"/>
                        <a:ext cx="57816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05pt;margin-top:9pt;height:0.75pt;width:455.25pt;z-index:251660288;mso-width-relative:page;mso-height-relative:page;" filled="f" stroked="t" coordsize="21600,21600" o:gfxdata="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KT1qNUAAAAHAQAADwAAAAAAAAABACAAAAAiAAAAZHJzL2Rvd25yZXYueG1sUEsBAhQAFAAA&#10;AAgAh07iQHvIlLbyAQAAwQMAAA4AAAAAAAAAAQAgAAAAJAEAAGRycy9lMm9Eb2MueG1sUEsFBgAA&#10;AAAGAAYAWQEAAIgFAAAAAA==&#10;">
              <v:fill on="f" focussize="0,0"/>
              <v:stroke weight="0.5pt" color="#000000 [3200]" miterlimit="8" joinstyle="miter"/>
              <v:imagedata o:title=""/>
              <o:lock v:ext="edit" aspectratio="f"/>
            </v:line>
          </w:pict>
        </mc:Fallback>
      </mc:AlternateContent>
    </w:r>
    <w:r>
      <w:rPr>
        <w:rFonts w:hint="eastAsia"/>
        <w:lang w:eastAsia="zh-CN"/>
      </w:rPr>
      <w:t>江西赣安安全生产科学技术咨询服务中心</w:t>
    </w:r>
    <w:r>
      <w:rPr>
        <w:rFonts w:hint="eastAsia"/>
        <w:lang w:val="en-US" w:eastAsia="zh-CN"/>
      </w:rPr>
      <w:t xml:space="preserve">                                                   APJ-（赣）-002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4" w:space="1"/>
        <w:right w:val="none" w:color="auto" w:sz="0" w:space="0"/>
      </w:pBdr>
      <w:snapToGrid w:val="0"/>
      <w:spacing w:line="240" w:lineRule="auto"/>
      <w:jc w:val="both"/>
      <w:rPr>
        <w:rFonts w:ascii="Times New Roman" w:hAnsi="Times New Roman" w:eastAsia="宋体" w:cs="Times New Roman"/>
        <w:kern w:val="2"/>
        <w:sz w:val="18"/>
        <w:szCs w:val="18"/>
        <w:lang w:val="en-US" w:eastAsia="zh-CN" w:bidi="ar-SA"/>
      </w:rPr>
    </w:pPr>
    <w:r>
      <w:rPr>
        <w:rFonts w:hint="eastAsia" w:ascii="Times New Roman" w:hAnsi="Times New Roman" w:eastAsia="宋体" w:cs="宋体"/>
        <w:kern w:val="2"/>
        <w:sz w:val="18"/>
        <w:szCs w:val="18"/>
        <w:lang w:val="en-US" w:eastAsia="zh-CN" w:bidi="ar-SA"/>
      </w:rPr>
      <w:t>江西心连心化学工业有限公司</w:t>
    </w:r>
    <w:r>
      <w:rPr>
        <w:rFonts w:ascii="Times New Roman" w:hAnsi="Times New Roman" w:eastAsia="宋体" w:cs="Times New Roman"/>
        <w:kern w:val="2"/>
        <w:sz w:val="18"/>
        <w:szCs w:val="18"/>
        <w:lang w:val="en-US" w:eastAsia="zh-CN" w:bidi="ar-SA"/>
      </w:rPr>
      <w:t>2000</w:t>
    </w:r>
    <w:r>
      <w:rPr>
        <w:rFonts w:hint="eastAsia" w:ascii="Times New Roman" w:hAnsi="Times New Roman" w:eastAsia="宋体" w:cs="宋体"/>
        <w:kern w:val="2"/>
        <w:sz w:val="18"/>
        <w:szCs w:val="18"/>
        <w:lang w:val="en-US" w:eastAsia="zh-CN" w:bidi="ar-SA"/>
      </w:rPr>
      <w:t>吨</w:t>
    </w:r>
    <w:r>
      <w:rPr>
        <w:rFonts w:ascii="Times New Roman" w:hAnsi="Times New Roman" w:eastAsia="宋体" w:cs="Times New Roman"/>
        <w:kern w:val="2"/>
        <w:sz w:val="18"/>
        <w:szCs w:val="18"/>
        <w:lang w:val="en-US" w:eastAsia="zh-CN" w:bidi="ar-SA"/>
      </w:rPr>
      <w:t>/</w:t>
    </w:r>
    <w:r>
      <w:rPr>
        <w:rFonts w:hint="eastAsia" w:ascii="Times New Roman" w:hAnsi="Times New Roman" w:eastAsia="宋体" w:cs="宋体"/>
        <w:kern w:val="2"/>
        <w:sz w:val="18"/>
        <w:szCs w:val="18"/>
        <w:lang w:val="en-US" w:eastAsia="zh-CN" w:bidi="ar-SA"/>
      </w:rPr>
      <w:t>年环丙胺项目安全条件评价报告</w:t>
    </w:r>
    <w:r>
      <w:rPr>
        <w:rFonts w:ascii="Times New Roman" w:hAnsi="Times New Roman" w:eastAsia="宋体" w:cs="Times New Roman"/>
        <w:kern w:val="2"/>
        <w:sz w:val="18"/>
        <w:szCs w:val="18"/>
        <w:lang w:val="en-US" w:eastAsia="zh-CN" w:bidi="ar-SA"/>
      </w:rPr>
      <w:t xml:space="preserve">                        GAAP[2021]0975</w:t>
    </w:r>
    <w:r>
      <w:rPr>
        <w:rFonts w:hint="eastAsia" w:ascii="Times New Roman" w:hAnsi="Times New Roman" w:eastAsia="宋体" w:cs="宋体"/>
        <w:kern w:val="2"/>
        <w:sz w:val="18"/>
        <w:szCs w:val="18"/>
        <w:lang w:val="en-US" w:eastAsia="zh-CN" w:bidi="ar-SA"/>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none" w:color="auto" w:sz="0" w:space="0"/>
        <w:right w:val="none" w:color="auto" w:sz="0" w:space="0"/>
      </w:pBdr>
      <w:tabs>
        <w:tab w:val="left" w:pos="2534"/>
      </w:tabs>
      <w:snapToGrid w:val="0"/>
      <w:spacing w:line="240" w:lineRule="auto"/>
      <w:jc w:val="both"/>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rPr>
        <w:rFonts w:hint="default" w:eastAsia="宋体"/>
        <w:lang w:val="en-US" w:eastAsia="zh-CN"/>
      </w:rPr>
    </w:pPr>
    <w:r>
      <w:rPr>
        <w:rFonts w:hint="eastAsia"/>
        <w:lang w:eastAsia="zh-CN"/>
      </w:rPr>
      <w:t>江西心连心化学工业有限公司年产15万吨转鼓氨化造粒复合肥项目</w:t>
    </w:r>
    <w:r>
      <w:rPr>
        <w:rFonts w:hint="eastAsia"/>
        <w:lang w:val="en-US" w:eastAsia="zh-CN"/>
      </w:rPr>
      <w:t>安全条件评价报告        GAAP[2023]0142号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6A0A69"/>
    <w:multiLevelType w:val="singleLevel"/>
    <w:tmpl w:val="8D6A0A69"/>
    <w:lvl w:ilvl="0" w:tentative="0">
      <w:start w:val="1"/>
      <w:numFmt w:val="decimal"/>
      <w:suff w:val="nothing"/>
      <w:lvlText w:val="%1、"/>
      <w:lvlJc w:val="left"/>
    </w:lvl>
  </w:abstractNum>
  <w:abstractNum w:abstractNumId="1">
    <w:nsid w:val="971B8E28"/>
    <w:multiLevelType w:val="singleLevel"/>
    <w:tmpl w:val="971B8E28"/>
    <w:lvl w:ilvl="0" w:tentative="0">
      <w:start w:val="1"/>
      <w:numFmt w:val="decimal"/>
      <w:suff w:val="nothing"/>
      <w:lvlText w:val="%1、"/>
      <w:lvlJc w:val="left"/>
    </w:lvl>
  </w:abstractNum>
  <w:abstractNum w:abstractNumId="2">
    <w:nsid w:val="A19F2A67"/>
    <w:multiLevelType w:val="singleLevel"/>
    <w:tmpl w:val="A19F2A67"/>
    <w:lvl w:ilvl="0" w:tentative="0">
      <w:start w:val="1"/>
      <w:numFmt w:val="decimal"/>
      <w:suff w:val="nothing"/>
      <w:lvlText w:val="（%1）"/>
      <w:lvlJc w:val="left"/>
    </w:lvl>
  </w:abstractNum>
  <w:abstractNum w:abstractNumId="3">
    <w:nsid w:val="A8ED12E6"/>
    <w:multiLevelType w:val="singleLevel"/>
    <w:tmpl w:val="A8ED12E6"/>
    <w:lvl w:ilvl="0" w:tentative="0">
      <w:start w:val="2"/>
      <w:numFmt w:val="chineseCounting"/>
      <w:suff w:val="nothing"/>
      <w:lvlText w:val="%1、"/>
      <w:lvlJc w:val="left"/>
      <w:rPr>
        <w:rFonts w:hint="eastAsia"/>
      </w:rPr>
    </w:lvl>
  </w:abstractNum>
  <w:abstractNum w:abstractNumId="4">
    <w:nsid w:val="C45C7522"/>
    <w:multiLevelType w:val="singleLevel"/>
    <w:tmpl w:val="C45C7522"/>
    <w:lvl w:ilvl="0" w:tentative="0">
      <w:start w:val="1"/>
      <w:numFmt w:val="decimal"/>
      <w:suff w:val="nothing"/>
      <w:lvlText w:val="（%1）"/>
      <w:lvlJc w:val="left"/>
    </w:lvl>
  </w:abstractNum>
  <w:abstractNum w:abstractNumId="5">
    <w:nsid w:val="CA00997E"/>
    <w:multiLevelType w:val="singleLevel"/>
    <w:tmpl w:val="CA00997E"/>
    <w:lvl w:ilvl="0" w:tentative="0">
      <w:start w:val="2"/>
      <w:numFmt w:val="decimal"/>
      <w:suff w:val="nothing"/>
      <w:lvlText w:val="%1）"/>
      <w:lvlJc w:val="left"/>
    </w:lvl>
  </w:abstractNum>
  <w:abstractNum w:abstractNumId="6">
    <w:nsid w:val="D0A9856C"/>
    <w:multiLevelType w:val="singleLevel"/>
    <w:tmpl w:val="D0A9856C"/>
    <w:lvl w:ilvl="0" w:tentative="0">
      <w:start w:val="41"/>
      <w:numFmt w:val="decimal"/>
      <w:suff w:val="nothing"/>
      <w:lvlText w:val="%1、"/>
      <w:lvlJc w:val="left"/>
    </w:lvl>
  </w:abstractNum>
  <w:abstractNum w:abstractNumId="7">
    <w:nsid w:val="DA17189B"/>
    <w:multiLevelType w:val="singleLevel"/>
    <w:tmpl w:val="DA17189B"/>
    <w:lvl w:ilvl="0" w:tentative="0">
      <w:start w:val="1"/>
      <w:numFmt w:val="decimal"/>
      <w:suff w:val="nothing"/>
      <w:lvlText w:val="%1、"/>
      <w:lvlJc w:val="left"/>
    </w:lvl>
  </w:abstractNum>
  <w:abstractNum w:abstractNumId="8">
    <w:nsid w:val="EEFDAAE1"/>
    <w:multiLevelType w:val="singleLevel"/>
    <w:tmpl w:val="EEFDAAE1"/>
    <w:lvl w:ilvl="0" w:tentative="0">
      <w:start w:val="1"/>
      <w:numFmt w:val="decimal"/>
      <w:lvlText w:val="%1."/>
      <w:lvlJc w:val="left"/>
      <w:pPr>
        <w:ind w:left="425" w:hanging="425"/>
      </w:pPr>
      <w:rPr>
        <w:rFonts w:hint="default"/>
      </w:rPr>
    </w:lvl>
  </w:abstractNum>
  <w:abstractNum w:abstractNumId="9">
    <w:nsid w:val="F473EBBC"/>
    <w:multiLevelType w:val="singleLevel"/>
    <w:tmpl w:val="F473EBBC"/>
    <w:lvl w:ilvl="0" w:tentative="0">
      <w:start w:val="1"/>
      <w:numFmt w:val="decimal"/>
      <w:suff w:val="nothing"/>
      <w:lvlText w:val="%1）"/>
      <w:lvlJc w:val="left"/>
    </w:lvl>
  </w:abstractNum>
  <w:abstractNum w:abstractNumId="10">
    <w:nsid w:val="FD831854"/>
    <w:multiLevelType w:val="singleLevel"/>
    <w:tmpl w:val="FD831854"/>
    <w:lvl w:ilvl="0" w:tentative="0">
      <w:start w:val="1"/>
      <w:numFmt w:val="decimal"/>
      <w:suff w:val="nothing"/>
      <w:lvlText w:val="%1、"/>
      <w:lvlJc w:val="left"/>
    </w:lvl>
  </w:abstractNum>
  <w:abstractNum w:abstractNumId="11">
    <w:nsid w:val="00000005"/>
    <w:multiLevelType w:val="singleLevel"/>
    <w:tmpl w:val="00000005"/>
    <w:lvl w:ilvl="0" w:tentative="0">
      <w:start w:val="1"/>
      <w:numFmt w:val="decimal"/>
      <w:suff w:val="nothing"/>
      <w:lvlText w:val="%1）"/>
      <w:lvlJc w:val="left"/>
      <w:rPr>
        <w:rFonts w:cs="Times New Roman"/>
      </w:rPr>
    </w:lvl>
  </w:abstractNum>
  <w:abstractNum w:abstractNumId="12">
    <w:nsid w:val="048864E4"/>
    <w:multiLevelType w:val="singleLevel"/>
    <w:tmpl w:val="048864E4"/>
    <w:lvl w:ilvl="0" w:tentative="0">
      <w:start w:val="1"/>
      <w:numFmt w:val="decimal"/>
      <w:lvlText w:val="%1."/>
      <w:lvlJc w:val="left"/>
      <w:pPr>
        <w:tabs>
          <w:tab w:val="left" w:pos="312"/>
        </w:tabs>
      </w:pPr>
    </w:lvl>
  </w:abstractNum>
  <w:abstractNum w:abstractNumId="13">
    <w:nsid w:val="090E0EB0"/>
    <w:multiLevelType w:val="multilevel"/>
    <w:tmpl w:val="090E0EB0"/>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B10BD44"/>
    <w:multiLevelType w:val="singleLevel"/>
    <w:tmpl w:val="0B10BD44"/>
    <w:lvl w:ilvl="0" w:tentative="0">
      <w:start w:val="1"/>
      <w:numFmt w:val="decimal"/>
      <w:suff w:val="nothing"/>
      <w:lvlText w:val="%1）"/>
      <w:lvlJc w:val="left"/>
    </w:lvl>
  </w:abstractNum>
  <w:abstractNum w:abstractNumId="15">
    <w:nsid w:val="13B0793C"/>
    <w:multiLevelType w:val="singleLevel"/>
    <w:tmpl w:val="13B0793C"/>
    <w:lvl w:ilvl="0" w:tentative="0">
      <w:start w:val="1"/>
      <w:numFmt w:val="decimal"/>
      <w:suff w:val="nothing"/>
      <w:lvlText w:val="%1、"/>
      <w:lvlJc w:val="left"/>
    </w:lvl>
  </w:abstractNum>
  <w:abstractNum w:abstractNumId="16">
    <w:nsid w:val="15F21A29"/>
    <w:multiLevelType w:val="multilevel"/>
    <w:tmpl w:val="15F21A29"/>
    <w:lvl w:ilvl="0" w:tentative="0">
      <w:start w:val="1"/>
      <w:numFmt w:val="decimal"/>
      <w:lvlText w:val="%1"/>
      <w:lvlJc w:val="center"/>
      <w:pPr>
        <w:tabs>
          <w:tab w:val="left" w:pos="272"/>
        </w:tabs>
        <w:ind w:left="140"/>
      </w:pPr>
      <w:rPr>
        <w:rFonts w:hint="eastAsia" w:cs="Times New Roman"/>
      </w:rPr>
    </w:lvl>
    <w:lvl w:ilvl="1" w:tentative="0">
      <w:start w:val="1"/>
      <w:numFmt w:val="lowerLetter"/>
      <w:lvlText w:val="%2)"/>
      <w:lvlJc w:val="left"/>
      <w:pPr>
        <w:tabs>
          <w:tab w:val="left" w:pos="980"/>
        </w:tabs>
        <w:ind w:left="980" w:hanging="420"/>
      </w:pPr>
      <w:rPr>
        <w:rFonts w:cs="Times New Roman"/>
      </w:rPr>
    </w:lvl>
    <w:lvl w:ilvl="2" w:tentative="0">
      <w:start w:val="1"/>
      <w:numFmt w:val="lowerRoman"/>
      <w:lvlText w:val="%3."/>
      <w:lvlJc w:val="right"/>
      <w:pPr>
        <w:tabs>
          <w:tab w:val="left" w:pos="1400"/>
        </w:tabs>
        <w:ind w:left="1400" w:hanging="420"/>
      </w:pPr>
      <w:rPr>
        <w:rFonts w:cs="Times New Roman"/>
      </w:rPr>
    </w:lvl>
    <w:lvl w:ilvl="3" w:tentative="0">
      <w:start w:val="1"/>
      <w:numFmt w:val="decimal"/>
      <w:lvlText w:val="%4."/>
      <w:lvlJc w:val="left"/>
      <w:pPr>
        <w:tabs>
          <w:tab w:val="left" w:pos="1820"/>
        </w:tabs>
        <w:ind w:left="1820" w:hanging="420"/>
      </w:pPr>
      <w:rPr>
        <w:rFonts w:cs="Times New Roman"/>
      </w:rPr>
    </w:lvl>
    <w:lvl w:ilvl="4" w:tentative="0">
      <w:start w:val="1"/>
      <w:numFmt w:val="lowerLetter"/>
      <w:lvlText w:val="%5)"/>
      <w:lvlJc w:val="left"/>
      <w:pPr>
        <w:tabs>
          <w:tab w:val="left" w:pos="2240"/>
        </w:tabs>
        <w:ind w:left="2240" w:hanging="420"/>
      </w:pPr>
      <w:rPr>
        <w:rFonts w:cs="Times New Roman"/>
      </w:rPr>
    </w:lvl>
    <w:lvl w:ilvl="5" w:tentative="0">
      <w:start w:val="1"/>
      <w:numFmt w:val="lowerRoman"/>
      <w:lvlText w:val="%6."/>
      <w:lvlJc w:val="right"/>
      <w:pPr>
        <w:tabs>
          <w:tab w:val="left" w:pos="2660"/>
        </w:tabs>
        <w:ind w:left="2660" w:hanging="420"/>
      </w:pPr>
      <w:rPr>
        <w:rFonts w:cs="Times New Roman"/>
      </w:rPr>
    </w:lvl>
    <w:lvl w:ilvl="6" w:tentative="0">
      <w:start w:val="1"/>
      <w:numFmt w:val="decimal"/>
      <w:lvlText w:val="%7."/>
      <w:lvlJc w:val="left"/>
      <w:pPr>
        <w:tabs>
          <w:tab w:val="left" w:pos="3080"/>
        </w:tabs>
        <w:ind w:left="3080" w:hanging="420"/>
      </w:pPr>
      <w:rPr>
        <w:rFonts w:cs="Times New Roman"/>
      </w:rPr>
    </w:lvl>
    <w:lvl w:ilvl="7" w:tentative="0">
      <w:start w:val="1"/>
      <w:numFmt w:val="lowerLetter"/>
      <w:lvlText w:val="%8)"/>
      <w:lvlJc w:val="left"/>
      <w:pPr>
        <w:tabs>
          <w:tab w:val="left" w:pos="3500"/>
        </w:tabs>
        <w:ind w:left="3500" w:hanging="420"/>
      </w:pPr>
      <w:rPr>
        <w:rFonts w:cs="Times New Roman"/>
      </w:rPr>
    </w:lvl>
    <w:lvl w:ilvl="8" w:tentative="0">
      <w:start w:val="1"/>
      <w:numFmt w:val="lowerRoman"/>
      <w:lvlText w:val="%9."/>
      <w:lvlJc w:val="right"/>
      <w:pPr>
        <w:tabs>
          <w:tab w:val="left" w:pos="3920"/>
        </w:tabs>
        <w:ind w:left="3920" w:hanging="420"/>
      </w:pPr>
      <w:rPr>
        <w:rFonts w:cs="Times New Roman"/>
      </w:rPr>
    </w:lvl>
  </w:abstractNum>
  <w:abstractNum w:abstractNumId="17">
    <w:nsid w:val="16E2DAF7"/>
    <w:multiLevelType w:val="singleLevel"/>
    <w:tmpl w:val="16E2DAF7"/>
    <w:lvl w:ilvl="0" w:tentative="0">
      <w:start w:val="2"/>
      <w:numFmt w:val="decimal"/>
      <w:suff w:val="nothing"/>
      <w:lvlText w:val="%1、"/>
      <w:lvlJc w:val="left"/>
    </w:lvl>
  </w:abstractNum>
  <w:abstractNum w:abstractNumId="18">
    <w:nsid w:val="17921817"/>
    <w:multiLevelType w:val="singleLevel"/>
    <w:tmpl w:val="17921817"/>
    <w:lvl w:ilvl="0" w:tentative="0">
      <w:start w:val="1"/>
      <w:numFmt w:val="chineseCounting"/>
      <w:suff w:val="nothing"/>
      <w:lvlText w:val="%1、"/>
      <w:lvlJc w:val="left"/>
      <w:rPr>
        <w:rFonts w:hint="eastAsia"/>
      </w:rPr>
    </w:lvl>
  </w:abstractNum>
  <w:abstractNum w:abstractNumId="19">
    <w:nsid w:val="198BDECE"/>
    <w:multiLevelType w:val="singleLevel"/>
    <w:tmpl w:val="198BDECE"/>
    <w:lvl w:ilvl="0" w:tentative="0">
      <w:start w:val="1"/>
      <w:numFmt w:val="decimal"/>
      <w:suff w:val="nothing"/>
      <w:lvlText w:val="%1、"/>
      <w:lvlJc w:val="left"/>
    </w:lvl>
  </w:abstractNum>
  <w:abstractNum w:abstractNumId="20">
    <w:nsid w:val="1A781CD9"/>
    <w:multiLevelType w:val="multilevel"/>
    <w:tmpl w:val="1A781CD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6C74B28"/>
    <w:multiLevelType w:val="singleLevel"/>
    <w:tmpl w:val="26C74B28"/>
    <w:lvl w:ilvl="0" w:tentative="0">
      <w:start w:val="7"/>
      <w:numFmt w:val="decimal"/>
      <w:suff w:val="nothing"/>
      <w:lvlText w:val="%1、"/>
      <w:lvlJc w:val="left"/>
    </w:lvl>
  </w:abstractNum>
  <w:abstractNum w:abstractNumId="22">
    <w:nsid w:val="27DE4C80"/>
    <w:multiLevelType w:val="singleLevel"/>
    <w:tmpl w:val="27DE4C80"/>
    <w:lvl w:ilvl="0" w:tentative="0">
      <w:start w:val="1"/>
      <w:numFmt w:val="decimal"/>
      <w:suff w:val="nothing"/>
      <w:lvlText w:val="%1）"/>
      <w:lvlJc w:val="left"/>
    </w:lvl>
  </w:abstractNum>
  <w:abstractNum w:abstractNumId="23">
    <w:nsid w:val="282A0155"/>
    <w:multiLevelType w:val="multilevel"/>
    <w:tmpl w:val="282A015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9CF7494"/>
    <w:multiLevelType w:val="multilevel"/>
    <w:tmpl w:val="39CF7494"/>
    <w:lvl w:ilvl="0" w:tentative="0">
      <w:start w:val="1"/>
      <w:numFmt w:val="decimal"/>
      <w:lvlText w:val="%1)"/>
      <w:lvlJc w:val="left"/>
      <w:rPr>
        <w:rFonts w:hint="eastAsia"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25">
    <w:nsid w:val="3BC1150B"/>
    <w:multiLevelType w:val="singleLevel"/>
    <w:tmpl w:val="3BC1150B"/>
    <w:lvl w:ilvl="0" w:tentative="0">
      <w:start w:val="4"/>
      <w:numFmt w:val="decimal"/>
      <w:lvlText w:val="%1."/>
      <w:lvlJc w:val="left"/>
      <w:pPr>
        <w:tabs>
          <w:tab w:val="left" w:pos="312"/>
        </w:tabs>
      </w:pPr>
    </w:lvl>
  </w:abstractNum>
  <w:abstractNum w:abstractNumId="26">
    <w:nsid w:val="42613ED4"/>
    <w:multiLevelType w:val="multilevel"/>
    <w:tmpl w:val="42613ED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43DB78B6"/>
    <w:multiLevelType w:val="singleLevel"/>
    <w:tmpl w:val="43DB78B6"/>
    <w:lvl w:ilvl="0" w:tentative="0">
      <w:start w:val="1"/>
      <w:numFmt w:val="decimal"/>
      <w:suff w:val="nothing"/>
      <w:lvlText w:val="%1、"/>
      <w:lvlJc w:val="left"/>
    </w:lvl>
  </w:abstractNum>
  <w:abstractNum w:abstractNumId="28">
    <w:nsid w:val="5402CCE9"/>
    <w:multiLevelType w:val="singleLevel"/>
    <w:tmpl w:val="5402CCE9"/>
    <w:lvl w:ilvl="0" w:tentative="0">
      <w:start w:val="1"/>
      <w:numFmt w:val="decimal"/>
      <w:suff w:val="nothing"/>
      <w:lvlText w:val="（%1）"/>
      <w:lvlJc w:val="left"/>
    </w:lvl>
  </w:abstractNum>
  <w:abstractNum w:abstractNumId="29">
    <w:nsid w:val="5744F836"/>
    <w:multiLevelType w:val="singleLevel"/>
    <w:tmpl w:val="5744F836"/>
    <w:lvl w:ilvl="0" w:tentative="0">
      <w:start w:val="11"/>
      <w:numFmt w:val="decimal"/>
      <w:suff w:val="nothing"/>
      <w:lvlText w:val="%1、"/>
      <w:lvlJc w:val="left"/>
    </w:lvl>
  </w:abstractNum>
  <w:abstractNum w:abstractNumId="30">
    <w:nsid w:val="596AA872"/>
    <w:multiLevelType w:val="singleLevel"/>
    <w:tmpl w:val="596AA872"/>
    <w:lvl w:ilvl="0" w:tentative="0">
      <w:start w:val="1"/>
      <w:numFmt w:val="decimal"/>
      <w:lvlText w:val="%1."/>
      <w:lvlJc w:val="left"/>
      <w:pPr>
        <w:ind w:left="665" w:hanging="425"/>
      </w:pPr>
      <w:rPr>
        <w:rFonts w:hint="default"/>
      </w:rPr>
    </w:lvl>
  </w:abstractNum>
  <w:abstractNum w:abstractNumId="31">
    <w:nsid w:val="602B84AF"/>
    <w:multiLevelType w:val="singleLevel"/>
    <w:tmpl w:val="602B84AF"/>
    <w:lvl w:ilvl="0" w:tentative="0">
      <w:start w:val="1"/>
      <w:numFmt w:val="decimal"/>
      <w:suff w:val="nothing"/>
      <w:lvlText w:val="%1）"/>
      <w:lvlJc w:val="left"/>
    </w:lvl>
  </w:abstractNum>
  <w:abstractNum w:abstractNumId="32">
    <w:nsid w:val="62A0640A"/>
    <w:multiLevelType w:val="multilevel"/>
    <w:tmpl w:val="62A0640A"/>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882182B"/>
    <w:multiLevelType w:val="multilevel"/>
    <w:tmpl w:val="6882182B"/>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4">
    <w:nsid w:val="6EED2C33"/>
    <w:multiLevelType w:val="singleLevel"/>
    <w:tmpl w:val="6EED2C33"/>
    <w:lvl w:ilvl="0" w:tentative="0">
      <w:start w:val="1"/>
      <w:numFmt w:val="decimal"/>
      <w:suff w:val="nothing"/>
      <w:lvlText w:val="%1、"/>
      <w:lvlJc w:val="left"/>
    </w:lvl>
  </w:abstractNum>
  <w:abstractNum w:abstractNumId="35">
    <w:nsid w:val="76C94155"/>
    <w:multiLevelType w:val="multilevel"/>
    <w:tmpl w:val="76C94155"/>
    <w:lvl w:ilvl="0" w:tentative="0">
      <w:start w:val="1"/>
      <w:numFmt w:val="decimal"/>
      <w:lvlText w:val="%1)"/>
      <w:lvlJc w:val="left"/>
      <w:rPr>
        <w:rFonts w:hint="eastAsia"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36">
    <w:nsid w:val="7879E131"/>
    <w:multiLevelType w:val="singleLevel"/>
    <w:tmpl w:val="7879E131"/>
    <w:lvl w:ilvl="0" w:tentative="0">
      <w:start w:val="16"/>
      <w:numFmt w:val="decimal"/>
      <w:suff w:val="nothing"/>
      <w:lvlText w:val="%1、"/>
      <w:lvlJc w:val="left"/>
    </w:lvl>
  </w:abstractNum>
  <w:abstractNum w:abstractNumId="37">
    <w:nsid w:val="7AA3C816"/>
    <w:multiLevelType w:val="singleLevel"/>
    <w:tmpl w:val="7AA3C816"/>
    <w:lvl w:ilvl="0" w:tentative="0">
      <w:start w:val="1"/>
      <w:numFmt w:val="decimal"/>
      <w:suff w:val="nothing"/>
      <w:lvlText w:val="%1、"/>
      <w:lvlJc w:val="left"/>
      <w:pPr>
        <w:ind w:left="-2"/>
      </w:pPr>
    </w:lvl>
  </w:abstractNum>
  <w:num w:numId="1">
    <w:abstractNumId w:val="17"/>
  </w:num>
  <w:num w:numId="2">
    <w:abstractNumId w:val="5"/>
  </w:num>
  <w:num w:numId="3">
    <w:abstractNumId w:val="19"/>
  </w:num>
  <w:num w:numId="4">
    <w:abstractNumId w:val="26"/>
  </w:num>
  <w:num w:numId="5">
    <w:abstractNumId w:val="14"/>
  </w:num>
  <w:num w:numId="6">
    <w:abstractNumId w:val="8"/>
  </w:num>
  <w:num w:numId="7">
    <w:abstractNumId w:val="12"/>
  </w:num>
  <w:num w:numId="8">
    <w:abstractNumId w:val="23"/>
  </w:num>
  <w:num w:numId="9">
    <w:abstractNumId w:val="32"/>
  </w:num>
  <w:num w:numId="10">
    <w:abstractNumId w:val="25"/>
  </w:num>
  <w:num w:numId="11">
    <w:abstractNumId w:val="10"/>
  </w:num>
  <w:num w:numId="12">
    <w:abstractNumId w:val="3"/>
  </w:num>
  <w:num w:numId="13">
    <w:abstractNumId w:val="34"/>
  </w:num>
  <w:num w:numId="14">
    <w:abstractNumId w:val="27"/>
  </w:num>
  <w:num w:numId="15">
    <w:abstractNumId w:val="30"/>
  </w:num>
  <w:num w:numId="16">
    <w:abstractNumId w:val="18"/>
  </w:num>
  <w:num w:numId="17">
    <w:abstractNumId w:val="37"/>
  </w:num>
  <w:num w:numId="18">
    <w:abstractNumId w:val="22"/>
  </w:num>
  <w:num w:numId="19">
    <w:abstractNumId w:val="4"/>
  </w:num>
  <w:num w:numId="20">
    <w:abstractNumId w:val="13"/>
  </w:num>
  <w:num w:numId="21">
    <w:abstractNumId w:val="28"/>
  </w:num>
  <w:num w:numId="22">
    <w:abstractNumId w:val="7"/>
  </w:num>
  <w:num w:numId="23">
    <w:abstractNumId w:val="0"/>
  </w:num>
  <w:num w:numId="24">
    <w:abstractNumId w:val="36"/>
  </w:num>
  <w:num w:numId="25">
    <w:abstractNumId w:val="6"/>
  </w:num>
  <w:num w:numId="26">
    <w:abstractNumId w:val="21"/>
  </w:num>
  <w:num w:numId="27">
    <w:abstractNumId w:val="15"/>
  </w:num>
  <w:num w:numId="28">
    <w:abstractNumId w:val="29"/>
  </w:num>
  <w:num w:numId="29">
    <w:abstractNumId w:val="1"/>
  </w:num>
  <w:num w:numId="30">
    <w:abstractNumId w:val="31"/>
  </w:num>
  <w:num w:numId="31">
    <w:abstractNumId w:val="2"/>
  </w:num>
  <w:num w:numId="32">
    <w:abstractNumId w:val="9"/>
  </w:num>
  <w:num w:numId="33">
    <w:abstractNumId w:val="20"/>
  </w:num>
  <w:num w:numId="34">
    <w:abstractNumId w:val="24"/>
  </w:num>
  <w:num w:numId="35">
    <w:abstractNumId w:val="33"/>
  </w:num>
  <w:num w:numId="36">
    <w:abstractNumId w:val="35"/>
  </w:num>
  <w:num w:numId="37">
    <w:abstractNumId w:val="16"/>
  </w:num>
  <w:num w:numId="38">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tpDown">
    <w15:presenceInfo w15:providerId="None" w15:userId="FtpD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ZGJiMzk3NmE4MTFmY2I0NmVkOTVhODY4OTk3OTcifQ=="/>
  </w:docVars>
  <w:rsids>
    <w:rsidRoot w:val="56EC2539"/>
    <w:rsid w:val="004A1407"/>
    <w:rsid w:val="01DC5A4E"/>
    <w:rsid w:val="024F12B5"/>
    <w:rsid w:val="03084CFA"/>
    <w:rsid w:val="030D02EE"/>
    <w:rsid w:val="03711C2C"/>
    <w:rsid w:val="045D24E8"/>
    <w:rsid w:val="058D1224"/>
    <w:rsid w:val="064249C6"/>
    <w:rsid w:val="06A44D39"/>
    <w:rsid w:val="06E96BF0"/>
    <w:rsid w:val="07165B57"/>
    <w:rsid w:val="078057A6"/>
    <w:rsid w:val="0C7549A5"/>
    <w:rsid w:val="0F247FB7"/>
    <w:rsid w:val="101F54B5"/>
    <w:rsid w:val="11466AA4"/>
    <w:rsid w:val="13361C01"/>
    <w:rsid w:val="135952C0"/>
    <w:rsid w:val="15BB18C0"/>
    <w:rsid w:val="15F9359E"/>
    <w:rsid w:val="17672CB5"/>
    <w:rsid w:val="185A6716"/>
    <w:rsid w:val="188E5EB9"/>
    <w:rsid w:val="191F46F3"/>
    <w:rsid w:val="19726F19"/>
    <w:rsid w:val="1A0A3466"/>
    <w:rsid w:val="1AD240CA"/>
    <w:rsid w:val="1B4E659A"/>
    <w:rsid w:val="1C56042C"/>
    <w:rsid w:val="1C5A38F9"/>
    <w:rsid w:val="1C8E02C0"/>
    <w:rsid w:val="1C915908"/>
    <w:rsid w:val="1DC16278"/>
    <w:rsid w:val="1F372797"/>
    <w:rsid w:val="1F8B2EF6"/>
    <w:rsid w:val="1F9574BD"/>
    <w:rsid w:val="21DD1920"/>
    <w:rsid w:val="249C5536"/>
    <w:rsid w:val="24C70384"/>
    <w:rsid w:val="25657932"/>
    <w:rsid w:val="259D2077"/>
    <w:rsid w:val="25EF60D6"/>
    <w:rsid w:val="262670C1"/>
    <w:rsid w:val="26834513"/>
    <w:rsid w:val="26AA3D4A"/>
    <w:rsid w:val="27235B04"/>
    <w:rsid w:val="27793A4A"/>
    <w:rsid w:val="28BB102C"/>
    <w:rsid w:val="2C77706C"/>
    <w:rsid w:val="2CE40BFC"/>
    <w:rsid w:val="2CEF46B1"/>
    <w:rsid w:val="2D272C9C"/>
    <w:rsid w:val="2E352597"/>
    <w:rsid w:val="2F235B55"/>
    <w:rsid w:val="30963095"/>
    <w:rsid w:val="31A94F05"/>
    <w:rsid w:val="31F557DD"/>
    <w:rsid w:val="32C97752"/>
    <w:rsid w:val="3498562E"/>
    <w:rsid w:val="34A57D4B"/>
    <w:rsid w:val="36011ACC"/>
    <w:rsid w:val="363712CD"/>
    <w:rsid w:val="36AC53C0"/>
    <w:rsid w:val="37F214F9"/>
    <w:rsid w:val="383E2798"/>
    <w:rsid w:val="397150AD"/>
    <w:rsid w:val="3A90286D"/>
    <w:rsid w:val="3A9B45AD"/>
    <w:rsid w:val="3AB156E0"/>
    <w:rsid w:val="3B480DF8"/>
    <w:rsid w:val="3B651C31"/>
    <w:rsid w:val="3C852FF5"/>
    <w:rsid w:val="3CC35212"/>
    <w:rsid w:val="3D165CCE"/>
    <w:rsid w:val="3E171CB9"/>
    <w:rsid w:val="3FA23805"/>
    <w:rsid w:val="40EA11C7"/>
    <w:rsid w:val="41213FEA"/>
    <w:rsid w:val="4126079E"/>
    <w:rsid w:val="414172C5"/>
    <w:rsid w:val="41D60B91"/>
    <w:rsid w:val="425D1C65"/>
    <w:rsid w:val="43A37B4B"/>
    <w:rsid w:val="458F5DDD"/>
    <w:rsid w:val="46FF59F6"/>
    <w:rsid w:val="480706A9"/>
    <w:rsid w:val="48312C9B"/>
    <w:rsid w:val="4A3A39EC"/>
    <w:rsid w:val="4B4C0AC8"/>
    <w:rsid w:val="4B933A52"/>
    <w:rsid w:val="4BE20FB8"/>
    <w:rsid w:val="4D2643BC"/>
    <w:rsid w:val="4E1222C0"/>
    <w:rsid w:val="4F76547D"/>
    <w:rsid w:val="516E0D0A"/>
    <w:rsid w:val="51D03769"/>
    <w:rsid w:val="53A37424"/>
    <w:rsid w:val="53FA446D"/>
    <w:rsid w:val="54A477B8"/>
    <w:rsid w:val="5589399D"/>
    <w:rsid w:val="5669697B"/>
    <w:rsid w:val="56EC2539"/>
    <w:rsid w:val="58723F73"/>
    <w:rsid w:val="596331B8"/>
    <w:rsid w:val="59CA7788"/>
    <w:rsid w:val="5B1A328A"/>
    <w:rsid w:val="5BCF6E3E"/>
    <w:rsid w:val="5C116E55"/>
    <w:rsid w:val="5C763BF7"/>
    <w:rsid w:val="5CD60A6A"/>
    <w:rsid w:val="5DAF6531"/>
    <w:rsid w:val="5EA04F5B"/>
    <w:rsid w:val="5EE54B24"/>
    <w:rsid w:val="60594199"/>
    <w:rsid w:val="60AB08F8"/>
    <w:rsid w:val="60F74C8D"/>
    <w:rsid w:val="61945900"/>
    <w:rsid w:val="63810564"/>
    <w:rsid w:val="64163713"/>
    <w:rsid w:val="642A3CBC"/>
    <w:rsid w:val="656809BC"/>
    <w:rsid w:val="65B80DDC"/>
    <w:rsid w:val="65D643CE"/>
    <w:rsid w:val="65EE0CA2"/>
    <w:rsid w:val="66DD013F"/>
    <w:rsid w:val="66F45E44"/>
    <w:rsid w:val="67121005"/>
    <w:rsid w:val="67191D4F"/>
    <w:rsid w:val="67BB59CA"/>
    <w:rsid w:val="67EF305F"/>
    <w:rsid w:val="6A386564"/>
    <w:rsid w:val="6BF7332D"/>
    <w:rsid w:val="6C404844"/>
    <w:rsid w:val="6C6D2C96"/>
    <w:rsid w:val="6C937EAD"/>
    <w:rsid w:val="6D541131"/>
    <w:rsid w:val="6D8E4463"/>
    <w:rsid w:val="6E6B5FB3"/>
    <w:rsid w:val="70602B08"/>
    <w:rsid w:val="720862E3"/>
    <w:rsid w:val="748C7F23"/>
    <w:rsid w:val="75CB06B8"/>
    <w:rsid w:val="75EA6D90"/>
    <w:rsid w:val="75EB0D5A"/>
    <w:rsid w:val="7601232C"/>
    <w:rsid w:val="760B2B79"/>
    <w:rsid w:val="76532E39"/>
    <w:rsid w:val="76BA690C"/>
    <w:rsid w:val="76FF2D0F"/>
    <w:rsid w:val="78C461E7"/>
    <w:rsid w:val="7A134BE4"/>
    <w:rsid w:val="7ABE7C3B"/>
    <w:rsid w:val="7B94089B"/>
    <w:rsid w:val="7BB54893"/>
    <w:rsid w:val="7CE32B2F"/>
    <w:rsid w:val="7E930F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jc w:val="both"/>
    </w:pPr>
    <w:rPr>
      <w:rFonts w:ascii="Times New Roman" w:hAnsi="Times New Roman" w:eastAsia="宋体" w:cstheme="minorBidi"/>
      <w:kern w:val="2"/>
      <w:sz w:val="28"/>
      <w:szCs w:val="28"/>
      <w:lang w:val="en-US" w:eastAsia="zh-CN" w:bidi="ar-SA"/>
    </w:rPr>
  </w:style>
  <w:style w:type="paragraph" w:styleId="3">
    <w:name w:val="heading 1"/>
    <w:basedOn w:val="1"/>
    <w:next w:val="1"/>
    <w:link w:val="25"/>
    <w:qFormat/>
    <w:uiPriority w:val="0"/>
    <w:pPr>
      <w:keepNext/>
      <w:keepLines/>
      <w:spacing w:beforeLines="0" w:beforeAutospacing="0" w:afterLines="0" w:afterAutospacing="0" w:line="600" w:lineRule="exact"/>
      <w:jc w:val="center"/>
      <w:outlineLvl w:val="0"/>
    </w:pPr>
    <w:rPr>
      <w:rFonts w:ascii="Times New Roman" w:hAnsi="Times New Roman" w:eastAsia="黑体"/>
      <w:kern w:val="0"/>
      <w:sz w:val="32"/>
    </w:rPr>
  </w:style>
  <w:style w:type="paragraph" w:styleId="4">
    <w:name w:val="heading 2"/>
    <w:basedOn w:val="1"/>
    <w:next w:val="1"/>
    <w:link w:val="24"/>
    <w:unhideWhenUsed/>
    <w:qFormat/>
    <w:uiPriority w:val="0"/>
    <w:pPr>
      <w:keepNext/>
      <w:keepLines/>
      <w:spacing w:beforeLines="0" w:beforeAutospacing="0" w:afterLines="0" w:afterAutospacing="0" w:line="600" w:lineRule="exact"/>
      <w:jc w:val="center"/>
      <w:outlineLvl w:val="1"/>
    </w:pPr>
    <w:rPr>
      <w:rFonts w:ascii="Times New Roman" w:hAnsi="Times New Roman" w:eastAsia="楷体"/>
      <w:b/>
      <w:bCs/>
      <w:sz w:val="32"/>
    </w:rPr>
  </w:style>
  <w:style w:type="paragraph" w:styleId="5">
    <w:name w:val="heading 3"/>
    <w:basedOn w:val="1"/>
    <w:next w:val="1"/>
    <w:unhideWhenUsed/>
    <w:qFormat/>
    <w:uiPriority w:val="0"/>
    <w:pPr>
      <w:keepNext/>
      <w:keepLines/>
      <w:spacing w:beforeLines="0" w:beforeAutospacing="0" w:afterLines="0" w:afterAutospacing="0" w:line="600" w:lineRule="exact"/>
      <w:jc w:val="center"/>
      <w:outlineLvl w:val="2"/>
    </w:pPr>
    <w:rPr>
      <w:rFonts w:ascii="Times New Roman" w:hAnsi="Times New Roman" w:eastAsia="宋体"/>
      <w:b/>
    </w:rPr>
  </w:style>
  <w:style w:type="paragraph" w:styleId="6">
    <w:name w:val="heading 4"/>
    <w:basedOn w:val="1"/>
    <w:next w:val="1"/>
    <w:semiHidden/>
    <w:unhideWhenUsed/>
    <w:qFormat/>
    <w:uiPriority w:val="0"/>
    <w:pPr>
      <w:keepNext/>
      <w:keepLines/>
      <w:spacing w:beforeLines="0" w:beforeAutospacing="0" w:afterLines="0" w:afterAutospacing="0" w:line="600" w:lineRule="exact"/>
      <w:outlineLvl w:val="3"/>
    </w:pPr>
    <w:rPr>
      <w:rFonts w:ascii="Times New Roman" w:hAnsi="Times New Roman" w:eastAsia="宋体"/>
      <w:b/>
      <w:bCs/>
      <w:sz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样式 标题 2"/>
    <w:qFormat/>
    <w:uiPriority w:val="0"/>
    <w:pPr>
      <w:keepNext/>
      <w:keepLines/>
      <w:widowControl w:val="0"/>
      <w:adjustRightInd/>
      <w:spacing w:before="120" w:beforeLines="0" w:beforeAutospacing="0" w:after="120" w:afterLines="0" w:afterAutospacing="0" w:line="240" w:lineRule="auto"/>
      <w:jc w:val="both"/>
      <w:outlineLvl w:val="1"/>
    </w:pPr>
    <w:rPr>
      <w:rFonts w:ascii="Arial" w:hAnsi="Arial" w:eastAsia="宋体" w:cs="宋体"/>
      <w:b/>
      <w:kern w:val="0"/>
      <w:sz w:val="32"/>
      <w:szCs w:val="32"/>
      <w:lang w:val="en-US" w:eastAsia="zh-CN" w:bidi="ar-SA"/>
    </w:rPr>
  </w:style>
  <w:style w:type="paragraph" w:styleId="7">
    <w:name w:val="Normal Indent"/>
    <w:basedOn w:val="1"/>
    <w:qFormat/>
    <w:uiPriority w:val="0"/>
    <w:pPr>
      <w:ind w:firstLine="420" w:firstLineChars="200"/>
    </w:pPr>
  </w:style>
  <w:style w:type="paragraph" w:styleId="8">
    <w:name w:val="annotation text"/>
    <w:basedOn w:val="1"/>
    <w:qFormat/>
    <w:uiPriority w:val="0"/>
    <w:pPr>
      <w:jc w:val="left"/>
    </w:pPr>
  </w:style>
  <w:style w:type="paragraph" w:styleId="9">
    <w:name w:val="Body Text"/>
    <w:next w:val="1"/>
    <w:qFormat/>
    <w:uiPriority w:val="0"/>
    <w:pPr>
      <w:widowControl w:val="0"/>
      <w:spacing w:after="120" w:line="360" w:lineRule="auto"/>
      <w:ind w:firstLine="420" w:firstLineChars="200"/>
      <w:jc w:val="both"/>
    </w:pPr>
    <w:rPr>
      <w:rFonts w:ascii="Times New Roman" w:hAnsi="Times New Roman" w:eastAsia="宋体" w:cstheme="minorBidi"/>
      <w:kern w:val="2"/>
      <w:sz w:val="24"/>
      <w:szCs w:val="24"/>
      <w:lang w:val="en-US" w:eastAsia="zh-CN" w:bidi="ar-SA"/>
    </w:rPr>
  </w:style>
  <w:style w:type="paragraph" w:styleId="10">
    <w:name w:val="Body Text Indent"/>
    <w:basedOn w:val="1"/>
    <w:qFormat/>
    <w:uiPriority w:val="99"/>
    <w:pPr>
      <w:widowControl w:val="0"/>
      <w:tabs>
        <w:tab w:val="left" w:pos="3420"/>
      </w:tabs>
      <w:spacing w:line="600" w:lineRule="exact"/>
      <w:ind w:left="-362" w:firstLine="660" w:firstLineChars="220"/>
      <w:jc w:val="both"/>
    </w:pPr>
    <w:rPr>
      <w:rFonts w:ascii="Times New Roman" w:hAnsi="Times New Roman" w:eastAsia="宋体" w:cs="Times New Roman"/>
      <w:kern w:val="2"/>
      <w:sz w:val="30"/>
      <w:szCs w:val="30"/>
      <w:lang w:val="en-US" w:eastAsia="zh-CN" w:bidi="ar-SA"/>
    </w:rPr>
  </w:style>
  <w:style w:type="paragraph" w:styleId="11">
    <w:name w:val="Plain Text"/>
    <w:basedOn w:val="1"/>
    <w:qFormat/>
    <w:uiPriority w:val="0"/>
    <w:rPr>
      <w:rFonts w:ascii="宋体" w:hAnsi="Courier New"/>
    </w:rPr>
  </w:style>
  <w:style w:type="paragraph" w:styleId="12">
    <w:name w:val="footer"/>
    <w:basedOn w:val="1"/>
    <w:next w:val="13"/>
    <w:qFormat/>
    <w:uiPriority w:val="0"/>
    <w:pPr>
      <w:tabs>
        <w:tab w:val="center" w:pos="4153"/>
        <w:tab w:val="right" w:pos="8306"/>
      </w:tabs>
      <w:snapToGrid w:val="0"/>
      <w:jc w:val="left"/>
    </w:pPr>
    <w:rPr>
      <w:sz w:val="18"/>
    </w:rPr>
  </w:style>
  <w:style w:type="paragraph" w:styleId="13">
    <w:name w:val="Normal (Web)"/>
    <w:basedOn w:val="1"/>
    <w:next w:val="1"/>
    <w:qFormat/>
    <w:uiPriority w:val="0"/>
    <w:pPr>
      <w:widowControl/>
      <w:spacing w:before="100" w:beforeLines="0" w:beforeAutospacing="1" w:after="100" w:afterLines="0" w:afterAutospacing="1"/>
      <w:jc w:val="left"/>
    </w:pPr>
    <w:rPr>
      <w:rFonts w:ascii="宋体" w:hAnsi="宋体"/>
      <w:kern w:val="0"/>
      <w:sz w:val="24"/>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List"/>
    <w:basedOn w:val="1"/>
    <w:qFormat/>
    <w:uiPriority w:val="0"/>
    <w:pPr>
      <w:spacing w:line="340" w:lineRule="exact"/>
      <w:jc w:val="center"/>
    </w:pPr>
    <w:rPr>
      <w:rFonts w:ascii="Times" w:hAnsi="Times"/>
      <w:color w:val="000000"/>
      <w:spacing w:val="-4"/>
      <w:kern w:val="0"/>
      <w:szCs w:val="21"/>
    </w:rPr>
  </w:style>
  <w:style w:type="paragraph" w:styleId="17">
    <w:name w:val="toc 2"/>
    <w:basedOn w:val="1"/>
    <w:next w:val="1"/>
    <w:qFormat/>
    <w:uiPriority w:val="0"/>
    <w:pPr>
      <w:ind w:left="420" w:leftChars="200"/>
    </w:pPr>
  </w:style>
  <w:style w:type="paragraph" w:styleId="18">
    <w:name w:val="Body Text First Indent 2"/>
    <w:basedOn w:val="10"/>
    <w:next w:val="1"/>
    <w:qFormat/>
    <w:uiPriority w:val="99"/>
    <w:pPr>
      <w:widowControl w:val="0"/>
      <w:snapToGrid/>
      <w:spacing w:after="120" w:line="240" w:lineRule="auto"/>
      <w:ind w:left="420" w:leftChars="200" w:firstLine="420"/>
      <w:jc w:val="center"/>
    </w:pPr>
    <w:rPr>
      <w:rFonts w:ascii="Calibri" w:hAnsi="Calibri" w:cs="Calibri"/>
      <w:b/>
      <w:bCs/>
      <w:sz w:val="44"/>
      <w:szCs w:val="4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99"/>
    <w:rPr>
      <w:rFonts w:cs="Times New Roman"/>
      <w:b/>
      <w:bCs/>
    </w:rPr>
  </w:style>
  <w:style w:type="character" w:styleId="23">
    <w:name w:val="page number"/>
    <w:qFormat/>
    <w:uiPriority w:val="99"/>
  </w:style>
  <w:style w:type="character" w:customStyle="1" w:styleId="24">
    <w:name w:val="标题 2 Char"/>
    <w:link w:val="4"/>
    <w:qFormat/>
    <w:uiPriority w:val="0"/>
    <w:rPr>
      <w:rFonts w:ascii="Times New Roman" w:hAnsi="Times New Roman" w:eastAsia="楷体"/>
      <w:b/>
      <w:bCs/>
      <w:sz w:val="32"/>
    </w:rPr>
  </w:style>
  <w:style w:type="character" w:customStyle="1" w:styleId="25">
    <w:name w:val="Heading 1 Char"/>
    <w:link w:val="3"/>
    <w:qFormat/>
    <w:uiPriority w:val="9"/>
    <w:rPr>
      <w:rFonts w:ascii="Times New Roman" w:hAnsi="Times New Roman" w:eastAsia="黑体"/>
      <w:kern w:val="0"/>
      <w:sz w:val="32"/>
    </w:rPr>
  </w:style>
  <w:style w:type="paragraph" w:customStyle="1" w:styleId="26">
    <w:name w:val="reader-word-layer reader-word-s7-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7">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28">
    <w:name w:val="样式 标题 3 + 左侧:  2 字符"/>
    <w:qFormat/>
    <w:uiPriority w:val="99"/>
    <w:pPr>
      <w:keepNext/>
      <w:keepLines/>
      <w:widowControl w:val="0"/>
      <w:spacing w:line="600" w:lineRule="exact"/>
      <w:ind w:left="560" w:leftChars="200"/>
      <w:jc w:val="center"/>
      <w:outlineLvl w:val="2"/>
    </w:pPr>
    <w:rPr>
      <w:rFonts w:ascii="Times New Roman" w:hAnsi="Times New Roman" w:eastAsia="黑体" w:cs="Times New Roman"/>
      <w:kern w:val="0"/>
      <w:sz w:val="28"/>
      <w:szCs w:val="28"/>
      <w:lang w:val="en-US" w:eastAsia="zh-CN" w:bidi="ar-SA"/>
    </w:rPr>
  </w:style>
  <w:style w:type="paragraph" w:customStyle="1" w:styleId="29">
    <w:name w:val="F表"/>
    <w:qFormat/>
    <w:uiPriority w:val="0"/>
    <w:pPr>
      <w:widowControl w:val="0"/>
      <w:spacing w:line="240" w:lineRule="auto"/>
      <w:ind w:firstLine="0" w:firstLineChars="0"/>
      <w:jc w:val="center"/>
    </w:pPr>
    <w:rPr>
      <w:rFonts w:ascii="Times New Roman" w:hAnsi="Times New Roman" w:eastAsia="宋体" w:cstheme="minorBidi"/>
      <w:kern w:val="2"/>
      <w:sz w:val="21"/>
      <w:szCs w:val="24"/>
      <w:lang w:val="en-US" w:eastAsia="zh-CN" w:bidi="ar-SA"/>
    </w:rPr>
  </w:style>
  <w:style w:type="paragraph" w:customStyle="1" w:styleId="30">
    <w:name w:val="表标题"/>
    <w:qFormat/>
    <w:uiPriority w:val="99"/>
    <w:pPr>
      <w:jc w:val="center"/>
    </w:pPr>
    <w:rPr>
      <w:rFonts w:ascii="Times New Roman" w:hAnsi="Times New Roman" w:eastAsia="宋体" w:cs="Times New Roman"/>
      <w:kern w:val="0"/>
      <w:sz w:val="21"/>
      <w:szCs w:val="22"/>
      <w:lang w:val="en-US" w:eastAsia="zh-CN" w:bidi="ar-SA"/>
    </w:rPr>
  </w:style>
  <w:style w:type="paragraph" w:customStyle="1" w:styleId="31">
    <w:name w:val="表格A"/>
    <w:qFormat/>
    <w:uiPriority w:val="99"/>
    <w:pPr>
      <w:jc w:val="center"/>
    </w:pPr>
    <w:rPr>
      <w:rFonts w:ascii="Times New Roman" w:hAnsi="Times New Roman" w:eastAsia="宋体" w:cs="Times New Roman"/>
      <w:kern w:val="2"/>
      <w:sz w:val="21"/>
      <w:szCs w:val="21"/>
      <w:lang w:val="en-US" w:eastAsia="zh-CN" w:bidi="ar-SA"/>
    </w:rPr>
  </w:style>
  <w:style w:type="paragraph" w:customStyle="1" w:styleId="32">
    <w:name w:val="zw"/>
    <w:qFormat/>
    <w:uiPriority w:val="0"/>
    <w:pPr>
      <w:widowControl/>
      <w:spacing w:before="100" w:beforeAutospacing="1" w:after="100" w:afterAutospacing="1" w:line="440" w:lineRule="atLeast"/>
      <w:jc w:val="left"/>
    </w:pPr>
    <w:rPr>
      <w:rFonts w:ascii="宋体" w:hAnsi="宋体" w:eastAsia="宋体" w:cs="宋体"/>
      <w:kern w:val="0"/>
      <w:sz w:val="22"/>
      <w:szCs w:val="22"/>
      <w:lang w:val="en-US" w:eastAsia="zh-CN" w:bidi="ar-SA"/>
    </w:rPr>
  </w:style>
  <w:style w:type="character" w:customStyle="1" w:styleId="33">
    <w:name w:val="zw1"/>
    <w:qFormat/>
    <w:uiPriority w:val="0"/>
    <w:rPr>
      <w:rFonts w:hint="eastAsia" w:ascii="宋体" w:hAnsi="宋体" w:eastAsia="宋体"/>
      <w:sz w:val="22"/>
      <w:szCs w:val="22"/>
    </w:rPr>
  </w:style>
  <w:style w:type="paragraph" w:customStyle="1" w:styleId="34">
    <w:name w:val="J【表中文字】"/>
    <w:qFormat/>
    <w:uiPriority w:val="0"/>
    <w:pPr>
      <w:widowControl w:val="0"/>
      <w:spacing w:line="240" w:lineRule="auto"/>
      <w:ind w:firstLine="0" w:firstLineChars="0"/>
      <w:jc w:val="center"/>
      <w:textAlignment w:val="center"/>
    </w:pPr>
    <w:rPr>
      <w:rFonts w:ascii="Times New Roman" w:hAnsi="Times New Roman" w:eastAsia="宋体" w:cs="宋体"/>
      <w:kern w:val="2"/>
      <w:sz w:val="21"/>
      <w:szCs w:val="21"/>
      <w:lang w:val="en-US" w:eastAsia="zh-CN" w:bidi="ar-SA"/>
    </w:rPr>
  </w:style>
  <w:style w:type="character" w:customStyle="1" w:styleId="35">
    <w:name w:val="font12"/>
    <w:qFormat/>
    <w:uiPriority w:val="0"/>
    <w:rPr>
      <w:rFonts w:hint="eastAsia" w:ascii="宋体" w:hAnsi="宋体" w:eastAsia="宋体" w:cs="宋体"/>
      <w:color w:val="000000"/>
      <w:sz w:val="24"/>
      <w:szCs w:val="24"/>
      <w:u w:val="none"/>
      <w:lang w:eastAsia="en-US"/>
    </w:rPr>
  </w:style>
  <w:style w:type="character" w:customStyle="1" w:styleId="36">
    <w:name w:val="font251"/>
    <w:qFormat/>
    <w:uiPriority w:val="0"/>
    <w:rPr>
      <w:rFonts w:hint="eastAsia" w:ascii="宋体" w:hAnsi="宋体" w:eastAsia="宋体" w:cs="宋体"/>
      <w:color w:val="000000"/>
      <w:sz w:val="24"/>
      <w:szCs w:val="24"/>
      <w:u w:val="none"/>
      <w:vertAlign w:val="superscript"/>
      <w:lang w:eastAsia="en-US"/>
    </w:rPr>
  </w:style>
  <w:style w:type="character" w:customStyle="1" w:styleId="37">
    <w:name w:val="font91"/>
    <w:basedOn w:val="21"/>
    <w:qFormat/>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tiff"/><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243</Pages>
  <Words>134434</Words>
  <Characters>151747</Characters>
  <Lines>0</Lines>
  <Paragraphs>0</Paragraphs>
  <TotalTime>25</TotalTime>
  <ScaleCrop>false</ScaleCrop>
  <LinksUpToDate>false</LinksUpToDate>
  <CharactersWithSpaces>153251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2020-08-23T06:18:00Z</dcterms:created>
  <dc:creator>0</dc:creator>
  <cp:lastModifiedBy>0</cp:lastModifiedBy>
  <cp:lastPrinted>2022-10-26T02:07:00Z</cp:lastPrinted>
  <dcterms:modified xsi:type="dcterms:W3CDTF">2023-07-10T01:56:55Z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A800CA210F1B4D098F3F23C9CC722706_13</vt:lpwstr>
  </property>
</Properties>
</file>